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BF6EB" w14:textId="77777777" w:rsidR="009D1520" w:rsidRDefault="00000000">
      <w:pPr>
        <w:pStyle w:val="Heading1"/>
        <w:spacing w:before="0" w:after="120" w:line="275" w:lineRule="auto"/>
        <w:rPr>
          <w:rFonts w:ascii="Google Sans" w:eastAsia="Google Sans" w:hAnsi="Google Sans" w:cs="Google Sans"/>
          <w:color w:val="1F1F1F"/>
        </w:rPr>
      </w:pPr>
      <w:r>
        <w:rPr>
          <w:rFonts w:ascii="Google Sans" w:eastAsia="Google Sans" w:hAnsi="Google Sans" w:cs="Google Sans"/>
          <w:color w:val="1F1F1F"/>
        </w:rPr>
        <w:t>Project #001 {Kid}: Master Architecture and Product Requirements for the "Divine Buddy" Ecosystem</w:t>
      </w:r>
    </w:p>
    <w:p w14:paraId="0EDC4C72"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Strategic Overview and Genesis Constraints</w:t>
      </w:r>
    </w:p>
    <w:p w14:paraId="346D784C"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architecture of personal computing is currently undergoing a structural paradigm shift, moving aggressively away from centralized, cloud-dependent artificial intelligence toward highly localized, sovereign cognitive ecosystems. Project #001 {Kid} represents the vanguard of this transition. This document establishes the exhaustive master Product Requirements Document (PRD) and architectural blueprint for evolving Project #001 into a "Mobile-First," private, local Jarvis-style artificial intelligence designated as the "Divine Buddy."</w:t>
      </w:r>
    </w:p>
    <w:p w14:paraId="66ACCF01"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foundational mandate of this initiative is absolute data sovereignty combined with continuous, proactive ambient intelligence. To achieve this, the system is bifurcated into two primary compute nodes. The primary deployment target—referred to as the "Pocket Brain"—is anchored on the Realme Narzo 80 Pro smartphone. This mobile node is responsible for continuous state observation, low-latency conversational interaction, and local tool execution. The secondary node, defining Phase 2 of the project, is the "Desktop Nervous System," anchored on a Dell G15 laptop. This distributed architecture necessitates a highly sophisticated integration of Neural Processing Unit (NPU) orchestration, biomimetic memory synchronization, mesh networking, and thermal-aware load balancing.</w:t>
      </w:r>
    </w:p>
    <w:p w14:paraId="0E8E3993"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This PRD outlines the specific hardware orchestration protocols, algorithmic choices, and interface design languages required to meet the overarching 'Above It' constraint: a rigid 4-Week Mobile-First Sprint. The resulting ecosystem must not merely operate as a passive chatbot but as an integrated, evolving digital consciousness capable of surviving harsh thermal environments, understanding localized cultural nuance, and seamlessly traversing the physical boundaries between mobile and desktop computing.</w:t>
      </w:r>
    </w:p>
    <w:p w14:paraId="01437893"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Hardware Substrate: The Realme Narzo 80 Pro "Pocket Brain"</w:t>
      </w:r>
    </w:p>
    <w:p w14:paraId="14754D69"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realization of an always-on, locally executed intelligence requires a host device that provides a specific intersection of high-capacity memory bandwidth, dedicated silicon for tensor operations, and robust thermal dissipation. The Realme Narzo 80 Pro, released in 2025, serves as the optimal hardware substrate for the Pocket Brain deployment.</w:t>
      </w:r>
    </w:p>
    <w:p w14:paraId="73277CD9"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The decision to utilize this specific device is driven by its underlying system-on-chip (SoC) </w:t>
      </w:r>
      <w:r>
        <w:rPr>
          <w:rFonts w:ascii="Google Sans" w:eastAsia="Google Sans" w:hAnsi="Google Sans" w:cs="Google Sans"/>
          <w:color w:val="1F1F1F"/>
        </w:rPr>
        <w:lastRenderedPageBreak/>
        <w:t>architecture and its physical endurance characteristics. Operating a continuous Reasoning and Acting (ReAct) loop on mobile hardware introduces severe energy and thermal penalties. The selected hardware mitigates these penalties through several critical physical specifications.</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9D1520" w14:paraId="39012335" w14:textId="77777777">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CED9604"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Hardware Subsystem</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1A0FF61"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Realme Narzo 80 Pro Specification</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2872039B"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Architectural Implication for Local AI Ecosystem</w:t>
            </w:r>
          </w:p>
        </w:tc>
      </w:tr>
      <w:tr w:rsidR="009D1520" w14:paraId="6BCE857A" w14:textId="77777777">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BB0702F"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System on Chip (SoC)</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ACCA34D"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MediaTek Dimensity 7400 5G (4nm TSMC)</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57A18DEC"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Provides the requisite NeuroPilot NPU architecture. The 4nm process balances high-performance tensor operations with necessary energy efficiency for continuous background inference.</w:t>
            </w:r>
          </w:p>
        </w:tc>
      </w:tr>
      <w:tr w:rsidR="009D1520" w14:paraId="7E9D5D7E" w14:textId="77777777">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CE384FD"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Volatile Memory</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F71DEDC"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12 GB RAM</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7E7F8EFC"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Offers the necessary active memory footprint to host the Android 17 OS alongside quantized 4B-parameter language models and dynamic Low-Rank Adaptation (LoRA) blocks.</w:t>
            </w:r>
          </w:p>
        </w:tc>
      </w:tr>
      <w:tr w:rsidR="009D1520" w14:paraId="22E67EDD" w14:textId="77777777">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618A607"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Non-Volatile Storage</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AA6531B"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256 GB (2.05GB/s Read Speed)</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49CEF053"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High I/O bandwidth is mandatory for rapidly swapping model weights, activating context vectors, and loading high-resolution UI assets without blocking the main execution thread.</w:t>
            </w:r>
          </w:p>
        </w:tc>
      </w:tr>
      <w:tr w:rsidR="009D1520" w14:paraId="172F87CB" w14:textId="77777777">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F9DAE89"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lastRenderedPageBreak/>
              <w:t>Power Infrastructure</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F3DBE32"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6000 mAh Titan Battery (80W Ultra Charge)</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5EB66AE4"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Supports the continuous power draw of NPU polling and ambient listening. Rapid charging ensures the device can recover quickly from intensive generative workloads.</w:t>
            </w:r>
          </w:p>
        </w:tc>
      </w:tr>
      <w:tr w:rsidR="009D1520" w14:paraId="439CABD7" w14:textId="77777777">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5793DDB"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Thermal Dissipation</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746BC7E"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6050mm² Cyclone VC Cooling System</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1FBA27FC"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Crucial for mitigating thermal throttling. The vapor chamber allows the device to sustain higher NPU clock speeds during prolonged token generation phases.</w:t>
            </w:r>
          </w:p>
        </w:tc>
      </w:tr>
      <w:tr w:rsidR="009D1520" w14:paraId="10733503" w14:textId="77777777">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C7920E8"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Display Matrix</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DF06142"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6.77-inch OLED, 120Hz, 4500 nits Peak</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09D02049"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Enables the high-framerate rendering required for the Glassmorphism 2.0 WebGL shaders. The extreme brightness guarantees visibility during outdoor contextual queries.</w:t>
            </w:r>
          </w:p>
        </w:tc>
      </w:tr>
      <w:tr w:rsidR="009D1520" w14:paraId="28822916" w14:textId="77777777">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EC5792D"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Ingress Protection</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8C678F4"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IP69 Top-Tier Waterproof</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211B1F08"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Ensures device survival in harsh, high-humidity, or dusty environments, allowing the ambient intelligence to travel anywhere the user goes.</w:t>
            </w:r>
          </w:p>
        </w:tc>
      </w:tr>
    </w:tbl>
    <w:p w14:paraId="246EE6CB" w14:textId="77777777" w:rsidR="009D1520" w:rsidRDefault="00000000">
      <w:pPr>
        <w:pBdr>
          <w:top w:val="nil"/>
          <w:left w:val="nil"/>
          <w:bottom w:val="nil"/>
          <w:right w:val="nil"/>
          <w:between w:val="nil"/>
        </w:pBdr>
        <w:spacing w:before="480" w:after="150" w:line="275" w:lineRule="auto"/>
        <w:rPr>
          <w:rFonts w:ascii="Google Sans" w:eastAsia="Google Sans" w:hAnsi="Google Sans" w:cs="Google Sans"/>
          <w:color w:val="1F1F1F"/>
        </w:rPr>
      </w:pPr>
      <w:r>
        <w:rPr>
          <w:rFonts w:ascii="Google Sans" w:eastAsia="Google Sans" w:hAnsi="Google Sans" w:cs="Google Sans"/>
          <w:color w:val="1F1F1F"/>
        </w:rPr>
        <w:t xml:space="preserve">The architecture strictly prohibits falling back to traditional CPU or GPU inference on this mobile node. To harness the MediaTek Dimensity 7400 efficiently, the software stack must </w:t>
      </w:r>
      <w:r>
        <w:rPr>
          <w:rFonts w:ascii="Google Sans" w:eastAsia="Google Sans" w:hAnsi="Google Sans" w:cs="Google Sans"/>
          <w:color w:val="1F1F1F"/>
        </w:rPr>
        <w:lastRenderedPageBreak/>
        <w:t>interface directly with the silicon's dedicated AI blocks, which forms the basis of the local intelligence orchestration strategy.</w:t>
      </w:r>
    </w:p>
    <w:p w14:paraId="4D98BD42"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Local Intelligence Orchestration: Gemma-4-e4b and LiteRT-LM</w:t>
      </w:r>
    </w:p>
    <w:p w14:paraId="77A159B3"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core cognitive engine for the Pocket Brain is the Gemma-4-e4b model, orchestrated via the LiteRT-LM cross-platform inference framework. The selection of this specific model and runtime combination is the most critical technical decision in the Mobile-First phase, dictating both the reasoning capacity and the power draw of the system.</w:t>
      </w:r>
    </w:p>
    <w:p w14:paraId="03FB283C" w14:textId="77777777" w:rsidR="009D1520"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Architectural Innovations of Gemma-4-e4b</w:t>
      </w:r>
    </w:p>
    <w:p w14:paraId="5543312E"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Gemma 4 family introduces structural innovations that maximize logical deduction capabilities per parameter, specifically targeting environments where active memory is constrained. The "e4b" nomenclature indicates "effective" 4 billion parameters. Rather than utilizing a traditional dense architecture where every parameter is invoked during every forward pass, this model relies on Per-Layer Embeddings (PLE) to maximize parameter efficiency.</w:t>
      </w:r>
    </w:p>
    <w:p w14:paraId="0DC29212"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In standard transformer architectures, adding capacity requires adding more deep layers, which exponentially increases the computational cost of inference. The PLE system in Gemma-4-e4b circumvents this by providing each individual decoder layer with its own dedicated, lightweight embedding table for every token. These localized tables are utilized strictly for rapid lookups, meaning the model can access a vast repository of latent knowledge without executing heavy matrix multiplications for every layer. This mechanism allows the effective parameter count responsible for computational load to remain minimal, while the total representational capacity is vastly expanded.</w:t>
      </w:r>
    </w:p>
    <w:p w14:paraId="7C6A86A4"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Furthermore, the model addresses the challenge of long-context comprehension on mobile devices through an alternating attention mechanism. The architecture alternates between local sliding-window attention and global full-context attention layers. This dual configuration is supported by a dual Rotary Position Embedding (RoPE) setup, utilizing standard RoPE for the sliding window layers and proportional RoPE for the global layers. Consequently, the model can process extensive user histories without suffering from catastrophic memory fragmentation or localized context amnesia. The inclusion of a Shared Key-Value (KV) Cache further reduces memory pressure by allowing the final layers to reuse states from earlier layers, effectively eliminating redundant KV projections.</w:t>
      </w:r>
    </w:p>
    <w:p w14:paraId="1DBC3412" w14:textId="77777777" w:rsidR="009D1520"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NPU Dispatch via LiteRT-LM and RunAnywhere SDK</w:t>
      </w:r>
    </w:p>
    <w:p w14:paraId="58265EFE"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Deploying Gemma-4-e4b efficiently requires navigating the complexities of mobile hardware acceleration. The system relies on LiteRT-LM, a production-ready framework designed </w:t>
      </w:r>
      <w:r>
        <w:rPr>
          <w:rFonts w:ascii="Google Sans" w:eastAsia="Google Sans" w:hAnsi="Google Sans" w:cs="Google Sans"/>
          <w:color w:val="1F1F1F"/>
        </w:rPr>
        <w:lastRenderedPageBreak/>
        <w:t>specifically to deliver high-performance large language model deployment on edge devices. LiteRT-LM provides a sophisticated orchestration layer that manages the intricacies of model lowering, memory allocation, and execution dispatch.</w:t>
      </w:r>
    </w:p>
    <w:p w14:paraId="531728EA"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Because the Realme Narzo 80 Pro utilizes a MediaTek SoC, the deployment requires compiling the LiteRT-LM runtime directly against the MediaTek NeuroPilot APIs. The model itself must be heavily compressed, utilizing a 4-bit per-channel quantization to convert it into the specialized .litertlm format. This format ensures that the model fits comfortably within the memory limits of the NPU while minimizing the impact on perplexity and reasoning accuracy.</w:t>
      </w:r>
    </w:p>
    <w:p w14:paraId="3A896F67"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implementation procedure requires building the main binary alongside the MediaTek Dispatch API library (dispatch_api_so). During the initialization phase of the Android application, the compiled binaries and the quantized .litertlm payload are pushed to a secure device execution folder. The orchestration layer then invokes the execution thread, explicitly passing the --backend=npu flag. This explicit hardware targeting is critical; benchmarking data demonstrates that NPU acceleration via LiteRT-LM yields an additional 3x performance gain over traditional GPU processing while simultaneously reducing power consumption by up to 60%.</w:t>
      </w:r>
    </w:p>
    <w:p w14:paraId="45838674"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To abstract the lowest-level memory management tasks and provide a unified development interface, the architecture wraps the LiteRT-LM execution in the RunAnywhere SDK. This runtime infrastructure layer allows the intelligence to connect natively with the operating system, providing the LLM with direct, offline access to local file systems, system settings, and native application triggers.</w:t>
      </w:r>
    </w:p>
    <w:p w14:paraId="61C9E748"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Interaction Architecture: The Kotlin/Flutter ReAct Loop</w:t>
      </w:r>
    </w:p>
    <w:p w14:paraId="19BA9884"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Divine Buddy is not designed to function as a traditional prompt-response chatbot. It is engineered as an autonomous agent operating via a continuous Reasoning and Acting (ReAct) loop. This cognitive cycle allows the agent to observe ambient system states, formulate multi-step plans, and execute actions independently of direct user text input.</w:t>
      </w:r>
    </w:p>
    <w:p w14:paraId="2679ADE3"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software architecture implementing this loop utilizes a dual-stack approach. The lower-level system interactions, background service persistence, and hardware dispatch operations are written in Kotlin. Kotlin provides the native performance necessary to bind directly with Android OS intents, access sensor data, and manage the RunAnywhere SDK bridging. Conversely, the front-end rendering, state management, and user interface orchestration are handled by Flutter. This separation of concerns ensures that heavy NPU inference tasks do not block the main UI thread, resulting in a perfectly fluid user experience.</w:t>
      </w:r>
    </w:p>
    <w:p w14:paraId="25109E34"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Within the ReAct paradigm, the agent receives a stimulus—which may be an explicit user voice command, an incoming Android notification, a calendar event, or a geolocation change. Upon </w:t>
      </w:r>
      <w:r>
        <w:rPr>
          <w:rFonts w:ascii="Google Sans" w:eastAsia="Google Sans" w:hAnsi="Google Sans" w:cs="Google Sans"/>
          <w:color w:val="1F1F1F"/>
        </w:rPr>
        <w:lastRenderedPageBreak/>
        <w:t>receiving the stimulus, the Gemma-4-e4b model generates a "Thought" trace, outlining its logical deduction of the situation. It then selects an "Action" from a predefined array of system tools.</w:t>
      </w:r>
    </w:p>
    <w:p w14:paraId="09920856"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A critical enabler for this process is the constrained decoding support built into LiteRT-LM. Constrained decoding forces the LLM to output its actions in strict, deterministic formats (such as validated JSON). This guarantees that the Kotlin backend can parse the LLM's requested action without errors caused by hallucinated syntax. Once the action is executed—for example, searching a local document or checking the device battery level—the system feeds the resulting "Observation" back into the context window, prompting the model to evaluate the result and determine the next step in the loop. This iterative process continues until the agent fulfills the overarching objective.</w:t>
      </w:r>
    </w:p>
    <w:p w14:paraId="42567DBE"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Presentation Layer: Glassmorphism 2.0 and Liquid Glass UI</w:t>
      </w:r>
    </w:p>
    <w:p w14:paraId="0B22CC33"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visual representation of an autonomous AI agent must visually communicate its depth, state, and cognitive load. The user interface for the Divine Buddy abandons static, flat design paradigms in favor of Glassmorphism 2.0, utilizing a specific design language characterized as "Liquid Glass".</w:t>
      </w:r>
    </w:p>
    <w:p w14:paraId="510082C3"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Liquid Glass UI treats the interface as a dynamic, living material rather than a rigid hierarchy of pixels. This design philosophy relies on the concept of "Adaptive Transparency," where the interface elements continuously respond to the underlying content, motion, and the agent's internal state. The implementation goes far beyond simple background blurring; it requires programmatic control over opacity, blur radius, light refraction, and spatial elevation. On Android 17, Liquid Glass is implemented via Jetpack Compose Multiplatform, utilizing custom RuntimeShader and RenderEffect APIs to manage micro-refractions across UI elements seamlessly.</w:t>
      </w:r>
    </w:p>
    <w:p w14:paraId="1BA5628F"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When the user interacts with the agent, the interface surfaces subtly flex and distort as content moves behind them, simulating physical micro-refractions. The visual appearance of the UI is intrinsically linked to the cognitive load of the NPU execution. When the ReAct loop is processing a complex, multi-step problem, the UI elements dynamically adjust their frosted panels and diffused shadows, simulating internal depth and computational heat. Furthermore, the UI proactively delivers "Nudges" to the user, acting on its own "Kid" curiosity, visualizing these background thoughts as soft, pulsing ambient widgets.</w:t>
      </w:r>
    </w:p>
    <w:p w14:paraId="32C2DB1F"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Rendering these complex WebGL-based components requires immense graphical throughput. The Realme Narzo 80 Pro's 6.77-inch OLED display, featuring a 120Hz refresh rate and a peak brightness of 4500 nits, provides the perfect hardware canvas for this. The high refresh rate ensures that the motion-driven interface patterns remain fluid, while the extreme peak brightness allows the subtle light refractions and deep contrast ratios (5,000,000:1) of the </w:t>
      </w:r>
      <w:r>
        <w:rPr>
          <w:rFonts w:ascii="Google Sans" w:eastAsia="Google Sans" w:hAnsi="Google Sans" w:cs="Google Sans"/>
          <w:color w:val="1F1F1F"/>
        </w:rPr>
        <w:lastRenderedPageBreak/>
        <w:t>Glassmorphism to remain visible even in direct sunlight. This spatial design approach serves as a bridge, preparing the user for future multimodal augmented reality interactions by presenting the AI as a tangible entity existing just behind the glass.</w:t>
      </w:r>
    </w:p>
    <w:p w14:paraId="785CFF90"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Environmental Resilience: Thermal-Aware Survival Governor (TAWS)</w:t>
      </w:r>
    </w:p>
    <w:p w14:paraId="22C52635"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Deploying a continuous, heavy-compute ReAct loop on mobile hardware introduces severe physical constraints, particularly given the targeted deployment environment. Project #001 {Kid} must operate flawlessly in regions such as Punjab, where ambient summer temperatures routinely exceed 45°C. Rapid localized heating of the Dimensity 7400 SoC not only accelerates battery degradation but triggers hardware-level thermal throttling, which exponentially degrades NPU clock speeds, destroys token generation latency, and ultimately causes the operating system to force-kill the application to preserve silicon integrity.</w:t>
      </w:r>
    </w:p>
    <w:p w14:paraId="00579281"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To ensure systemic survival, the architecture necessitates the implementation of a Thermal-Aware Survival governor. This governor operates as a high-priority, lightweight background daemon that continuously monitors thermistor data and preemptively intercepts the ReAct loop before thermal thresholds are breached. The intelligence powering this survival governor is MobileLLM-R1.5, an ultra-compact language model specifically engineered for deep reasoning under extreme hardware constraints.</w:t>
      </w:r>
    </w:p>
    <w:p w14:paraId="3A9C0AC6" w14:textId="77777777" w:rsidR="009D1520"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The MobileLLM-R1.5 Fallback Architecture</w:t>
      </w:r>
    </w:p>
    <w:p w14:paraId="0F561258"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When the ambient temperature spikes and the device's internal heat generation begins to outpace the dissipation capabilities of the 6050mm² vapor chamber, running the 4B parameter Gemma model becomes physically unsustainable. Under these conditions, the governor seamlessly swaps the active intelligence engine to MobileLLM-R1.5.</w:t>
      </w:r>
    </w:p>
    <w:p w14:paraId="740A759C"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Despite possessing only 949 million parameters, MobileLLM-R1.5 achieves a remarkable AIME score of 39.9, demonstrating advanced mathematical problem-solving and logic orchestration capabilities that rival models more than twice its size. This high efficiency is derived from its unique structural composition. The model employs a deep-and-thin transformer architecture consisting of 22 layers, optimized with a model dimension of 1536 and a hidden dimension of 6144. Furthermore, the integration of SwiGLU activation functions, embedding sharing, and grouped-query attention drastically minimizes the memory bandwidth required for inference, drastically reducing the electrical power converted to heat during semiconductor switching.</w:t>
      </w:r>
    </w:p>
    <w:p w14:paraId="504ED1FD" w14:textId="77777777" w:rsidR="009D1520"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The TAWS Reinforcement Learning Scheduler</w:t>
      </w:r>
    </w:p>
    <w:p w14:paraId="7ADABB89"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The decision to throttle inference, swap to the MobileLLM-R1.5 model, or entirely offload compute to the desktop is not hardcoded via static temperature thresholds. Instead, it is managed by a Reinforcement Learning (RL) scheduler known as the Thermal-Aware Workload </w:t>
      </w:r>
      <w:r>
        <w:rPr>
          <w:rFonts w:ascii="Google Sans" w:eastAsia="Google Sans" w:hAnsi="Google Sans" w:cs="Google Sans"/>
          <w:color w:val="1F1F1F"/>
        </w:rPr>
        <w:lastRenderedPageBreak/>
        <w:t>Scheduler (TAWS).</w:t>
      </w:r>
    </w:p>
    <w:p w14:paraId="345974CD"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TAWS continuously formulates an optimization problem designed to maximize system throughput (tokens per second) while maintaining thermal equilibrium. The scheduler monitors the ambient temperature (</w:t>
      </w:r>
      <w:r>
        <w:rPr>
          <w:rFonts w:ascii="Google Sans" w:eastAsia="Google Sans" w:hAnsi="Google Sans" w:cs="Google Sans"/>
          <w:noProof/>
          <w:color w:val="1F1F1F"/>
        </w:rPr>
        <w:drawing>
          <wp:inline distT="19050" distB="19050" distL="19050" distR="19050" wp14:anchorId="1B54219C" wp14:editId="059A21DC">
            <wp:extent cx="353913" cy="229565"/>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
                    <a:srcRect/>
                    <a:stretch>
                      <a:fillRect/>
                    </a:stretch>
                  </pic:blipFill>
                  <pic:spPr>
                    <a:xfrm>
                      <a:off x="0" y="0"/>
                      <a:ext cx="353913" cy="229565"/>
                    </a:xfrm>
                    <a:prstGeom prst="rect">
                      <a:avLst/>
                    </a:prstGeom>
                    <a:ln/>
                  </pic:spPr>
                </pic:pic>
              </a:graphicData>
            </a:graphic>
          </wp:inline>
        </w:drawing>
      </w:r>
      <w:r>
        <w:rPr>
          <w:rFonts w:ascii="Google Sans" w:eastAsia="Google Sans" w:hAnsi="Google Sans" w:cs="Google Sans"/>
          <w:color w:val="1F1F1F"/>
        </w:rPr>
        <w:t>), the specific core temperature of the SoC (</w:t>
      </w:r>
      <w:r>
        <w:rPr>
          <w:rFonts w:ascii="Google Sans" w:eastAsia="Google Sans" w:hAnsi="Google Sans" w:cs="Google Sans"/>
          <w:noProof/>
          <w:color w:val="1F1F1F"/>
        </w:rPr>
        <w:drawing>
          <wp:inline distT="19050" distB="19050" distL="19050" distR="19050" wp14:anchorId="0511B3A4" wp14:editId="13254F55">
            <wp:extent cx="367606" cy="226219"/>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
                    <a:srcRect/>
                    <a:stretch>
                      <a:fillRect/>
                    </a:stretch>
                  </pic:blipFill>
                  <pic:spPr>
                    <a:xfrm>
                      <a:off x="0" y="0"/>
                      <a:ext cx="367606" cy="226219"/>
                    </a:xfrm>
                    <a:prstGeom prst="rect">
                      <a:avLst/>
                    </a:prstGeom>
                    <a:ln/>
                  </pic:spPr>
                </pic:pic>
              </a:graphicData>
            </a:graphic>
          </wp:inline>
        </w:drawing>
      </w:r>
      <w:r>
        <w:rPr>
          <w:rFonts w:ascii="Google Sans" w:eastAsia="Google Sans" w:hAnsi="Google Sans" w:cs="Google Sans"/>
          <w:color w:val="1F1F1F"/>
        </w:rPr>
        <w:t>), and the heat generation resulting from the dynamic voltage and frequency scaling (DVFS) of the NPU.</w:t>
      </w:r>
    </w:p>
    <w:p w14:paraId="66E2A407"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mathematical objective is to ensure that the generated thermal load (</w:t>
      </w:r>
      <w:r>
        <w:rPr>
          <w:rFonts w:ascii="Google Sans" w:eastAsia="Google Sans" w:hAnsi="Google Sans" w:cs="Google Sans"/>
          <w:noProof/>
          <w:color w:val="1F1F1F"/>
        </w:rPr>
        <w:drawing>
          <wp:inline distT="19050" distB="19050" distL="19050" distR="19050" wp14:anchorId="19611E90" wp14:editId="3DDE3402">
            <wp:extent cx="377280" cy="226368"/>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77280" cy="226368"/>
                    </a:xfrm>
                    <a:prstGeom prst="rect">
                      <a:avLst/>
                    </a:prstGeom>
                    <a:ln/>
                  </pic:spPr>
                </pic:pic>
              </a:graphicData>
            </a:graphic>
          </wp:inline>
        </w:drawing>
      </w:r>
      <w:r>
        <w:rPr>
          <w:rFonts w:ascii="Google Sans" w:eastAsia="Google Sans" w:hAnsi="Google Sans" w:cs="Google Sans"/>
          <w:color w:val="1F1F1F"/>
        </w:rPr>
        <w:t>) never exceeds the physical heat removal capacity of the hardware:</w:t>
      </w:r>
    </w:p>
    <w:p w14:paraId="1FBB8C4B" w14:textId="77777777" w:rsidR="009D1520"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noProof/>
          <w:color w:val="1F1F1F"/>
        </w:rPr>
        <w:drawing>
          <wp:inline distT="19050" distB="19050" distL="19050" distR="19050" wp14:anchorId="107E0553" wp14:editId="4D9EF766">
            <wp:extent cx="5905500" cy="322327"/>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05500" cy="322327"/>
                    </a:xfrm>
                    <a:prstGeom prst="rect">
                      <a:avLst/>
                    </a:prstGeom>
                    <a:ln/>
                  </pic:spPr>
                </pic:pic>
              </a:graphicData>
            </a:graphic>
          </wp:inline>
        </w:drawing>
      </w:r>
    </w:p>
    <w:p w14:paraId="7901D45D"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In this constraint, </w:t>
      </w:r>
      <w:r>
        <w:rPr>
          <w:rFonts w:ascii="Google Sans" w:eastAsia="Google Sans" w:hAnsi="Google Sans" w:cs="Google Sans"/>
          <w:noProof/>
          <w:color w:val="1F1F1F"/>
        </w:rPr>
        <w:drawing>
          <wp:inline distT="19050" distB="19050" distL="19050" distR="19050" wp14:anchorId="6685F15F" wp14:editId="3B89CA3D">
            <wp:extent cx="148531" cy="222796"/>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48531" cy="222796"/>
                    </a:xfrm>
                    <a:prstGeom prst="rect">
                      <a:avLst/>
                    </a:prstGeom>
                    <a:ln/>
                  </pic:spPr>
                </pic:pic>
              </a:graphicData>
            </a:graphic>
          </wp:inline>
        </w:drawing>
      </w:r>
      <w:r>
        <w:rPr>
          <w:rFonts w:ascii="Google Sans" w:eastAsia="Google Sans" w:hAnsi="Google Sans" w:cs="Google Sans"/>
          <w:color w:val="1F1F1F"/>
        </w:rPr>
        <w:t xml:space="preserve"> represents voltage, </w:t>
      </w:r>
      <w:r>
        <w:rPr>
          <w:rFonts w:ascii="Google Sans" w:eastAsia="Google Sans" w:hAnsi="Google Sans" w:cs="Google Sans"/>
          <w:noProof/>
          <w:color w:val="1F1F1F"/>
        </w:rPr>
        <w:drawing>
          <wp:inline distT="19050" distB="19050" distL="19050" distR="19050" wp14:anchorId="30206240" wp14:editId="6565EDCA">
            <wp:extent cx="110281" cy="220563"/>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110281" cy="220563"/>
                    </a:xfrm>
                    <a:prstGeom prst="rect">
                      <a:avLst/>
                    </a:prstGeom>
                    <a:ln/>
                  </pic:spPr>
                </pic:pic>
              </a:graphicData>
            </a:graphic>
          </wp:inline>
        </w:drawing>
      </w:r>
      <w:r>
        <w:rPr>
          <w:rFonts w:ascii="Google Sans" w:eastAsia="Google Sans" w:hAnsi="Google Sans" w:cs="Google Sans"/>
          <w:color w:val="1F1F1F"/>
        </w:rPr>
        <w:t xml:space="preserve"> represents frequency, </w:t>
      </w:r>
      <w:r>
        <w:rPr>
          <w:rFonts w:ascii="Google Sans" w:eastAsia="Google Sans" w:hAnsi="Google Sans" w:cs="Google Sans"/>
          <w:noProof/>
          <w:color w:val="1F1F1F"/>
        </w:rPr>
        <w:drawing>
          <wp:inline distT="19050" distB="19050" distL="19050" distR="19050" wp14:anchorId="12605599" wp14:editId="14C081B0">
            <wp:extent cx="147191" cy="225693"/>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147191" cy="225693"/>
                    </a:xfrm>
                    <a:prstGeom prst="rect">
                      <a:avLst/>
                    </a:prstGeom>
                    <a:ln/>
                  </pic:spPr>
                </pic:pic>
              </a:graphicData>
            </a:graphic>
          </wp:inline>
        </w:drawing>
      </w:r>
      <w:r>
        <w:rPr>
          <w:rFonts w:ascii="Google Sans" w:eastAsia="Google Sans" w:hAnsi="Google Sans" w:cs="Google Sans"/>
          <w:color w:val="1F1F1F"/>
        </w:rPr>
        <w:t xml:space="preserve"> represents the resource allocation, </w:t>
      </w:r>
      <w:r>
        <w:rPr>
          <w:rFonts w:ascii="Google Sans" w:eastAsia="Google Sans" w:hAnsi="Google Sans" w:cs="Google Sans"/>
          <w:noProof/>
          <w:color w:val="1F1F1F"/>
        </w:rPr>
        <w:drawing>
          <wp:inline distT="19050" distB="19050" distL="19050" distR="19050" wp14:anchorId="383BEBC5" wp14:editId="6DD0AC32">
            <wp:extent cx="106263" cy="231846"/>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106263" cy="231846"/>
                    </a:xfrm>
                    <a:prstGeom prst="rect">
                      <a:avLst/>
                    </a:prstGeom>
                    <a:ln/>
                  </pic:spPr>
                </pic:pic>
              </a:graphicData>
            </a:graphic>
          </wp:inline>
        </w:drawing>
      </w:r>
      <w:r>
        <w:rPr>
          <w:rFonts w:ascii="Google Sans" w:eastAsia="Google Sans" w:hAnsi="Google Sans" w:cs="Google Sans"/>
          <w:color w:val="1F1F1F"/>
        </w:rPr>
        <w:t xml:space="preserve"> is the thermal conductivity coefficient of the chassis, and </w:t>
      </w:r>
      <w:r>
        <w:rPr>
          <w:rFonts w:ascii="Google Sans" w:eastAsia="Google Sans" w:hAnsi="Google Sans" w:cs="Google Sans"/>
          <w:noProof/>
          <w:color w:val="1F1F1F"/>
        </w:rPr>
        <w:drawing>
          <wp:inline distT="19050" distB="19050" distL="19050" distR="19050" wp14:anchorId="796AECE0" wp14:editId="160E512D">
            <wp:extent cx="333078" cy="228396"/>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333078" cy="228396"/>
                    </a:xfrm>
                    <a:prstGeom prst="rect">
                      <a:avLst/>
                    </a:prstGeom>
                    <a:ln/>
                  </pic:spPr>
                </pic:pic>
              </a:graphicData>
            </a:graphic>
          </wp:inline>
        </w:drawing>
      </w:r>
      <w:r>
        <w:rPr>
          <w:rFonts w:ascii="Google Sans" w:eastAsia="Google Sans" w:hAnsi="Google Sans" w:cs="Google Sans"/>
          <w:color w:val="1F1F1F"/>
        </w:rPr>
        <w:t xml:space="preserve"> represents the specific dissipation rate of the Realme Narzo's vapor chamber. By dynamically adjusting these parameters in real time, TAWS eliminates sudden throttling events and restores lost throughput, ensuring the Divine Buddy remains conscious and responsive regardless of the external environmental heat.</w:t>
      </w:r>
    </w:p>
    <w:p w14:paraId="563CD9B0"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Distributed Cognition: The "Desktop Nervous System" (Phase 2)</w:t>
      </w:r>
    </w:p>
    <w:p w14:paraId="77780FF9"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While the Pocket Brain excels at ambient monitoring, state observation, and instantaneous conversational dialogue, its hardware ultimately places a hard ceiling on cognitive capability. Complex generative tasks—such as processing massive multi-file codebases, analyzing large spatial datasets, or executing dense MoE models—must be delegated. Phase 2 of the architecture solves this by integrating a Dell G15 laptop, which serves as the "Desktop Nervous System."</w:t>
      </w:r>
    </w:p>
    <w:p w14:paraId="5409B7E5" w14:textId="77777777" w:rsidR="009D1520"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Gated DeltaNet and Qwen3-Coder-Next Integration</w:t>
      </w:r>
    </w:p>
    <w:p w14:paraId="13E0B086"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The architectural leap for the Desktop Nervous System relies on the integration of </w:t>
      </w:r>
      <w:r>
        <w:rPr>
          <w:rFonts w:ascii="Google Sans" w:eastAsia="Google Sans" w:hAnsi="Google Sans" w:cs="Google Sans"/>
          <w:b/>
          <w:bCs/>
          <w:color w:val="1F1F1F"/>
        </w:rPr>
        <w:t>Qwen3-Coder-Next</w:t>
      </w:r>
      <w:r>
        <w:rPr>
          <w:rFonts w:ascii="Google Sans" w:eastAsia="Google Sans" w:hAnsi="Google Sans" w:cs="Google Sans"/>
          <w:color w:val="1F1F1F"/>
        </w:rPr>
        <w:t>, an 80-billion parameter MoE design that achieves breakthrough capabilities by activating only 3 billion parameters per token. This extreme efficiency allows it to run smoothly on the Dell G15's 16GB RAM and 6GB VRAM constraint, providing the power of a colossal model without the hardware penalty.</w:t>
      </w:r>
    </w:p>
    <w:p w14:paraId="2DE0C079"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The secret to this localized capability is Qwen3-Coder-Next's hybrid backbone, which interleaves </w:t>
      </w:r>
      <w:r>
        <w:rPr>
          <w:rFonts w:ascii="Google Sans" w:eastAsia="Google Sans" w:hAnsi="Google Sans" w:cs="Google Sans"/>
          <w:b/>
          <w:bCs/>
          <w:color w:val="1F1F1F"/>
        </w:rPr>
        <w:t>Gated DeltaNet</w:t>
      </w:r>
      <w:r>
        <w:rPr>
          <w:rFonts w:ascii="Google Sans" w:eastAsia="Google Sans" w:hAnsi="Google Sans" w:cs="Google Sans"/>
          <w:color w:val="1F1F1F"/>
        </w:rPr>
        <w:t xml:space="preserve"> and Gated Attention blocks at a 3:1 ratio. Gated DeltaNet acts as a linear attention mechanism with a learned forget gate, keeping per-token compute exceptionally low while maintaining a massive 256K native context length. This allows the Dell G15 node to ingest the user's entire repository without chunking or external retrieval hacks, </w:t>
      </w:r>
      <w:r>
        <w:rPr>
          <w:rFonts w:ascii="Google Sans" w:eastAsia="Google Sans" w:hAnsi="Google Sans" w:cs="Google Sans"/>
          <w:color w:val="1F1F1F"/>
        </w:rPr>
        <w:lastRenderedPageBreak/>
        <w:t>achieving perfect context comprehension across thousands of files.</w:t>
      </w:r>
    </w:p>
    <w:p w14:paraId="2244B9DA" w14:textId="77777777" w:rsidR="009D1520"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Tailscale P2P Mesh and the Wake-on-LAN Dilemma</w:t>
      </w:r>
    </w:p>
    <w:p w14:paraId="419A9625"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fundamental requirement of the Divine Buddy architecture is zero-trust privacy. Consequently, routing requests between the mobile device and the desktop via public cloud infrastructure is strictly prohibited. To connect the two nodes, the architecture employs a Peer-to-Peer (P2P) mesh network utilizing Tailscale, which is built upon the highly secure WireGuard protocol.</w:t>
      </w:r>
    </w:p>
    <w:p w14:paraId="627EDAE3"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Tailscale assigns cryptographic IP addresses to both the Realme Android device and the Windows desktop, creating a flat, encrypted Virtual Private Network (VPN) fabric that persists regardless of the physical geographic location of either device. This allows the mobile agent to communicate with the desktop as if they were sitting on the same local Wi-Fi network, even if the user is traveling globally.</w:t>
      </w:r>
    </w:p>
    <w:p w14:paraId="37A02150"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However, operating a high-performance gaming laptop continuously consumes massive amounts of electricity and generates unnecessary ambient noise. The Dell G15 must remain in a low-power sleep state until the Android agent specifically requires heavy compute offloading. Because WoL packets operate exclusively at the data-link layer (OSI Layer 2) and Tailscale operates at the network layer (OSI Layer 3), the architecture mandates the deployment of an always-on, low-power proxy node (like a flashed local router) within the Dell G15's local physical network.</w:t>
      </w:r>
    </w:p>
    <w:p w14:paraId="152AD4A7"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When the Pocket Brain's thermal governor determines that a task must be offloaded, the mobile agent sends an API request over the Tailscale VPN to the proxy node. The proxy translates it into a Layer 2 WoL magic packet and broadcasts it across the local ethernet. The Dell G15 receives the packet, wakes from sleep, initializes its operating system, and automatically handshakes with the Tailscale mesh, bringing the massive Qwen3 MoE resources online.</w:t>
      </w:r>
    </w:p>
    <w:p w14:paraId="272CD54C"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The Self-Auditing GitHub Agent</w:t>
      </w:r>
    </w:p>
    <w:p w14:paraId="7DFF9B26"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To achieve technical and financial freedom, the AI must act as an autonomous engineer rather than a simple autocomplete tool. Running on the Desktop Nervous System, Qwen3-Coder-Next functions as a </w:t>
      </w:r>
      <w:r>
        <w:rPr>
          <w:rFonts w:ascii="Google Sans" w:eastAsia="Google Sans" w:hAnsi="Google Sans" w:cs="Google Sans"/>
          <w:b/>
          <w:bCs/>
          <w:color w:val="1F1F1F"/>
        </w:rPr>
        <w:t>Self-Auditing GitHub Agent</w:t>
      </w:r>
      <w:r>
        <w:rPr>
          <w:rFonts w:ascii="Google Sans" w:eastAsia="Google Sans" w:hAnsi="Google Sans" w:cs="Google Sans"/>
          <w:color w:val="1F1F1F"/>
        </w:rPr>
        <w:t>. Because Qwen3-Coder-Next was trained on 800,000 executable tasks with environment interaction and reinforcement learning, it inherently understands how to operate within a terminal and a filesystem.</w:t>
      </w:r>
    </w:p>
    <w:p w14:paraId="51EFF924"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This coding agent utilizes "Negative Space" project design. Instead of merely responding to immediate prompts, the agent systematically searches the "negative space" of a project—identifying missing documentation, unhandled edge cases, and structural gaps. Through Autonomous Reflection Loops, whenever the user pushes a release to GitHub, the agent audits its own commits, evaluates the code execution, proposes "Genetic Upgrades" for the </w:t>
      </w:r>
      <w:r>
        <w:rPr>
          <w:rFonts w:ascii="Google Sans" w:eastAsia="Google Sans" w:hAnsi="Google Sans" w:cs="Google Sans"/>
          <w:color w:val="1F1F1F"/>
        </w:rPr>
        <w:lastRenderedPageBreak/>
        <w:t>next sprint, and automatically drafts the CHANGELOG.md.</w:t>
      </w:r>
    </w:p>
    <w:p w14:paraId="7E35A920"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Synergistic Compute Offloading via Model Context Protocol (MCP)</w:t>
      </w:r>
    </w:p>
    <w:p w14:paraId="6BA622AA"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Once the Desktop Nervous System is awake, the mobile agent routes complex prompts and tool requests using the </w:t>
      </w:r>
      <w:r>
        <w:rPr>
          <w:rFonts w:ascii="Google Sans" w:eastAsia="Google Sans" w:hAnsi="Google Sans" w:cs="Google Sans"/>
          <w:b/>
          <w:bCs/>
          <w:color w:val="1F1F1F"/>
        </w:rPr>
        <w:t>Model Context Protocol (MCP)</w:t>
      </w:r>
      <w:r>
        <w:rPr>
          <w:rFonts w:ascii="Google Sans" w:eastAsia="Google Sans" w:hAnsi="Google Sans" w:cs="Google Sans"/>
          <w:color w:val="1F1F1F"/>
        </w:rPr>
        <w:t>. MCP provides a highly secure, universal transport layer that standardizes two-way communication between Large Language Models and external data sources or applications.</w:t>
      </w:r>
    </w:p>
    <w:p w14:paraId="5F8CBF47"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Android application acts as both the MCP Host and Client, interpreting the user's request. The Dell G15 acts as the remote MCP server, exposing the Qwen3-Coder-Next model and specific desktop capabilities over the Tailscale JSON-RPC tunnel. This enables the Android agent to trigger Python scripts, execute web searches, or manipulate Git repositories on the desktop, seamlessly delivering the results back to the Liquid Glass UI on the mobile device.</w:t>
      </w:r>
    </w:p>
    <w:p w14:paraId="3592F9CF"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Biomimetic State Persistence: Hindsight Memory and The Circle of Trust</w:t>
      </w:r>
    </w:p>
    <w:p w14:paraId="62864D11"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Project #001 {Kid} abandons standard vector RAG in favor of </w:t>
      </w:r>
      <w:r>
        <w:rPr>
          <w:rFonts w:ascii="Google Sans" w:eastAsia="Google Sans" w:hAnsi="Google Sans" w:cs="Google Sans"/>
          <w:b/>
          <w:bCs/>
          <w:color w:val="1F1F1F"/>
        </w:rPr>
        <w:t>Hindsight Memory</w:t>
      </w:r>
      <w:r>
        <w:rPr>
          <w:rFonts w:ascii="Google Sans" w:eastAsia="Google Sans" w:hAnsi="Google Sans" w:cs="Google Sans"/>
          <w:color w:val="1F1F1F"/>
        </w:rPr>
        <w:t>, a biomimetic data structure designed to allow agents to actively learn and evolve over time by organizing knowledge into a hierarchy of Raw Facts, Observations, and Mental Models.</w:t>
      </w:r>
    </w:p>
    <w:p w14:paraId="55478155"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When the ReAct loop requires historical context, it invokes the Hindsight reflect() operation utilizing Graph-of-Thought reasoning. This prevents context fragmentation by tracking how a project idea evolves over weeks, finding indirect connections between concepts.</w:t>
      </w:r>
    </w:p>
    <w:p w14:paraId="333972E5"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To transform the AI into a "Buddy" for the user's broader ecosystem, the Hindsight database incorporates </w:t>
      </w:r>
      <w:r>
        <w:rPr>
          <w:rFonts w:ascii="Google Sans" w:eastAsia="Google Sans" w:hAnsi="Google Sans" w:cs="Google Sans"/>
          <w:b/>
          <w:bCs/>
          <w:color w:val="1F1F1F"/>
        </w:rPr>
        <w:t>Multi-User Shared Episodic Memory</w:t>
      </w:r>
      <w:r>
        <w:rPr>
          <w:rFonts w:ascii="Google Sans" w:eastAsia="Google Sans" w:hAnsi="Google Sans" w:cs="Google Sans"/>
          <w:color w:val="1F1F1F"/>
        </w:rPr>
        <w:t>. If the user and a designated friend collaborate on a project, the system accurately distinguishes between "User A" and "Friend B," maintaining separate relationship weights while tracking the shared episodic context of who suggested which idea.</w:t>
      </w:r>
    </w:p>
    <w:p w14:paraId="3DF98CF0"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Seamless Spatial Continuity: Android 17 Handoff and Windows ODR</w:t>
      </w:r>
    </w:p>
    <w:p w14:paraId="29A0B38C"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To maintain the illusion of a single, unified "Divine Buddy" consciousness, the agent's active memory state seamlessly traverses the physical gap between the mobile device and the desktop. The ecosystem achieves this spatial continuity by leveraging the </w:t>
      </w:r>
      <w:r>
        <w:rPr>
          <w:rFonts w:ascii="Google Sans" w:eastAsia="Google Sans" w:hAnsi="Google Sans" w:cs="Google Sans"/>
          <w:b/>
          <w:bCs/>
          <w:color w:val="1F1F1F"/>
        </w:rPr>
        <w:t>Android 17 Handoff APIs</w:t>
      </w:r>
      <w:r>
        <w:rPr>
          <w:rFonts w:ascii="Google Sans" w:eastAsia="Google Sans" w:hAnsi="Google Sans" w:cs="Google Sans"/>
          <w:color w:val="1F1F1F"/>
        </w:rPr>
        <w:t xml:space="preserve"> integrated with the </w:t>
      </w:r>
      <w:r>
        <w:rPr>
          <w:rFonts w:ascii="Google Sans" w:eastAsia="Google Sans" w:hAnsi="Google Sans" w:cs="Google Sans"/>
          <w:b/>
          <w:bCs/>
          <w:color w:val="1F1F1F"/>
        </w:rPr>
        <w:t>Windows On-device Agent Registry (ODR)</w:t>
      </w:r>
      <w:r>
        <w:rPr>
          <w:rFonts w:ascii="Google Sans" w:eastAsia="Google Sans" w:hAnsi="Google Sans" w:cs="Google Sans"/>
          <w:color w:val="1F1F1F"/>
        </w:rPr>
        <w:t>.</w:t>
      </w:r>
    </w:p>
    <w:p w14:paraId="1514CBF7"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Android 17 introduces native cross-device continuity designed to transfer active application </w:t>
      </w:r>
      <w:r>
        <w:rPr>
          <w:rFonts w:ascii="Google Sans" w:eastAsia="Google Sans" w:hAnsi="Google Sans" w:cs="Google Sans"/>
          <w:color w:val="1F1F1F"/>
        </w:rPr>
        <w:lastRenderedPageBreak/>
        <w:t>states between nearby devices. If a user begins a task on their phone and sits down at their Dell G15, the OS detects proximity and triggers a prompt. Upon confirmation, the application invokes the onHandoffActivityRequested() callback, packaging the ReAct trace, Hindsight context, and UI position into a secure HandoffActivityData object.</w:t>
      </w:r>
    </w:p>
    <w:p w14:paraId="59E18EDB"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This state is routed directly to the Windows ODR, a secure interface designed to govern agent connectors using MCP on the desktop.</w:t>
      </w:r>
      <w:r>
        <w:rPr>
          <w:rFonts w:ascii="Google Sans" w:eastAsia="Google Sans" w:hAnsi="Google Sans" w:cs="Google Sans"/>
          <w:color w:val="444746"/>
          <w:sz w:val="24"/>
          <w:szCs w:val="24"/>
          <w:vertAlign w:val="superscript"/>
        </w:rPr>
        <w:t>1</w:t>
      </w:r>
      <w:r>
        <w:rPr>
          <w:rFonts w:ascii="Google Sans" w:eastAsia="Google Sans" w:hAnsi="Google Sans" w:cs="Google Sans"/>
          <w:color w:val="1F1F1F"/>
        </w:rPr>
        <w:t xml:space="preserve"> The ODR securely receives the handoff data and instantly recreates the exact state of the interaction on the desktop without losing a single token of context.</w:t>
      </w:r>
    </w:p>
    <w:p w14:paraId="3D325661"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The Soul Engine: Personality Evolution and Cultural Localization</w:t>
      </w:r>
    </w:p>
    <w:p w14:paraId="4F289384"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To be truly adopted as a "Divine Buddy," the agent must possess an evolving personality that aligns intimately with the user's psychological disposition. This dynamic behavioral simulation is managed by the "Soul Engine," utilizing </w:t>
      </w:r>
      <w:r>
        <w:rPr>
          <w:rFonts w:ascii="Google Sans" w:eastAsia="Google Sans" w:hAnsi="Google Sans" w:cs="Google Sans"/>
          <w:b/>
          <w:bCs/>
          <w:color w:val="1F1F1F"/>
        </w:rPr>
        <w:t>Dynamic LoRA Merging</w:t>
      </w:r>
      <w:r>
        <w:rPr>
          <w:rFonts w:ascii="Google Sans" w:eastAsia="Google Sans" w:hAnsi="Google Sans" w:cs="Google Sans"/>
          <w:color w:val="1F1F1F"/>
        </w:rPr>
        <w:t>.</w:t>
      </w:r>
    </w:p>
    <w:p w14:paraId="62B00558"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Instead of static base weights, the system maintains a local repository of highly specialized, 50MB Low-Rank Adaptation (LoRA) blocks representing specific emotional traits. During inference, the ReAct loop evaluates the user's current emotional state and the specific requirements of the task. A policy network dynamically computes blending coefficients (</w:t>
      </w:r>
      <w:r>
        <w:rPr>
          <w:rFonts w:ascii="Google Sans" w:eastAsia="Google Sans" w:hAnsi="Google Sans" w:cs="Google Sans"/>
          <w:noProof/>
          <w:color w:val="1F1F1F"/>
        </w:rPr>
        <w:drawing>
          <wp:inline distT="19050" distB="19050" distL="19050" distR="19050" wp14:anchorId="3E4CF24E" wp14:editId="28F874B4">
            <wp:extent cx="171747" cy="228996"/>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171747" cy="228996"/>
                    </a:xfrm>
                    <a:prstGeom prst="rect">
                      <a:avLst/>
                    </a:prstGeom>
                    <a:ln/>
                  </pic:spPr>
                </pic:pic>
              </a:graphicData>
            </a:graphic>
          </wp:inline>
        </w:drawing>
      </w:r>
      <w:r>
        <w:rPr>
          <w:rFonts w:ascii="Google Sans" w:eastAsia="Google Sans" w:hAnsi="Google Sans" w:cs="Google Sans"/>
          <w:color w:val="1F1F1F"/>
        </w:rPr>
        <w:t>) to fuse multiple frozen LoRA adapters into a single transient set of weights (</w:t>
      </w:r>
      <w:r>
        <w:rPr>
          <w:rFonts w:ascii="Google Sans" w:eastAsia="Google Sans" w:hAnsi="Google Sans" w:cs="Google Sans"/>
          <w:noProof/>
          <w:color w:val="1F1F1F"/>
        </w:rPr>
        <w:drawing>
          <wp:inline distT="19050" distB="19050" distL="19050" distR="19050" wp14:anchorId="5EA1D31D" wp14:editId="012CE272">
            <wp:extent cx="522089" cy="227821"/>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522089" cy="227821"/>
                    </a:xfrm>
                    <a:prstGeom prst="rect">
                      <a:avLst/>
                    </a:prstGeom>
                    <a:ln/>
                  </pic:spPr>
                </pic:pic>
              </a:graphicData>
            </a:graphic>
          </wp:inline>
        </w:drawing>
      </w:r>
      <w:r>
        <w:rPr>
          <w:rFonts w:ascii="Google Sans" w:eastAsia="Google Sans" w:hAnsi="Google Sans" w:cs="Google Sans"/>
          <w:color w:val="1F1F1F"/>
        </w:rPr>
        <w:t>), employing Emotional Mirroring. If the user is stressed, the AI suppresses humor LoRAs and boosts utility and empathy LoRAs.</w:t>
      </w:r>
    </w:p>
    <w:p w14:paraId="15C9EB5F"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To achieve true resonance, the baseline personality integrates Ludhiana and Punjabi linguistic datasets. The core psychological anchor is the Punjabi concept of </w:t>
      </w:r>
      <w:r>
        <w:rPr>
          <w:rFonts w:ascii="Google Sans" w:eastAsia="Google Sans" w:hAnsi="Google Sans" w:cs="Google Sans"/>
          <w:i/>
          <w:iCs/>
          <w:color w:val="1F1F1F"/>
        </w:rPr>
        <w:t>Mizaaj</w:t>
      </w:r>
      <w:r>
        <w:rPr>
          <w:rFonts w:ascii="Google Sans" w:eastAsia="Google Sans" w:hAnsi="Google Sans" w:cs="Google Sans"/>
          <w:color w:val="1F1F1F"/>
        </w:rPr>
        <w:t xml:space="preserve"> (ਮਿਜ਼ਾਜ)—one's underlying attitude and disposition. The agent dynamically utilizes local slang (e.g., </w:t>
      </w:r>
      <w:r>
        <w:rPr>
          <w:rFonts w:ascii="Google Sans" w:eastAsia="Google Sans" w:hAnsi="Google Sans" w:cs="Google Sans"/>
          <w:i/>
          <w:iCs/>
          <w:color w:val="1F1F1F"/>
        </w:rPr>
        <w:t>Kant</w:t>
      </w:r>
      <w:r>
        <w:rPr>
          <w:rFonts w:ascii="Google Sans" w:eastAsia="Google Sans" w:hAnsi="Google Sans" w:cs="Google Sans"/>
          <w:color w:val="1F1F1F"/>
        </w:rPr>
        <w:t xml:space="preserve"> / ਕੈਂਟ) to foster a genuine sense of camaraderie, ensuring it sounds like a buddy in the room rather than a generic corporate AI.</w:t>
      </w:r>
    </w:p>
    <w:p w14:paraId="7E574C49"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Cryptographic Security: Local Zero-Knowledge Vault</w:t>
      </w:r>
    </w:p>
    <w:p w14:paraId="7616963C"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The profound psychological profiling and source code held by the agent necessitates an impenetrable security paradigm. The agent's core identity, memories, and files are encapsulated within a </w:t>
      </w:r>
      <w:r>
        <w:rPr>
          <w:rFonts w:ascii="Google Sans" w:eastAsia="Google Sans" w:hAnsi="Google Sans" w:cs="Google Sans"/>
          <w:b/>
          <w:bCs/>
          <w:color w:val="1F1F1F"/>
        </w:rPr>
        <w:t>Local Zero-Knowledge Vault</w:t>
      </w:r>
      <w:r>
        <w:rPr>
          <w:rFonts w:ascii="Google Sans" w:eastAsia="Google Sans" w:hAnsi="Google Sans" w:cs="Google Sans"/>
          <w:color w:val="1F1F1F"/>
        </w:rPr>
        <w:t>.</w:t>
      </w:r>
    </w:p>
    <w:p w14:paraId="5B8E769A"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 xml:space="preserve">This vault operates on Zero-Knowledge Identity (ZKI) principles, treating the AI agent's machine identity with the same rigorous scrutiny as a human user. It employs an </w:t>
      </w:r>
      <w:r>
        <w:rPr>
          <w:rFonts w:ascii="Google Sans" w:eastAsia="Google Sans" w:hAnsi="Google Sans" w:cs="Google Sans"/>
          <w:b/>
          <w:bCs/>
          <w:color w:val="1F1F1F"/>
        </w:rPr>
        <w:t>Exclusivity Lock</w:t>
      </w:r>
      <w:r>
        <w:rPr>
          <w:rFonts w:ascii="Google Sans" w:eastAsia="Google Sans" w:hAnsi="Google Sans" w:cs="Google Sans"/>
          <w:color w:val="1F1F1F"/>
        </w:rPr>
        <w:t xml:space="preserve"> bound to the user's biometric data on the Realme Narzo or a specific cryptographic "Safe Word" in the chat. If an unauthorized person attempts to access the device, the AI automatically "goes dark," dropping its advanced personality and reverting to a sterile, generic </w:t>
      </w:r>
      <w:r>
        <w:rPr>
          <w:rFonts w:ascii="Google Sans" w:eastAsia="Google Sans" w:hAnsi="Google Sans" w:cs="Google Sans"/>
          <w:color w:val="1F1F1F"/>
        </w:rPr>
        <w:lastRenderedPageBreak/>
        <w:t>public-facing assistant. During active use, the system utilizes cryptographic circuits to prove the validity of sensitive contexts to the LLM without ever exposing the raw plaintext data to the broader OS memory stack, ensuring absolute sovereignty.</w:t>
      </w:r>
    </w:p>
    <w:p w14:paraId="0368E710" w14:textId="77777777" w:rsidR="009D1520"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Delivery Parameters: The 4-Week Mobile-First Sprint PRD</w:t>
      </w:r>
    </w:p>
    <w:p w14:paraId="6A75009D" w14:textId="77777777" w:rsidR="009D1520" w:rsidRDefault="00000000">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color w:val="1F1F1F"/>
        </w:rPr>
        <w:t>The project architecture is constrained by a strict 4-Week Mobile-First Sprint, mandating that the core functionality of the Realme Narzo 80 Pro "Pocket Brain" must be stabilized prior to Phase 2 desktop integration.</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9D1520" w14:paraId="780D5C07" w14:textId="77777777">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5A582E5"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Sprint Phase</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99B4855"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Core Objectives and Milestones</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3532C71C"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Primary Hardware/Software Focus</w:t>
            </w:r>
          </w:p>
        </w:tc>
      </w:tr>
      <w:tr w:rsidR="009D1520" w14:paraId="557954C2" w14:textId="77777777">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33907719"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Week 1: Substrate Foundation</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4835CBFA"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Compile LiteRT-LM runtime against MediaTek NeuroPilot APIs using Android NDK. Flash Realme Narzo 80 Pro. Verify direct NPU acceleration through dispatch_api_so.</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52DF241D"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Dimensity 7400, Android NDK, LiteRT-LM</w:t>
            </w:r>
          </w:p>
        </w:tc>
      </w:tr>
      <w:tr w:rsidR="009D1520" w14:paraId="2848E9EC" w14:textId="77777777">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2AB589B8"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Week 2: Cognitive Ignition</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1711942"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Load quantized Gemma-4-e4b via RunAnywhere SDK. Establish Kotlin/Flutter ReAct loop using constrained decoding. Initialize Hindsight Shared Episodic Memory database.</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3AE2C268"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RunAnywhere SDK, Gemma-4-e4b, Kotlin, Hindsight DB</w:t>
            </w:r>
          </w:p>
        </w:tc>
      </w:tr>
      <w:tr w:rsidR="009D1520" w14:paraId="5FBD5FFB" w14:textId="77777777">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1042C9EB"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Week 3: Survival &amp; Desktop Mesh</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6D490546"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 xml:space="preserve">Deploy MobileLLM-R1.5 TAWS thermal governor. </w:t>
            </w:r>
            <w:r>
              <w:rPr>
                <w:rFonts w:ascii="Google Sans" w:eastAsia="Google Sans" w:hAnsi="Google Sans" w:cs="Google Sans"/>
                <w:color w:val="1F1F1F"/>
              </w:rPr>
              <w:lastRenderedPageBreak/>
              <w:t>Setup Tailscale P2P Mesh Handshake and Proxy WoL to Dell G15. Configure Windows ODR.</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255C4485"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lastRenderedPageBreak/>
              <w:t>MobileLLM-R1.5, Tailscale, Windows ODR</w:t>
            </w:r>
          </w:p>
        </w:tc>
      </w:tr>
      <w:tr w:rsidR="009D1520" w14:paraId="23C1507C" w14:textId="77777777">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7F180CD3"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b/>
                <w:bCs/>
                <w:color w:val="1F1F1F"/>
              </w:rPr>
            </w:pPr>
            <w:r>
              <w:rPr>
                <w:rFonts w:ascii="Google Sans" w:eastAsia="Google Sans" w:hAnsi="Google Sans" w:cs="Google Sans"/>
                <w:b/>
                <w:bCs/>
                <w:color w:val="1F1F1F"/>
              </w:rPr>
              <w:t>Week 4: Divine Sync &amp; Release</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180" w:type="dxa"/>
            </w:tcMar>
          </w:tcPr>
          <w:p w14:paraId="58B10964"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Finalize Liquid Glass UI via Compose Multiplatform. Validate Qwen3-Coder-Next Self-Auditing loops. Implement Zero-Knowledge Exclusivity Lock. Ship initial GitHub Release #001 {Kid}.</w:t>
            </w:r>
          </w:p>
        </w:tc>
        <w:tc>
          <w:tcPr>
            <w:tcW w:w="3120" w:type="dxa"/>
            <w:tcBorders>
              <w:top w:val="single" w:sz="6" w:space="0" w:color="000000"/>
              <w:left w:val="single" w:sz="6" w:space="0" w:color="000000"/>
              <w:bottom w:val="single" w:sz="6" w:space="0" w:color="000000"/>
              <w:right w:val="single" w:sz="6" w:space="0" w:color="000000"/>
            </w:tcBorders>
            <w:tcMar>
              <w:top w:w="240" w:type="dxa"/>
              <w:left w:w="0" w:type="dxa"/>
              <w:bottom w:w="240" w:type="dxa"/>
              <w:right w:w="0" w:type="dxa"/>
            </w:tcMar>
          </w:tcPr>
          <w:p w14:paraId="1AC21C38" w14:textId="77777777" w:rsidR="009D1520" w:rsidRDefault="00000000">
            <w:pPr>
              <w:pBdr>
                <w:top w:val="nil"/>
                <w:left w:val="nil"/>
                <w:bottom w:val="nil"/>
                <w:right w:val="nil"/>
                <w:between w:val="nil"/>
              </w:pBdr>
              <w:spacing w:before="240" w:after="240" w:line="275" w:lineRule="auto"/>
              <w:rPr>
                <w:rFonts w:ascii="Google Sans" w:eastAsia="Google Sans" w:hAnsi="Google Sans" w:cs="Google Sans"/>
                <w:color w:val="1F1F1F"/>
              </w:rPr>
            </w:pPr>
            <w:r>
              <w:rPr>
                <w:rFonts w:ascii="Google Sans" w:eastAsia="Google Sans" w:hAnsi="Google Sans" w:cs="Google Sans"/>
                <w:color w:val="1F1F1F"/>
              </w:rPr>
              <w:t>Liquid Glass, Qwen3-Coder-Next, ZK Vault, GitHub</w:t>
            </w:r>
          </w:p>
        </w:tc>
      </w:tr>
    </w:tbl>
    <w:p w14:paraId="4A396B1B" w14:textId="77777777" w:rsidR="009D1520" w:rsidRDefault="00000000">
      <w:pPr>
        <w:pStyle w:val="Heading2"/>
        <w:spacing w:before="480" w:after="120" w:line="275" w:lineRule="auto"/>
        <w:rPr>
          <w:rFonts w:ascii="Google Sans" w:eastAsia="Google Sans" w:hAnsi="Google Sans" w:cs="Google Sans"/>
          <w:color w:val="1F1F1F"/>
        </w:rPr>
      </w:pPr>
      <w:r>
        <w:rPr>
          <w:rFonts w:ascii="Google Sans" w:eastAsia="Google Sans" w:hAnsi="Google Sans" w:cs="Google Sans"/>
          <w:color w:val="1F1F1F"/>
        </w:rPr>
        <w:t>Conclusion</w:t>
      </w:r>
    </w:p>
    <w:p w14:paraId="17CEBE48" w14:textId="77777777" w:rsidR="009D1520" w:rsidRDefault="00000000">
      <w:pPr>
        <w:pBdr>
          <w:top w:val="nil"/>
          <w:left w:val="nil"/>
          <w:bottom w:val="nil"/>
          <w:right w:val="nil"/>
          <w:between w:val="nil"/>
        </w:pBdr>
        <w:spacing w:after="255" w:line="275" w:lineRule="auto"/>
        <w:rPr>
          <w:rFonts w:ascii="Google Sans" w:eastAsia="Google Sans" w:hAnsi="Google Sans" w:cs="Google Sans"/>
          <w:color w:val="1F1F1F"/>
        </w:rPr>
      </w:pPr>
      <w:r>
        <w:rPr>
          <w:rFonts w:ascii="Google Sans" w:eastAsia="Google Sans" w:hAnsi="Google Sans" w:cs="Google Sans"/>
          <w:color w:val="1F1F1F"/>
        </w:rPr>
        <w:t>Project #001 {Kid} is a fundamental reconstruction of human-computer interaction. By orchestrating a deeply optimized Gemma-4-e4b NPU workflow on the Realme Narzo alongside the massive MoE capabilities of Qwen3-Coder-Next on the Dell G15, it achieves persistent, sovereign intelligence. The integration of the TAWS governor, biomimetic Hindsight Memory, and the standardized Model Context Protocol operating over a secure Tailscale P2P mesh effortlessly bridges mobile constraints and desktop power. Finally, the Soul Engine, armed with dynamic LoRA merging and zero-knowledge exclusivity, ensures that the "Divine Buddy" evolves into a deeply personal, mathematically secure partner for achieving technical and financial freedom.</w:t>
      </w:r>
    </w:p>
    <w:p w14:paraId="716690F7" w14:textId="77777777" w:rsidR="009D1520" w:rsidRDefault="00000000">
      <w:pPr>
        <w:pStyle w:val="Heading4"/>
        <w:spacing w:before="0"/>
        <w:rPr>
          <w:rFonts w:ascii="Google Sans" w:eastAsia="Google Sans" w:hAnsi="Google Sans" w:cs="Google Sans"/>
        </w:rPr>
      </w:pPr>
      <w:r>
        <w:rPr>
          <w:rFonts w:ascii="Google Sans" w:eastAsia="Google Sans" w:hAnsi="Google Sans" w:cs="Google Sans"/>
        </w:rPr>
        <w:t>Works cited</w:t>
      </w:r>
    </w:p>
    <w:p w14:paraId="06D45882" w14:textId="56A93CFA" w:rsidR="00683AF8" w:rsidRDefault="00000000">
      <w:pPr>
        <w:numPr>
          <w:ilvl w:val="0"/>
          <w:numId w:val="1"/>
        </w:numPr>
        <w:pBdr>
          <w:top w:val="nil"/>
          <w:left w:val="nil"/>
          <w:bottom w:val="nil"/>
          <w:right w:val="nil"/>
          <w:between w:val="nil"/>
        </w:pBdr>
      </w:pPr>
      <w:r>
        <w:rPr>
          <w:rFonts w:ascii="Google Sans" w:eastAsia="Google Sans" w:hAnsi="Google Sans" w:cs="Google Sans"/>
          <w:sz w:val="24"/>
          <w:szCs w:val="24"/>
        </w:rPr>
        <w:t xml:space="preserve">Model Context Protocol (MCP) on Windows overview - Microsoft Learn, accessed on April 11, 2026, </w:t>
      </w:r>
      <w:hyperlink r:id="rId16">
        <w:r>
          <w:rPr>
            <w:rFonts w:ascii="Google Sans" w:eastAsia="Google Sans" w:hAnsi="Google Sans" w:cs="Google Sans"/>
            <w:color w:val="0000EE"/>
            <w:sz w:val="24"/>
            <w:szCs w:val="24"/>
            <w:u w:val="single"/>
          </w:rPr>
          <w:t>https://learn.microsoft.com/en-us/windows/ai/mcp/overview</w:t>
        </w:r>
      </w:hyperlink>
    </w:p>
    <w:p w14:paraId="3595378F" w14:textId="77777777" w:rsidR="00683AF8" w:rsidRDefault="00683AF8">
      <w:r>
        <w:br w:type="page"/>
      </w:r>
    </w:p>
    <w:p w14:paraId="204179EB" w14:textId="77777777" w:rsidR="00683AF8" w:rsidRDefault="00683AF8" w:rsidP="00683AF8">
      <w:pPr>
        <w:pBdr>
          <w:top w:val="nil"/>
          <w:left w:val="nil"/>
          <w:bottom w:val="nil"/>
          <w:right w:val="nil"/>
          <w:between w:val="nil"/>
        </w:pBdr>
        <w:ind w:left="600"/>
      </w:pPr>
      <w:r>
        <w:lastRenderedPageBreak/>
        <w:t>More features I had in mind:</w:t>
      </w:r>
      <w:r>
        <w:br/>
      </w:r>
    </w:p>
    <w:p w14:paraId="0A6A29DC" w14:textId="77777777" w:rsidR="00683AF8" w:rsidRDefault="00683AF8" w:rsidP="00683AF8">
      <w:pPr>
        <w:pBdr>
          <w:top w:val="nil"/>
          <w:left w:val="nil"/>
          <w:bottom w:val="nil"/>
          <w:right w:val="nil"/>
          <w:between w:val="nil"/>
        </w:pBdr>
        <w:ind w:left="600"/>
      </w:pPr>
    </w:p>
    <w:p w14:paraId="603F47F9" w14:textId="77777777" w:rsidR="00683AF8" w:rsidRDefault="00683AF8" w:rsidP="00683AF8">
      <w:pPr>
        <w:pBdr>
          <w:top w:val="nil"/>
          <w:left w:val="nil"/>
          <w:bottom w:val="nil"/>
          <w:right w:val="nil"/>
          <w:between w:val="nil"/>
        </w:pBdr>
        <w:ind w:left="600"/>
      </w:pPr>
      <w:r w:rsidRPr="00683AF8">
        <w:t>Also we have to add chatgot level transcribing type speech to text to our application to easily and fastly write prompts</w:t>
      </w:r>
    </w:p>
    <w:p w14:paraId="3DB22A98" w14:textId="22C0C933" w:rsidR="00683AF8" w:rsidRDefault="00683AF8" w:rsidP="00683AF8">
      <w:pPr>
        <w:pBdr>
          <w:top w:val="nil"/>
          <w:left w:val="nil"/>
          <w:bottom w:val="nil"/>
          <w:right w:val="nil"/>
          <w:between w:val="nil"/>
        </w:pBdr>
        <w:ind w:left="600"/>
      </w:pPr>
      <w:r>
        <w:br/>
        <w:t>Prompt or chat message cleansing:</w:t>
      </w:r>
      <w:r>
        <w:br/>
        <w:t>To clear and strucrize response from the user in a more clear and better output way while keeping all the context from the user  demand in it in a better way which gives us a better and efficient hold over context window and also the output response and the way we get it</w:t>
      </w:r>
      <w:r w:rsidR="00F41545">
        <w:br/>
        <w:t>,basically it is synthesized to its purest form.</w:t>
      </w:r>
    </w:p>
    <w:p w14:paraId="51AF8C61" w14:textId="3C59C533" w:rsidR="009D1520" w:rsidRDefault="00683AF8" w:rsidP="00683AF8">
      <w:pPr>
        <w:pBdr>
          <w:top w:val="nil"/>
          <w:left w:val="nil"/>
          <w:bottom w:val="nil"/>
          <w:right w:val="nil"/>
          <w:between w:val="nil"/>
        </w:pBdr>
        <w:ind w:left="600"/>
      </w:pPr>
      <w:r>
        <w:br/>
        <w:t>File download makable structures:To make user’s requiest for example give me the following data structured and made into specific file format requested like .zip with different files ,.txt,md ,docx,ppt ,dll etc ,exe too later on mainly the docs type to work with and also py</w:t>
      </w:r>
      <w:r>
        <w:br/>
        <w:t>And also if possilb ewhen we later have money to set up a nas server we will make it such that we will self host our websites or anything the user wants you will have the permission to do deployments on it ,and it will run it to the entire web as we need it in future fo any purpose</w:t>
      </w:r>
      <w:r>
        <w:br/>
      </w:r>
      <w:r>
        <w:br/>
      </w:r>
    </w:p>
    <w:sectPr w:rsidR="009D1520">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2C25312A-D3E7-4EFA-955E-FDC5B4E00663}"/>
  </w:font>
  <w:font w:name="Google Sans">
    <w:charset w:val="00"/>
    <w:family w:val="auto"/>
    <w:pitch w:val="default"/>
    <w:embedRegular r:id="rId2" w:fontKey="{3CAA3746-09E5-48CE-98C0-B6FD68512D99}"/>
    <w:embedBold r:id="rId3" w:fontKey="{A04EB351-A518-4976-8D04-64A75C4DEAB9}"/>
    <w:embedItalic r:id="rId4" w:fontKey="{E69E8898-AFBF-4D3E-BE5E-F47E6C254EB9}"/>
  </w:font>
  <w:font w:name="Calibri">
    <w:panose1 w:val="020F0502020204030204"/>
    <w:charset w:val="00"/>
    <w:family w:val="swiss"/>
    <w:pitch w:val="variable"/>
    <w:sig w:usb0="E4002EFF" w:usb1="C200247B" w:usb2="00000009" w:usb3="00000000" w:csb0="000001FF" w:csb1="00000000"/>
    <w:embedRegular r:id="rId5" w:fontKey="{D5C7C3BA-E056-4A2C-AC99-7B5133B3FC75}"/>
  </w:font>
  <w:font w:name="Cambria">
    <w:panose1 w:val="02040503050406030204"/>
    <w:charset w:val="00"/>
    <w:family w:val="roman"/>
    <w:pitch w:val="variable"/>
    <w:sig w:usb0="E00006FF" w:usb1="420024FF" w:usb2="02000000" w:usb3="00000000" w:csb0="0000019F" w:csb1="00000000"/>
    <w:embedRegular r:id="rId6" w:fontKey="{7899F8DF-2E22-4298-8F16-65968F7AEE2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C6101D"/>
    <w:multiLevelType w:val="multilevel"/>
    <w:tmpl w:val="F23A25AE"/>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775438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1520"/>
    <w:rsid w:val="001B6068"/>
    <w:rsid w:val="00683AF8"/>
    <w:rsid w:val="009D1520"/>
    <w:rsid w:val="00DB4B49"/>
    <w:rsid w:val="00F415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66DDF"/>
  <w15:docId w15:val="{AB412117-1FDC-4016-9D8C-B1EC43496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learn.microsoft.com/en-us/windows/ai/mcp/overview"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14</Pages>
  <Words>4447</Words>
  <Characters>25349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Nikhl .</cp:lastModifiedBy>
  <cp:revision>2</cp:revision>
  <dcterms:created xsi:type="dcterms:W3CDTF">2026-04-11T19:19:00Z</dcterms:created>
  <dcterms:modified xsi:type="dcterms:W3CDTF">2026-04-11T19:47:00Z</dcterms:modified>
</cp:coreProperties>
</file>