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《托宝·婴幼儿法律成长游戏》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【每日法条诵读打卡系统】修订版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核心修改：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全年龄段统一法条来源格式：《托育法草案》第 XX 条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，不再区分长名称；朗读顺序：先读「《托育法草案》第 XX 条」，再读条文内容。0‑3 / 3‑6 /6‑12 仅条文正文做难易改写，法律标题格式全部一致。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DEMO 版本：录音本地缓存，不上传云端；演示阶段只要生成录音文件即打卡通过；正式版可增加语音识别校验是否读出条款号。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一、LocalStorage 存储字段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userAgeLevel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"0‑3"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"3‑6"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"6‑12"</w:t>
            </w:r>
            <w:r>
              <w:rPr>
                <w:rFonts w:eastAsia="等线" w:ascii="Arial" w:cs="Arial" w:hAnsi="Arial"/>
                <w:sz w:val="22"/>
              </w:rPr>
              <w:t>，首次进入选择年龄段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signLastDate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YYYY‑MM‑DD</w:t>
            </w:r>
            <w:r>
              <w:rPr>
                <w:rFonts w:eastAsia="等线" w:ascii="Arial" w:cs="Arial" w:hAnsi="Arial"/>
                <w:sz w:val="22"/>
              </w:rPr>
              <w:t>，判断今日是否已打卡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signContinuousDays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连续打卡天数，断签清零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signTotalDays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累计打卡总天数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dailyLawArticleNo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今日法条编号，例：第 18 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dailyLawText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分龄改写朗读文本，开头固定带上：《托育法草案》第 XX 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dailyLawAudioSrc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预录音频，音频开头固定读：《托育法草案》第 XX 条，再读条文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dailyRecordBlob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用户今日录音缓存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signRewardList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打卡解锁皮肤、特效、勋章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signHistoryList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打卡历史，单条结构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{date,articleNo,lawText,recordBlob}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日期判断伪代码不变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today = YYYY‑MM‑DD</w:t>
              <w:br/>
              <w:t>if(signLastDate !== today){</w:t>
              <w:br/>
              <w:t xml:space="preserve">    showSignModal() //弹出打卡弹窗</w:t>
              <w:br/>
              <w:t>}else{</w:t>
              <w:br/>
              <w:t xml:space="preserve">    jumpToGameHall()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//断签：signLastDate不是昨日日期 → signContinuousDays = 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二、首次年龄选择弹窗（无改动）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三、每日打卡弹窗 UI 像素规范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弹窗居中；最大宽度 620px；移动端占屏幕 90%；圆角 30px；白色柔光阴影；</w:t>
      </w:r>
      <w:r>
        <w:rPr>
          <w:rFonts w:eastAsia="等线" w:ascii="Arial" w:cs="Arial" w:hAnsi="Arial"/>
          <w:b w:val="true"/>
          <w:sz w:val="22"/>
        </w:rPr>
        <w:t>无关闭 × 按钮，必须完成打卡才能关闭弹窗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弹窗从上到下固定元素顺序：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标题区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「今日普法签到 ✨」字号 28px 粗体，#2E7D32，居中；下方短绿色分割线。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法条来源编号标签（全年龄段完全一样）</w:t>
      </w:r>
      <w:r>
        <w:rPr>
          <w:rFonts w:eastAsia="等线" w:ascii="Arial" w:cs="Arial" w:hAnsi="Arial"/>
          <w:sz w:val="22"/>
        </w:rPr>
        <w:br/>
        <w:t>浅蓝小标签框，圆角 12px，内边距 12px，居左。</w:t>
        <w:br/>
      </w:r>
      <w:r>
        <w:rPr>
          <w:rFonts w:eastAsia="等线" w:ascii="Arial" w:cs="Arial" w:hAnsi="Arial"/>
          <w:sz w:val="22"/>
        </w:rPr>
        <w:t>展示文本：📜\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《托育法草案》{{dailyLawArticleNo}}\</w:t>
      </w:r>
      <w:r>
        <w:rPr>
          <w:rFonts w:eastAsia="等线" w:ascii="Arial" w:cs="Arial" w:hAnsi="Arial"/>
          <w:i w:val="true"/>
          <w:sz w:val="22"/>
        </w:rPr>
        <w:t>\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示例：📜《托育法草案》第 18 条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字号 16px 蓝色；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所有年龄段显示格式完全统一，只改后面条文正文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法条正文容器（浅米黄色背景，圆角 16px，内边距 20px）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文本开头固定格式：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《托育法草案》{{dailyLawArticleNo}}，</w:t>
            </w:r>
            <w:r>
              <w:rPr>
                <w:rFonts w:eastAsia="等线" w:ascii="Arial" w:cs="Arial" w:hAnsi="Arial"/>
                <w:color w:val="646a73"/>
                <w:sz w:val="22"/>
              </w:rPr>
              <w:t>再接分龄改写的条文内容。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0‑3 岁（大白话短句）：</w:t>
      </w:r>
      <w:r>
        <w:rPr>
          <w:rFonts w:eastAsia="Consolas" w:ascii="Consolas" w:cs="Consolas" w:hAnsi="Consolas"/>
          <w:sz w:val="22"/>
          <w:shd w:fill="EFF0F1"/>
        </w:rPr>
        <w:t>《托育法草案》第18条，托育机构要保护小宝宝的安全。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3‑6 岁（儿童短句）：</w:t>
      </w:r>
      <w:r>
        <w:rPr>
          <w:rFonts w:eastAsia="Consolas" w:ascii="Consolas" w:cs="Consolas" w:hAnsi="Consolas"/>
          <w:sz w:val="22"/>
          <w:shd w:fill="EFF0F1"/>
        </w:rPr>
        <w:t>《托育法草案》第18条，托育机构应当保护婴幼儿的人身安全。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6‑12 岁（精简条文）：</w:t>
      </w:r>
      <w:r>
        <w:rPr>
          <w:rFonts w:eastAsia="Consolas" w:ascii="Consolas" w:cs="Consolas" w:hAnsi="Consolas"/>
          <w:sz w:val="22"/>
          <w:shd w:fill="EFF0F1"/>
        </w:rPr>
        <w:t>《托育法草案》第18条，托育机构应当建立安全管理制度，保障婴幼儿人身安全。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🔊预录音频朗读顺序（全部年龄段音频统一开头）：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朗读：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《托育法草案》第 18 条，托育机构应当建立安全管理制度，保障婴幼儿人身安全。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必须先读【草案名称 + 条款号】，再读条文内容。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音频播放控件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🔊圆形播放按钮，直径 56px 绿色底色；点击播放完整音频（含编号 + 条文）；播放时呼吸缩放动画。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录音主按钮（页面视觉重心）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直径 120px 渐变绿色圆形，中间麦克风🎤图标，水平居中。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未录音：静态绿色；下方提示文字：点击开始朗读，请读出《托育法草案》第 XX 条以及条文内容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录音中：红色呼吸闪烁；动态文字：🔴正在录音，请完整读出法条编号和条文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录音完成：停止闪烁；文字：录音完成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分龄提示小字（录音按钮下方，居中灰色 14px）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0‑3 岁：⚠️低龄小朋友，请家长陪同，完整读出法条编号与条文完成打卡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3‑6 岁：跟着音频，完整读出法条编号和条文内容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6‑12 岁：独立朗读，记得把法条编号一起读出来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四、交互时序伪代码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1.弹出打卡弹窗，加载：dailyLawArticleNo、dailyLawText、dailyLawAudioSrc</w:t>
              <w:br/>
              <w:t>2.分支A：点击🔊播放</w:t>
              <w:br/>
              <w:t>  播放完整音频（先读《托育法草案》第XX条，后读条文），支持暂停。</w:t>
              <w:br/>
              <w:br/>
              <w:t>3.分支B：点击🎤录音按钮</w:t>
              <w:br/>
              <w:t>  ①申请浏览器麦克风权限；拒绝则提示：需要麦克风权限才可完成法条朗读打卡。</w:t>
              <w:br/>
              <w:t>  ②权限获取成功 → 开始录音；按钮红色呼吸闪烁，提示完整读出编号+条文。</w:t>
              <w:br/>
              <w:t>  ③再次点击麦克风，停止录音，得到blob存入dailyRecordBlob。</w:t>
              <w:br/>
              <w:t>  ④页面提示：录音完成。</w:t>
              <w:br/>
              <w:br/>
              <w:t>// DEMO演示取舍：</w:t>
              <w:br/>
              <w:t>// 比赛演示：只要成功生成录音blob，判定打卡完成，不做语音识别校验；</w:t>
              <w:br/>
              <w:t>// 正式上线：接入ASR语音识别，校验录音识别文本包含“托育法草案、第X条”关键字。</w:t>
              <w:br/>
              <w:br/>
              <w:t>4.打卡成功流程</w:t>
              <w:br/>
              <w:t>  ①金色闪光、花瓣飘落动画，音效：叮！打卡成功</w:t>
              <w:br/>
              <w:t>  ②更新localStorage：</w:t>
              <w:br/>
              <w:t>   signLastDate = today</w:t>
              <w:br/>
              <w:t>   signContinuousDays +=1</w:t>
              <w:br/>
              <w:t>   signTotalDays +=1</w:t>
              <w:br/>
              <w:t>   signHistoryList.push({</w:t>
              <w:br/>
              <w:t>    date:today,</w:t>
              <w:br/>
              <w:t>    articleNo:dailyLawArticleNo,</w:t>
              <w:br/>
              <w:t>    lawText:dailyLawText,</w:t>
              <w:br/>
              <w:t>   recordBlob:dailyRecordBlob</w:t>
              <w:br/>
              <w:t>   })</w:t>
              <w:br/>
              <w:t>  ③连续打卡奖励判断：7/15/30天，解锁皮肤/特效/勋章，写入signRewardList</w:t>
              <w:br/>
            </w:r>
            <w:r>
              <w:rPr>
                <w:rFonts w:eastAsia="Consolas" w:ascii="Consolas" w:cs="Consolas" w:hAnsi="Consolas"/>
                <w:sz w:val="22"/>
              </w:rPr>
              <w:t>  ④2秒后弹窗自动关闭，跳转游戏大厅 `/game`，解锁当日全部游戏权限。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五、打卡日历子弹窗（大厅右上角📅日历图标）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月视图日历，已打卡日期绿色圆点标记。</w:t>
        <w:br/>
      </w:r>
      <w:r>
        <w:rPr>
          <w:rFonts w:eastAsia="等线" w:ascii="Arial" w:cs="Arial" w:hAnsi="Arial"/>
          <w:sz w:val="22"/>
        </w:rPr>
        <w:t>2. 点击历史日期：展示固定格式：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📜《托育法草案》{{articleNo}}</w:t>
              <w:br/>
              <w:t>条文：{{lawText}}</w:t>
              <w:br/>
              <w:t>【回听录音】按钮，播放当日自己录制的音频。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3. 页面展示统计：连续打卡 X 天、累计打卡 X 天；展示全部已解锁奖励。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六、DEMO 样例法条库片段（格式统一）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0‑3 岁</w:t>
              <w:br/>
              <w:t>1.《托育法草案》第 18 条，托育机构要好好保护小宝宝的安全。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2.《托育法草案》第 22 条，不可以凶小宝宝，要温柔对待小朋友。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3‑6 岁</w:t>
              <w:br/>
              <w:t>1.《托育法草案》第 18 条，托育机构应当保护婴幼儿的人身安全。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2.《托育法草案》第 22 条，不能恐吓侮辱小朋友，要尊重每一个孩子。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6‑12 岁</w:t>
              <w:br/>
              <w:t>1.《托育法草案》第 18 条，托育机构应当建立安全管理制度，保障婴幼儿人身安全。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2.《托育法草案》第 22 条，托育工作人员不得对婴幼儿实施恐吓、侮辱等损害人格尊严的行为。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七、设计目标（答辩文档使用）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每日强制轻量普法：</w:t>
      </w:r>
      <w:r>
        <w:rPr>
          <w:rFonts w:eastAsia="等线" w:ascii="Arial" w:cs="Arial" w:hAnsi="Arial"/>
          <w:b w:val="true"/>
          <w:sz w:val="22"/>
        </w:rPr>
        <w:t>必须朗读出《托育法草案》+ 具体条款号 + 条文</w:t>
      </w:r>
      <w:r>
        <w:rPr>
          <w:rFonts w:eastAsia="等线" w:ascii="Arial" w:cs="Arial" w:hAnsi="Arial"/>
          <w:sz w:val="22"/>
        </w:rPr>
        <w:t>，强化法律来源意识，不是只看一句大白话。</w:t>
        <w:br/>
        <w:t>2. 分龄只调整条文理解难度，法律出处格式全年龄段统一，建立 “这条内容来自哪一条法律” 的认知。</w:t>
        <w:br/>
        <w:t>3. 录音跟读输出，比单纯观看记忆更深；历史日历可以回看、回听录音，巩固学习。</w:t>
        <w:br/>
        <w:t>4. 游戏化激励：连续打卡解锁装扮特效，驱动孩子每日主动回来完成普法任务。</w:t>
        <w:br/>
      </w:r>
      <w:r>
        <w:rPr>
          <w:rFonts w:eastAsia="等线" w:ascii="Arial" w:cs="Arial" w:hAnsi="Arial"/>
          <w:sz w:val="22"/>
        </w:rPr>
        <w:t>5.0‑3 岁不要求孩子识字，依靠音频 + 家长代读录音完成打卡，降低低龄门槛。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边界约束：</w:t>
              <w:br/>
              <w:t>1. 未完成录音打卡，所有游戏关卡、养成系统全部锁定，无法游玩。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2. 断签只清零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signContinuousDays</w:t>
            </w:r>
            <w:r>
              <w:rPr>
                <w:rFonts w:eastAsia="等线" w:ascii="Arial" w:cs="Arial" w:hAnsi="Arial"/>
                <w:color w:val="646a73"/>
                <w:sz w:val="22"/>
              </w:rPr>
              <w:t>连续天数，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signTotalDays</w:t>
            </w:r>
            <w:r>
              <w:rPr>
                <w:rFonts w:eastAsia="等线" w:ascii="Arial" w:cs="Arial" w:hAnsi="Arial"/>
                <w:color w:val="646a73"/>
                <w:sz w:val="22"/>
              </w:rPr>
              <w:t>累计总天数、打卡历史记录不会删除。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3. 切换年龄段：下一次打卡自动切换对应难度条文，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法条来源格式依旧统一为《托育法草案》第 XX 条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接下来，如果你确认这份打卡系统定稿，我就输出：</w:t>
      </w:r>
      <w:r>
        <w:rPr>
          <w:rFonts w:eastAsia="等线" w:ascii="Arial" w:cs="Arial" w:hAnsi="Arial"/>
          <w:b w:val="true"/>
          <w:sz w:val="22"/>
        </w:rPr>
        <w:t>0‑3 岁全部 12 关逐帧完整开发脚本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3451">
    <w:lvl>
      <w:start w:val="1"/>
      <w:numFmt w:val="decimal"/>
      <w:suff w:val="tab"/>
      <w:lvlText w:val="%1."/>
      <w:rPr>
        <w:color w:val="3370ff"/>
      </w:rPr>
    </w:lvl>
  </w:abstractNum>
  <w:abstractNum w:abstractNumId="263452">
    <w:lvl>
      <w:start w:val="2"/>
      <w:numFmt w:val="decimal"/>
      <w:suff w:val="tab"/>
      <w:lvlText w:val="%1."/>
      <w:rPr>
        <w:color w:val="3370ff"/>
      </w:rPr>
    </w:lvl>
  </w:abstractNum>
  <w:abstractNum w:abstractNumId="263453">
    <w:lvl>
      <w:start w:val="3"/>
      <w:numFmt w:val="decimal"/>
      <w:suff w:val="tab"/>
      <w:lvlText w:val="%1."/>
      <w:rPr>
        <w:color w:val="3370ff"/>
      </w:rPr>
    </w:lvl>
  </w:abstractNum>
  <w:abstractNum w:abstractNumId="263454">
    <w:lvl>
      <w:numFmt w:val="bullet"/>
      <w:suff w:val="tab"/>
      <w:lvlText w:val="•"/>
      <w:rPr>
        <w:color w:val="3370ff"/>
      </w:rPr>
    </w:lvl>
  </w:abstractNum>
  <w:abstractNum w:abstractNumId="263455">
    <w:lvl>
      <w:numFmt w:val="bullet"/>
      <w:suff w:val="tab"/>
      <w:lvlText w:val="•"/>
      <w:rPr>
        <w:color w:val="3370ff"/>
      </w:rPr>
    </w:lvl>
  </w:abstractNum>
  <w:abstractNum w:abstractNumId="263456">
    <w:lvl>
      <w:numFmt w:val="bullet"/>
      <w:suff w:val="tab"/>
      <w:lvlText w:val="•"/>
      <w:rPr>
        <w:color w:val="3370ff"/>
      </w:rPr>
    </w:lvl>
  </w:abstractNum>
  <w:abstractNum w:abstractNumId="263457">
    <w:lvl>
      <w:start w:val="4"/>
      <w:numFmt w:val="decimal"/>
      <w:suff w:val="tab"/>
      <w:lvlText w:val="%1."/>
      <w:rPr>
        <w:color w:val="3370ff"/>
      </w:rPr>
    </w:lvl>
  </w:abstractNum>
  <w:abstractNum w:abstractNumId="263458">
    <w:lvl>
      <w:start w:val="5"/>
      <w:numFmt w:val="decimal"/>
      <w:suff w:val="tab"/>
      <w:lvlText w:val="%1."/>
      <w:rPr>
        <w:color w:val="3370ff"/>
      </w:rPr>
    </w:lvl>
  </w:abstractNum>
  <w:abstractNum w:abstractNumId="263459">
    <w:lvl>
      <w:numFmt w:val="bullet"/>
      <w:suff w:val="tab"/>
      <w:lvlText w:val="•"/>
      <w:rPr>
        <w:color w:val="3370ff"/>
      </w:rPr>
    </w:lvl>
  </w:abstractNum>
  <w:abstractNum w:abstractNumId="263460">
    <w:lvl>
      <w:numFmt w:val="bullet"/>
      <w:suff w:val="tab"/>
      <w:lvlText w:val="•"/>
      <w:rPr>
        <w:color w:val="3370ff"/>
      </w:rPr>
    </w:lvl>
  </w:abstractNum>
  <w:abstractNum w:abstractNumId="263461">
    <w:lvl>
      <w:numFmt w:val="bullet"/>
      <w:suff w:val="tab"/>
      <w:lvlText w:val="•"/>
      <w:rPr>
        <w:color w:val="3370ff"/>
      </w:rPr>
    </w:lvl>
  </w:abstractNum>
  <w:abstractNum w:abstractNumId="263462">
    <w:lvl>
      <w:start w:val="6"/>
      <w:numFmt w:val="decimal"/>
      <w:suff w:val="tab"/>
      <w:lvlText w:val="%1."/>
      <w:rPr>
        <w:color w:val="3370ff"/>
      </w:rPr>
    </w:lvl>
  </w:abstractNum>
  <w:abstractNum w:abstractNumId="263463">
    <w:lvl>
      <w:numFmt w:val="bullet"/>
      <w:suff w:val="tab"/>
      <w:lvlText w:val="•"/>
      <w:rPr>
        <w:color w:val="3370ff"/>
      </w:rPr>
    </w:lvl>
  </w:abstractNum>
  <w:abstractNum w:abstractNumId="263464">
    <w:lvl>
      <w:numFmt w:val="bullet"/>
      <w:suff w:val="tab"/>
      <w:lvlText w:val="•"/>
      <w:rPr>
        <w:color w:val="3370ff"/>
      </w:rPr>
    </w:lvl>
  </w:abstractNum>
  <w:abstractNum w:abstractNumId="263465">
    <w:lvl>
      <w:numFmt w:val="bullet"/>
      <w:suff w:val="tab"/>
      <w:lvlText w:val="•"/>
      <w:rPr>
        <w:color w:val="3370ff"/>
      </w:rPr>
    </w:lvl>
  </w:abstractNum>
  <w:num w:numId="1">
    <w:abstractNumId w:val="263451"/>
  </w:num>
  <w:num w:numId="2">
    <w:abstractNumId w:val="263452"/>
  </w:num>
  <w:num w:numId="3">
    <w:abstractNumId w:val="263453"/>
  </w:num>
  <w:num w:numId="4">
    <w:abstractNumId w:val="263454"/>
  </w:num>
  <w:num w:numId="5">
    <w:abstractNumId w:val="263455"/>
  </w:num>
  <w:num w:numId="6">
    <w:abstractNumId w:val="263456"/>
  </w:num>
  <w:num w:numId="7">
    <w:abstractNumId w:val="263457"/>
  </w:num>
  <w:num w:numId="8">
    <w:abstractNumId w:val="263458"/>
  </w:num>
  <w:num w:numId="9">
    <w:abstractNumId w:val="263459"/>
  </w:num>
  <w:num w:numId="10">
    <w:abstractNumId w:val="263460"/>
  </w:num>
  <w:num w:numId="11">
    <w:abstractNumId w:val="263461"/>
  </w:num>
  <w:num w:numId="12">
    <w:abstractNumId w:val="263462"/>
  </w:num>
  <w:num w:numId="13">
    <w:abstractNumId w:val="263463"/>
  </w:num>
  <w:num w:numId="14">
    <w:abstractNumId w:val="263464"/>
  </w:num>
  <w:num w:numId="15">
    <w:abstractNumId w:val="2634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2026-08-31T15:42:52Z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{"Label":"1","ContentProducer":"001191110102MACQD9K64010000","ProduceID":"7680221682027793620","ReservedCode1":"","ContentPropagator":"","PropagateID":"","ReservedCode2":""}</vt:lpwstr>
  </property>
</Properties>
</file>