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60"/>
      </w:pPr>
    </w:p>
    <w:p>
      <w:pPr>
        <w:spacing w:after="360"/>
        <w:jc w:val="center"/>
      </w:pPr>
      <w:r>
        <w:rPr>
          <w:rFonts w:ascii="Arial" w:hAnsi="Arial" w:eastAsia="Arial"/>
          <w:b/>
          <w:color w:val="183153"/>
          <w:sz w:val="44"/>
        </w:rPr>
        <w:t>ОТЧЁТ ПО УЧЕБНОЙ ПРАКТИКЕ</w:t>
      </w:r>
    </w:p>
    <w:p>
      <w:pPr>
        <w:spacing w:after="840" w:line="300" w:lineRule="auto"/>
        <w:jc w:val="center"/>
      </w:pPr>
      <w:r>
        <w:rPr>
          <w:rFonts w:ascii="Arial" w:hAnsi="Arial" w:eastAsia="Arial"/>
          <w:color w:val="1F4D78"/>
          <w:sz w:val="28"/>
        </w:rPr>
        <w:t>Разработка учебного прототипа системы прогнозирования</w:t>
        <w:br/>
        <w:t>и обнаружения аномалий во временных рядах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840"/>
      </w:tblGrid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Обучающийся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Группа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Руководитель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_____________________________________</w:t>
            </w:r>
          </w:p>
        </w:tc>
      </w:tr>
      <w:t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Репозиторий GitFlic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9"/>
              </w:rPr>
              <w:t>вставить ссылку после публикации</w:t>
            </w:r>
          </w:p>
        </w:tc>
      </w:tr>
    </w:tbl>
    <w:p>
      <w:pPr>
        <w:spacing w:before="2360"/>
        <w:jc w:val="center"/>
      </w:pPr>
      <w:r>
        <w:rPr>
          <w:rFonts w:ascii="Arial" w:hAnsi="Arial" w:eastAsia="Arial"/>
          <w:color w:val="1F4D78"/>
          <w:sz w:val="24"/>
        </w:rPr>
        <w:t>Москва, 2026</w:t>
      </w:r>
      <w:r>
        <w:br w:type="page"/>
      </w:r>
    </w:p>
    <w:p>
      <w:pPr>
        <w:pStyle w:val="Heading1"/>
      </w:pPr>
      <w:r>
        <w:t>1. Цель и предметная область</w:t>
      </w:r>
    </w:p>
    <w:p>
      <w:r>
        <w:rPr>
          <w:rFonts w:ascii="Arial" w:hAnsi="Arial" w:eastAsia="Arial"/>
          <w:color w:val="1F2937"/>
          <w:sz w:val="22"/>
        </w:rPr>
        <w:t>Цель работы - создать воспроизводимый прототип, который готовит временной ряд, прогнозирует будущие значения и выделяет аномальные режимы. Выбран набор Numenta Anomaly Benchmark (NAB), файл machine_temperature_system_failure.csv. Источник данных - официальный открытый репозиторий https://github.com/numenta/NAB.</w:t>
      </w:r>
    </w:p>
    <w:p>
      <w:r>
        <w:rPr>
          <w:rFonts w:ascii="Arial" w:hAnsi="Arial" w:eastAsia="Arial"/>
          <w:color w:val="1F2937"/>
          <w:sz w:val="22"/>
        </w:rPr>
        <w:t>Ряд содержит пятиминутные показания температурного датчика промышленной машины. Прогноз может использоваться как ожидаемая траектория температуры, а обнаружение аномалий - для раннего предупреждения о перегреве, сбое датчика или переходе оборудования в необычный режим. В качестве эталона используются четыре официальных окна аномалий NAB.</w:t>
      </w:r>
    </w:p>
    <w:p>
      <w:pPr>
        <w:pStyle w:val="Heading2"/>
      </w:pPr>
      <w:r>
        <w:t>Задачи работы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Проверить структуру и качество исходных данных.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Привести временной индекс к регулярной частоте.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Исследовать динамику и скользящие статистики.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Сравнить сезонный базовый прогноз с SARIMA.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Реализовать два метода обнаружения аномалий и оценить их по разметке NAB.</w:t>
      </w:r>
    </w:p>
    <w:p>
      <w:pPr>
        <w:pStyle w:val="ListNumber"/>
        <w:spacing w:after="80" w:line="290" w:lineRule="auto"/>
        <w:ind w:left="540" w:hanging="279"/>
      </w:pPr>
      <w:r>
        <w:rPr>
          <w:rFonts w:ascii="Arial" w:hAnsi="Arial" w:eastAsia="Arial"/>
          <w:color w:val="1F2937"/>
          <w:sz w:val="22"/>
        </w:rPr>
        <w:t>Сохранить код, графики, таблицы и итоговые документы в воспроизводимом репозитории.</w:t>
      </w:r>
    </w:p>
    <w:p>
      <w:pPr>
        <w:pStyle w:val="Heading1"/>
      </w:pPr>
      <w:r>
        <w:t>2. Подготовка данных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640"/>
      </w:tblGrid>
      <w:tr>
        <w:trPr>
          <w:tblHeader w:val="true"/>
        </w:trP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Показатель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Значение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Исходных строк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22695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Период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2013-12-02 21:15:00 - 2014-02-19 15:25:00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Пропусков в исходном файле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0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Повторных временных меток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12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Строк после подготовки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22683</w:t>
            </w:r>
          </w:p>
        </w:tc>
      </w:tr>
      <w:tr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Итоговая частота</w:t>
            </w:r>
          </w:p>
        </w:tc>
        <w:tc>
          <w:tcPr>
            <w:tcW w:type="dxa" w:w="46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5 минут</w:t>
            </w:r>
          </w:p>
        </w:tc>
      </w:tr>
    </w:tbl>
    <w:p>
      <w:r>
        <w:rPr>
          <w:rFonts w:ascii="Arial" w:hAnsi="Arial" w:eastAsia="Arial"/>
          <w:color w:val="1F2937"/>
          <w:sz w:val="22"/>
        </w:rPr>
        <w:t>Временная метка преобразована в формат даты и времени, наблюдения отсортированы. Для 12 повторных меток рассчитано среднее значение: это сохраняет оба измерения и формирует однозначный индекс. После приведения к сетке 5 минут пропусков не найдено. Случайное перемешивание не применялось, чтобы исключить утечку будущей информации.</w:t>
      </w:r>
    </w:p>
    <w:p>
      <w:pPr>
        <w:spacing w:after="0"/>
      </w:pPr>
      <w:r>
        <w:br w:type="page"/>
      </w:r>
    </w:p>
    <w:p>
      <w:pPr>
        <w:pStyle w:val="Heading1"/>
      </w:pPr>
      <w:r>
        <w:t>3. Визуальный анализ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024360"/>
            <wp:docPr id="1" name="Picture 1" descr="Рисунок 1 - Исходный временной ряд после очист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me_ser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2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1 - Исходный временной ряд после очистки</w:t>
      </w:r>
    </w:p>
    <w:p>
      <w:r>
        <w:rPr>
          <w:rFonts w:ascii="Arial" w:hAnsi="Arial" w:eastAsia="Arial"/>
          <w:color w:val="1F2937"/>
          <w:sz w:val="22"/>
        </w:rPr>
        <w:t>Ряд нестационарен: наблюдаются смены уровня, локальные скачки и интервалы повышенной изменчивости. Особенно заметны продолжительные режимы с отклонением от обычного диапазона. Глобальный порог по температуре поэтому может пропускать контекстные аномалии или создавать ложные тревоги.</w:t>
      </w:r>
    </w:p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62559"/>
            <wp:docPr id="2" name="Picture 2" descr="Рисунок 2 - Среднее и стандартное отклонение в окне 24 час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lling_stati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6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2 - Среднее и стандартное отклонение в окне 24 часа</w:t>
      </w:r>
    </w:p>
    <w:p>
      <w:r>
        <w:rPr>
          <w:rFonts w:ascii="Arial" w:hAnsi="Arial" w:eastAsia="Arial"/>
          <w:color w:val="1F2937"/>
          <w:sz w:val="22"/>
        </w:rPr>
        <w:t>Скользящее среднее подтверждает изменение локального уровня, а стандартное отклонение - изменение волатильности. Для прогноза учтена суточная сезонность, а для детектирования используются признаки локального контекста.</w:t>
      </w:r>
    </w:p>
    <w:p>
      <w:pPr>
        <w:spacing w:after="0"/>
      </w:pPr>
      <w:r>
        <w:br w:type="page"/>
      </w:r>
    </w:p>
    <w:p>
      <w:pPr>
        <w:pStyle w:val="Heading1"/>
      </w:pPr>
      <w:r>
        <w:t>4. Модели прогнозирования</w:t>
      </w:r>
    </w:p>
    <w:p>
      <w:r>
        <w:rPr>
          <w:rFonts w:ascii="Arial" w:hAnsi="Arial" w:eastAsia="Arial"/>
          <w:color w:val="1F2937"/>
          <w:sz w:val="22"/>
        </w:rPr>
        <w:t>Температура усреднена по часу, после чего первые 80% наблюдений отнесены к обучающей части, последние 20% - к тестовой. Базовая модель повторяет температуру того же часа предыдущих суток. Дополнительная модель SARIMA(1,1,1)(1,0,0,24) учитывает зависимость последовательных значений, ошибки и суточный период.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00"/>
        <w:gridCol w:w="1880"/>
        <w:gridCol w:w="1880"/>
        <w:gridCol w:w="188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Модель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MAE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RMSE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8"/>
              </w:rPr>
              <w:t>MAPE, %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SARIMA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11.838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22.321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26.090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Сезонная базовая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13.494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22.328</w:t>
            </w:r>
          </w:p>
        </w:tc>
        <w:tc>
          <w:tcPr>
            <w:tcW w:type="dxa" w:w="18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8"/>
              </w:rPr>
              <w:t>19.882</w:t>
            </w:r>
          </w:p>
        </w:tc>
      </w:tr>
    </w:tbl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254692"/>
            <wp:docPr id="3" name="Picture 3" descr="Рисунок 3 - Фактические и прогнозные значения на тестовом отрезк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orecast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54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3 - Фактические и прогнозные значения на тестовом отрезке</w:t>
      </w:r>
    </w:p>
    <w:p>
      <w:r>
        <w:rPr>
          <w:rFonts w:ascii="Arial" w:hAnsi="Arial" w:eastAsia="Arial"/>
          <w:color w:val="1F2937"/>
          <w:sz w:val="22"/>
        </w:rPr>
        <w:t>SARIMA имеет минимально меньший RMSE (22,321 против 22,328), но сезонная базовая модель лучше по MAPE (19,88% против 26,09%). Следовательно, SARIMA чуть лучше по критерию, сильнее штрафующему крупные ошибки, однако не превосходит простую модель устойчиво по всем показателям. Резкие смены режима остаются трудными для обеих моделей.</w:t>
      </w:r>
    </w:p>
    <w:p>
      <w:pPr>
        <w:spacing w:after="0"/>
      </w:pPr>
      <w:r>
        <w:br w:type="page"/>
      </w:r>
    </w:p>
    <w:p>
      <w:pPr>
        <w:pStyle w:val="Heading1"/>
      </w:pPr>
      <w:r>
        <w:t>5. Обнаружение аномалий</w:t>
      </w:r>
    </w:p>
    <w:p>
      <w:r>
        <w:rPr>
          <w:rFonts w:ascii="Arial" w:hAnsi="Arial" w:eastAsia="Arial"/>
          <w:color w:val="1F2937"/>
          <w:sz w:val="22"/>
        </w:rPr>
        <w:t>Метод 1 рассчитывает ошибку суточного прогноза и её робастный z-score в семидневном окне; порог равен 4,0. Метод 2 - Isolation Forest с ожидаемой долей выбросов 3%. В признаки включены уровень температуры, абсолютный скачок, ошибка суточного прогноза и отклонение от локальной медианы.</w:t>
      </w:r>
    </w:p>
    <w:tbl>
      <w:tblPr>
        <w:tblW w:type="dxa" w:w="96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300"/>
        <w:gridCol w:w="1450"/>
        <w:gridCol w:w="1250"/>
        <w:gridCol w:w="1100"/>
        <w:gridCol w:w="154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Метод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Сигналы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Precision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Recall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F1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  <w:shd w:fill="F4F6F9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color w:val="183153"/>
                <w:sz w:val="17"/>
              </w:rPr>
              <w:t>Окна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Isolation Forest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681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0.608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0.183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0.281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4/4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Робастный z-score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531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0.710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0.166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0.269</w:t>
            </w:r>
          </w:p>
        </w:tc>
        <w:tc>
          <w:tcPr>
            <w:tcW w:type="dxa" w:w="15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start w:val="single" w:sz="6" w:color="CBD5E1"/>
              <w:bottom w:val="single" w:sz="6" w:color="CBD5E1"/>
              <w:end w:val="single" w:sz="6" w:color="CBD5E1"/>
              <w:insideH w:val="single" w:sz="6" w:color="CBD5E1"/>
              <w:insideV w:val="single" w:sz="6" w:color="CBD5E1"/>
            </w:tcBorders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 w:val="0"/>
                <w:color w:val="1F2937"/>
                <w:sz w:val="17"/>
              </w:rPr>
              <w:t>2/4</w:t>
            </w:r>
          </w:p>
        </w:tc>
      </w:tr>
    </w:tbl>
    <w:p>
      <w:pPr>
        <w:keepNext/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5868000" cy="3595130"/>
            <wp:docPr id="4" name="Picture 4" descr="Рисунок 4 - Сигналы двух методов и эталонные окна NA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nomaly_detec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9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RU"/>
      </w:pPr>
      <w:r>
        <w:t>Рисунок 4 - Сигналы двух методов и эталонные окна NAB</w:t>
      </w:r>
    </w:p>
    <w:p>
      <w:r>
        <w:rPr>
          <w:rFonts w:ascii="Arial" w:hAnsi="Arial" w:eastAsia="Arial"/>
          <w:color w:val="1F2937"/>
          <w:sz w:val="22"/>
        </w:rPr>
        <w:t>Isolation Forest дал лучший точечный F1 = 0,281 и подал хотя бы один сигнал во всех четырёх окнах. Робастный метод имеет более высокую точность 0,710, но охватил только два окна. Точечный recall невысок, поскольку эталон NAB размечает длинные интервалы, а методы выделяют наиболее необычные точки внутри них. Для производственного мониторинга полезна комбинация методов.</w:t>
      </w:r>
    </w:p>
    <w:p>
      <w:pPr>
        <w:spacing w:after="0"/>
      </w:pPr>
      <w:r>
        <w:br w:type="page"/>
      </w:r>
    </w:p>
    <w:p>
      <w:pPr>
        <w:pStyle w:val="Heading1"/>
      </w:pPr>
      <w:r>
        <w:t>6. Выводы и ограничения</w:t>
      </w:r>
    </w:p>
    <w:p>
      <w:r>
        <w:rPr>
          <w:rFonts w:ascii="Arial" w:hAnsi="Arial" w:eastAsia="Arial"/>
          <w:color w:val="1F2937"/>
          <w:sz w:val="22"/>
        </w:rPr>
        <w:t>Разработан воспроизводимый прототип полного цикла: от загрузки и проверки данных до прогнозирования, обнаружения аномалий и сохранения результатов. Очищенный ряд содержит 22 683 наблюдения без пропусков. Модель SARIMA не показала однозначного превосходства над сильной сезонной базовой линией, что подчёркивает необходимость сравнивать сложные методы с простыми ориентирами.</w:t>
      </w:r>
    </w:p>
    <w:p>
      <w:r>
        <w:rPr>
          <w:rFonts w:ascii="Arial" w:hAnsi="Arial" w:eastAsia="Arial"/>
          <w:color w:val="1F2937"/>
          <w:sz w:val="22"/>
        </w:rPr>
        <w:t>Isolation Forest обнаружил все четыре известных события, тогда как робастный метод был точнее, но менее чувствителен. Результаты подтверждают, что для этого ряда важны не только абсолютные значения температуры, но и локальный контекст, суточная ошибка и скорость изменения.</w:t>
      </w:r>
    </w:p>
    <w:p>
      <w:pPr>
        <w:pStyle w:val="Heading2"/>
      </w:pPr>
      <w:r>
        <w:t>Ограничения</w:t>
      </w:r>
    </w:p>
    <w:p>
      <w:r>
        <w:rPr>
          <w:rFonts w:ascii="Arial" w:hAnsi="Arial" w:eastAsia="Arial"/>
          <w:color w:val="1F2937"/>
          <w:sz w:val="22"/>
        </w:rPr>
        <w:t>Используется один датчик и короткая история; пороги заданы заранее; SARIMA обучается без расширенного перебора параметров; точечные precision и recall не полностью отражают качество обнаружения продолжительных событий. В дальнейшем следует выделить отдельный валидационный период, настроить адаптивные пороги, добавить телеметрию других датчиков и оценивать задержку первого сигнала внутри окна.</w:t>
      </w:r>
    </w:p>
    <w:p>
      <w:pPr>
        <w:pStyle w:val="Heading2"/>
      </w:pPr>
      <w:r>
        <w:t>Воспроизводимость</w:t>
      </w:r>
    </w:p>
    <w:p>
      <w:r>
        <w:rPr>
          <w:rFonts w:ascii="Arial" w:hAnsi="Arial" w:eastAsia="Arial"/>
          <w:color w:val="1F2937"/>
          <w:sz w:val="22"/>
        </w:rPr>
        <w:t>Ноутбук находится в notebooks/anomaly_detection_project.ipynb, исходный конвейер - в src/pipeline.py, таблицы и рисунки - в results/, документы - в reports/. Инструкция запуска и зависимости приведены в README.md и requirements.txt. После создания личного репозитория GitFlic необходимо вставить его адрес на титульную страницу.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Arial" w:hAnsi="Arial" w:eastAsia="Arial"/>
        <w:color w:val="64748B"/>
        <w:sz w:val="16"/>
      </w:rPr>
      <w:t xml:space="preserve">Учебная практика: анализ временных рядов     </w:t>
    </w:r>
    <w:r>
      <w:rPr>
        <w:rFonts w:ascii="Arial" w:hAnsi="Arial" w:eastAsia="Arial"/>
        <w:color w:val="64748B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  <w:jc w:val="both"/>
    </w:pPr>
    <w:rPr>
      <w:rFonts w:ascii="Arial" w:hAnsi="Arial" w:eastAsia="Arial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4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RU">
    <w:name w:val="Caption RU"/>
    <w:pPr>
      <w:keepNext w:val="0"/>
      <w:spacing w:before="40" w:after="160"/>
      <w:jc w:val="center"/>
    </w:pPr>
    <w:rPr>
      <w:rFonts w:ascii="Arial" w:hAnsi="Arial"/>
      <w:i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учебной практике: прогнозирование и обнаружение аномалий</dc:title>
  <dc:subject>Анализ временных рядов</dc:subject>
  <dc:creator>Обучающийся</dc:creator>
  <cp:keywords/>
  <dc:description>Редактируемая версия итогового отчёта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