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48"/>
          <w:szCs w:val="48"/>
        </w:rPr>
        <w:t xml:space="preserve">From Fear to Flight</w:t>
      </w:r>
    </w:p>
    <w:p>
      <w:pPr>
        <w:spacing w:after="60"/>
        <w:jc w:val="center"/>
      </w:pPr>
      <w:r>
        <w:rPr>
          <w:rFonts w:ascii="Arial" w:cs="Arial" w:eastAsia="Arial" w:hAnsi="Arial"/>
          <w:i/>
          <w:iCs/>
          <w:color w:val="555555"/>
          <w:sz w:val="24"/>
          <w:szCs w:val="24"/>
        </w:rPr>
        <w:t xml:space="preserve">A Data-Informed Guide to Your First Solo Trip</w:t>
      </w:r>
    </w:p>
    <w:p>
      <w:pPr>
        <w:spacing w:after="320"/>
        <w:jc w:val="center"/>
      </w:pPr>
      <w:r>
        <w:rPr>
          <w:rFonts w:ascii="Arial" w:cs="Arial" w:eastAsia="Arial" w:hAnsi="Arial"/>
          <w:color w:val="888888"/>
          <w:sz w:val="18"/>
          <w:szCs w:val="18"/>
        </w:rPr>
        <w:t xml:space="preserve">Python  ·  Pandas  ·  Seaborn  ·  87 countries</w:t>
      </w:r>
    </w:p>
    <w:p>
      <w:pPr>
        <w:pBdr>
          <w:bottom w:val="single" w:color="BBBBBB" w:sz="4" w:space="1"/>
        </w:pBdr>
        <w:spacing w:after="200"/>
      </w:pPr>
    </w:p>
    <w:p>
      <w:pPr>
        <w:pStyle w:val="Heading1"/>
        <w:spacing w:after="120" w:before="300"/>
      </w:pPr>
      <w:r>
        <w:rPr>
          <w:rFonts w:ascii="Arial" w:cs="Arial" w:eastAsia="Arial" w:hAnsi="Arial"/>
          <w:b/>
          <w:bCs/>
          <w:color w:val="1F3864"/>
          <w:sz w:val="28"/>
          <w:szCs w:val="28"/>
        </w:rPr>
        <w:t xml:space="preserve">Introduction</w:t>
      </w:r>
    </w:p>
    <w:p>
      <w:pPr>
        <w:spacing w:after="120"/>
      </w:pPr>
      <w:r>
        <w:rPr>
          <w:rFonts w:ascii="Arial" w:cs="Arial" w:eastAsia="Arial" w:hAnsi="Arial"/>
          <w:color w:val="1A1A1A"/>
          <w:sz w:val="22"/>
          <w:szCs w:val="22"/>
        </w:rPr>
        <w:t xml:space="preserve">I always knew I wanted to travel — not just to see new places, but to grow. At some point, I made a decision: I would go, no matter what. And I did.</w:t>
      </w:r>
    </w:p>
    <w:p>
      <w:pPr>
        <w:spacing w:after="120"/>
      </w:pPr>
      <w:r>
        <w:rPr>
          <w:rFonts w:ascii="Arial" w:cs="Arial" w:eastAsia="Arial" w:hAnsi="Arial"/>
          <w:color w:val="1A1A1A"/>
          <w:sz w:val="22"/>
          <w:szCs w:val="22"/>
        </w:rPr>
        <w:t xml:space="preserve">What began as uncertainty became one of the most meaningful experiences of my life. Not because everything went perfectly, but because I realized how much of what holds us back is not reality, but hesitation.</w:t>
      </w:r>
    </w:p>
    <w:p>
      <w:pPr>
        <w:spacing w:after="120"/>
      </w:pPr>
      <w:r>
        <w:rPr>
          <w:rFonts w:ascii="Arial" w:cs="Arial" w:eastAsia="Arial" w:hAnsi="Arial"/>
          <w:color w:val="1A1A1A"/>
          <w:sz w:val="22"/>
          <w:szCs w:val="22"/>
        </w:rPr>
        <w:t xml:space="preserve">This project builds on that idea. By combining data with personal experience, I explore which factors make a destination feel accessible for first-time solo travelers, and how structured analysis can help turn fear into action.</w:t>
      </w:r>
    </w:p>
    <w:p>
      <w:pPr>
        <w:spacing w:after="160"/>
      </w:pPr>
    </w:p>
    <w:p>
      <w:pPr>
        <w:pStyle w:val="Heading1"/>
        <w:spacing w:after="120" w:before="300"/>
      </w:pPr>
      <w:r>
        <w:rPr>
          <w:rFonts w:ascii="Arial" w:cs="Arial" w:eastAsia="Arial" w:hAnsi="Arial"/>
          <w:b/>
          <w:bCs/>
          <w:color w:val="1F3864"/>
          <w:sz w:val="28"/>
          <w:szCs w:val="28"/>
        </w:rPr>
        <w:t xml:space="preserve">The Challenge</w:t>
      </w:r>
    </w:p>
    <w:p>
      <w:pPr>
        <w:spacing w:after="120"/>
      </w:pPr>
      <w:r>
        <w:rPr>
          <w:rFonts w:ascii="Arial" w:cs="Arial" w:eastAsia="Arial" w:hAnsi="Arial"/>
          <w:color w:val="1A1A1A"/>
          <w:sz w:val="22"/>
          <w:szCs w:val="22"/>
        </w:rPr>
        <w:t xml:space="preserve">The biggest barrier to solo travel isn’t a lack of information — it’s the fear of making the wrong choice. Many people want to go but don’t know where to start, how to choose a destination, or how to avoid costly mistakes.</w:t>
      </w:r>
    </w:p>
    <w:p>
      <w:pPr>
        <w:spacing w:after="120"/>
      </w:pPr>
      <w:r>
        <w:rPr>
          <w:rFonts w:ascii="Arial" w:cs="Arial" w:eastAsia="Arial" w:hAnsi="Arial"/>
          <w:color w:val="1A1A1A"/>
          <w:sz w:val="22"/>
          <w:szCs w:val="22"/>
        </w:rPr>
        <w:t xml:space="preserve">This project explores how data can reduce that uncertainty by making the decision more structured and less overwhelming.</w:t>
      </w:r>
    </w:p>
    <w:p>
      <w:pPr>
        <w:spacing w:after="160"/>
      </w:pPr>
    </w:p>
    <w:p>
      <w:pPr>
        <w:pStyle w:val="Heading1"/>
        <w:spacing w:after="120" w:before="300"/>
      </w:pPr>
      <w:r>
        <w:rPr>
          <w:rFonts w:ascii="Arial" w:cs="Arial" w:eastAsia="Arial" w:hAnsi="Arial"/>
          <w:b/>
          <w:bCs/>
          <w:color w:val="1F3864"/>
          <w:sz w:val="28"/>
          <w:szCs w:val="28"/>
        </w:rPr>
        <w:t xml:space="preserve">Approach</w:t>
      </w:r>
    </w:p>
    <w:p>
      <w:pPr>
        <w:pStyle w:val="Heading2"/>
        <w:spacing w:after="100" w:before="200"/>
      </w:pPr>
      <w:r>
        <w:rPr>
          <w:rFonts w:ascii="Arial" w:cs="Arial" w:eastAsia="Arial" w:hAnsi="Arial"/>
          <w:b/>
          <w:bCs/>
          <w:color w:val="2E75B6"/>
          <w:sz w:val="24"/>
          <w:szCs w:val="24"/>
        </w:rPr>
        <w:t xml:space="preserve">Research Questions</w:t>
      </w:r>
    </w:p>
    <w:p>
      <w:pPr>
        <w:pStyle w:val="ListParagraph"/>
        <w:numPr>
          <w:ilvl w:val="0"/>
          <w:numId w:val="2"/>
        </w:numPr>
        <w:spacing w:after="80"/>
      </w:pPr>
      <w:r>
        <w:rPr>
          <w:rFonts w:ascii="Arial" w:cs="Arial" w:eastAsia="Arial" w:hAnsi="Arial"/>
          <w:sz w:val="22"/>
          <w:szCs w:val="22"/>
        </w:rPr>
        <w:t xml:space="preserve">What influences perceived safety across countries?</w:t>
      </w:r>
    </w:p>
    <w:p>
      <w:pPr>
        <w:pStyle w:val="ListParagraph"/>
        <w:numPr>
          <w:ilvl w:val="0"/>
          <w:numId w:val="2"/>
        </w:numPr>
        <w:spacing w:after="80"/>
      </w:pPr>
      <w:r>
        <w:rPr>
          <w:rFonts w:ascii="Arial" w:cs="Arial" w:eastAsia="Arial" w:hAnsi="Arial"/>
          <w:sz w:val="22"/>
          <w:szCs w:val="22"/>
        </w:rPr>
        <w:t xml:space="preserve">What makes a destination financially accessible?</w:t>
      </w:r>
    </w:p>
    <w:p>
      <w:pPr>
        <w:pStyle w:val="ListParagraph"/>
        <w:numPr>
          <w:ilvl w:val="0"/>
          <w:numId w:val="2"/>
        </w:numPr>
        <w:spacing w:after="80"/>
      </w:pPr>
      <w:r>
        <w:rPr>
          <w:rFonts w:ascii="Arial" w:cs="Arial" w:eastAsia="Arial" w:hAnsi="Arial"/>
          <w:sz w:val="22"/>
          <w:szCs w:val="22"/>
        </w:rPr>
        <w:t xml:space="preserve">What reduces uncertainty for first-time solo travelers?</w:t>
      </w:r>
    </w:p>
    <w:p>
      <w:pPr>
        <w:spacing w:after="160"/>
      </w:pPr>
    </w:p>
    <w:p>
      <w:pPr>
        <w:pStyle w:val="Heading2"/>
        <w:spacing w:after="100" w:before="200"/>
      </w:pPr>
      <w:r>
        <w:rPr>
          <w:rFonts w:ascii="Arial" w:cs="Arial" w:eastAsia="Arial" w:hAnsi="Arial"/>
          <w:b/>
          <w:bCs/>
          <w:color w:val="2E75B6"/>
          <w:sz w:val="24"/>
          <w:szCs w:val="24"/>
        </w:rPr>
        <w:t xml:space="preserve">Datasets</w:t>
      </w:r>
    </w:p>
    <w:p>
      <w:pPr>
        <w:spacing w:after="120"/>
      </w:pPr>
      <w:r>
        <w:rPr>
          <w:rFonts w:ascii="Arial" w:cs="Arial" w:eastAsia="Arial" w:hAnsi="Arial"/>
          <w:color w:val="1A1A1A"/>
          <w:sz w:val="22"/>
          <w:szCs w:val="22"/>
        </w:rPr>
        <w:t xml:space="preserve">Two public datasets were selected to address the main concerns associated with solo travel:</w:t>
      </w:r>
    </w:p>
    <w:p>
      <w:pPr>
        <w:pStyle w:val="ListParagraph"/>
        <w:numPr>
          <w:ilvl w:val="0"/>
          <w:numId w:val="2"/>
        </w:numPr>
        <w:spacing w:after="80"/>
      </w:pPr>
      <w:r>
        <w:rPr>
          <w:rFonts w:ascii="Arial" w:cs="Arial" w:eastAsia="Arial" w:hAnsi="Arial"/>
          <w:sz w:val="22"/>
          <w:szCs w:val="22"/>
        </w:rPr>
        <w:t xml:space="preserve">Quality of Life Index (Numbeo) — 1,495 entries across 12 variables, including Safety Index and Cost of Living Index</w:t>
      </w:r>
    </w:p>
    <w:p>
      <w:pPr>
        <w:pStyle w:val="ListParagraph"/>
        <w:numPr>
          <w:ilvl w:val="0"/>
          <w:numId w:val="2"/>
        </w:numPr>
        <w:spacing w:after="80"/>
      </w:pPr>
      <w:r>
        <w:rPr>
          <w:rFonts w:ascii="Arial" w:cs="Arial" w:eastAsia="Arial" w:hAnsi="Arial"/>
          <w:sz w:val="22"/>
          <w:szCs w:val="22"/>
        </w:rPr>
        <w:t xml:space="preserve">World Tourism Economy Data — 6,650 entries across 11 variables, including tourism arrivals, receipts, and GDP</w:t>
      </w:r>
    </w:p>
    <w:p>
      <w:pPr>
        <w:spacing w:after="160"/>
      </w:pPr>
    </w:p>
    <w:p>
      <w:pPr>
        <w:pStyle w:val="Heading2"/>
        <w:spacing w:after="100" w:before="200"/>
      </w:pPr>
      <w:r>
        <w:rPr>
          <w:rFonts w:ascii="Arial" w:cs="Arial" w:eastAsia="Arial" w:hAnsi="Arial"/>
          <w:b/>
          <w:bCs/>
          <w:color w:val="2E75B6"/>
          <w:sz w:val="24"/>
          <w:szCs w:val="24"/>
        </w:rPr>
        <w:t xml:space="preserve">Variables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Role in Analysis</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Safety Index</w:t>
            </w:r>
          </w:p>
        </w:tc>
        <w:tc>
          <w:tcPr>
            <w:tcW w:type="dxa" w:w="3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Quality of Life (Numbeo)</w:t>
            </w:r>
          </w:p>
        </w:tc>
        <w:tc>
          <w:tcPr>
            <w:tcW w:type="dxa" w:w="25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Proxy for perceived risk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Cost of Living Index</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Quality of Life (Numbeo)</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Relative affordability measure</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Tourism Arrivals</w:t>
            </w:r>
          </w:p>
        </w:tc>
        <w:tc>
          <w:tcPr>
            <w:tcW w:type="dxa" w:w="3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World Tourism Economy</w:t>
            </w:r>
          </w:p>
        </w:tc>
        <w:tc>
          <w:tcPr>
            <w:tcW w:type="dxa" w:w="25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Proxy for popularity &amp; social proof</w:t>
            </w:r>
          </w:p>
        </w:tc>
      </w:tr>
    </w:tbl>
    <w:p>
      <w:pPr>
        <w:spacing w:after="160"/>
      </w:pPr>
    </w:p>
    <w:p>
      <w:pPr>
        <w:pStyle w:val="Heading2"/>
        <w:spacing w:after="100" w:before="200"/>
      </w:pPr>
      <w:r>
        <w:rPr>
          <w:rFonts w:ascii="Arial" w:cs="Arial" w:eastAsia="Arial" w:hAnsi="Arial"/>
          <w:b/>
          <w:bCs/>
          <w:color w:val="2E75B6"/>
          <w:sz w:val="24"/>
          <w:szCs w:val="24"/>
        </w:rPr>
        <w:t xml:space="preserve">Tools &amp; Methods</w:t>
      </w:r>
    </w:p>
    <w:p>
      <w:pPr>
        <w:pStyle w:val="ListParagraph"/>
        <w:numPr>
          <w:ilvl w:val="0"/>
          <w:numId w:val="2"/>
        </w:numPr>
        <w:spacing w:after="80"/>
      </w:pPr>
      <w:r>
        <w:rPr>
          <w:rFonts w:ascii="Arial" w:cs="Arial" w:eastAsia="Arial" w:hAnsi="Arial"/>
          <w:sz w:val="22"/>
          <w:szCs w:val="22"/>
        </w:rPr>
        <w:t xml:space="preserve">Python — Pandas for data cleaning, transformation, and merging</w:t>
      </w:r>
    </w:p>
    <w:p>
      <w:pPr>
        <w:pStyle w:val="ListParagraph"/>
        <w:numPr>
          <w:ilvl w:val="0"/>
          <w:numId w:val="2"/>
        </w:numPr>
        <w:spacing w:after="80"/>
      </w:pPr>
      <w:r>
        <w:rPr>
          <w:rFonts w:ascii="Arial" w:cs="Arial" w:eastAsia="Arial" w:hAnsi="Arial"/>
          <w:sz w:val="22"/>
          <w:szCs w:val="22"/>
        </w:rPr>
        <w:t xml:space="preserve">Seaborn &amp; Matplotlib for visualization</w:t>
      </w:r>
    </w:p>
    <w:p>
      <w:pPr>
        <w:pStyle w:val="ListParagraph"/>
        <w:numPr>
          <w:ilvl w:val="0"/>
          <w:numId w:val="2"/>
        </w:numPr>
        <w:spacing w:after="80"/>
      </w:pPr>
      <w:r>
        <w:rPr>
          <w:rFonts w:ascii="Arial" w:cs="Arial" w:eastAsia="Arial" w:hAnsi="Arial"/>
          <w:sz w:val="22"/>
          <w:szCs w:val="22"/>
        </w:rPr>
        <w:t xml:space="preserve">Datasets merged at country level (inner join) → 87 countries in final dataset</w:t>
      </w:r>
    </w:p>
    <w:p>
      <w:pPr>
        <w:spacing w:after="160"/>
      </w:pPr>
    </w:p>
    <w:p>
      <w:pPr>
        <w:pStyle w:val="Heading1"/>
        <w:spacing w:after="120" w:before="300"/>
      </w:pPr>
      <w:r>
        <w:rPr>
          <w:rFonts w:ascii="Arial" w:cs="Arial" w:eastAsia="Arial" w:hAnsi="Arial"/>
          <w:b/>
          <w:bCs/>
          <w:color w:val="1F3864"/>
          <w:sz w:val="28"/>
          <w:szCs w:val="28"/>
        </w:rPr>
        <w:t xml:space="preserve">Data Preparation</w:t>
      </w:r>
    </w:p>
    <w:p>
      <w:pPr>
        <w:pStyle w:val="Heading2"/>
        <w:spacing w:after="100" w:before="200"/>
      </w:pPr>
      <w:r>
        <w:rPr>
          <w:rFonts w:ascii="Arial" w:cs="Arial" w:eastAsia="Arial" w:hAnsi="Arial"/>
          <w:b/>
          <w:bCs/>
          <w:color w:val="2E75B6"/>
          <w:sz w:val="24"/>
          <w:szCs w:val="24"/>
        </w:rPr>
        <w:t xml:space="preserve">Cleaning Steps</w:t>
      </w:r>
    </w:p>
    <w:p>
      <w:pPr>
        <w:pStyle w:val="ListParagraph"/>
        <w:numPr>
          <w:ilvl w:val="0"/>
          <w:numId w:val="2"/>
        </w:numPr>
        <w:spacing w:after="80"/>
      </w:pPr>
      <w:r>
        <w:rPr>
          <w:rFonts w:ascii="Arial" w:cs="Arial" w:eastAsia="Arial" w:hAnsi="Arial"/>
          <w:sz w:val="22"/>
          <w:szCs w:val="22"/>
        </w:rPr>
        <w:t xml:space="preserve">Selected relevant columns from each dataset</w:t>
      </w:r>
    </w:p>
    <w:p>
      <w:pPr>
        <w:pStyle w:val="ListParagraph"/>
        <w:numPr>
          <w:ilvl w:val="0"/>
          <w:numId w:val="2"/>
        </w:numPr>
        <w:spacing w:after="80"/>
      </w:pPr>
      <w:r>
        <w:rPr>
          <w:rFonts w:ascii="Arial" w:cs="Arial" w:eastAsia="Arial" w:hAnsi="Arial"/>
          <w:sz w:val="22"/>
          <w:szCs w:val="22"/>
        </w:rPr>
        <w:t xml:space="preserve">Standardized country name mismatches (e.g. “Viet Nam” → “Vietnam”, “Czechia” → “Czech Republic”)</w:t>
      </w:r>
    </w:p>
    <w:p>
      <w:pPr>
        <w:pStyle w:val="ListParagraph"/>
        <w:numPr>
          <w:ilvl w:val="0"/>
          <w:numId w:val="2"/>
        </w:numPr>
        <w:spacing w:after="80"/>
      </w:pPr>
      <w:r>
        <w:rPr>
          <w:rFonts w:ascii="Arial" w:cs="Arial" w:eastAsia="Arial" w:hAnsi="Arial"/>
          <w:sz w:val="22"/>
          <w:szCs w:val="22"/>
        </w:rPr>
        <w:t xml:space="preserve">Resolved duplicates via groupby mean (Quality: 1,495 → 98 unique countries; Tourism: 6,650 → 266)</w:t>
      </w:r>
    </w:p>
    <w:p>
      <w:pPr>
        <w:pStyle w:val="ListParagraph"/>
        <w:numPr>
          <w:ilvl w:val="0"/>
          <w:numId w:val="2"/>
        </w:numPr>
        <w:spacing w:after="80"/>
      </w:pPr>
      <w:r>
        <w:rPr>
          <w:rFonts w:ascii="Arial" w:cs="Arial" w:eastAsia="Arial" w:hAnsi="Arial"/>
          <w:sz w:val="22"/>
          <w:szCs w:val="22"/>
        </w:rPr>
        <w:t xml:space="preserve">Inner merge on country field → 87 countries with complete data across all three variables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7D4E00"/>
                <w:sz w:val="20"/>
                <w:szCs w:val="20"/>
              </w:rPr>
              <w:t xml:space="preserve">⚠️  Limitation: Vietnam and Laos were present in the quality dataset but dropped during the inner merge due to missing tourism arrival data. The Southeast Asia analysis therefore covers only Cambodia, Thailand, Indonesia, Philippines, and Malaysia.</w:t>
            </w:r>
          </w:p>
        </w:tc>
      </w:tr>
    </w:tbl>
    <w:p>
      <w:pPr>
        <w:spacing w:after="160"/>
      </w:pPr>
    </w:p>
    <w:p>
      <w:pPr>
        <w:pStyle w:val="Heading1"/>
        <w:spacing w:after="120" w:before="300"/>
      </w:pPr>
      <w:r>
        <w:rPr>
          <w:rFonts w:ascii="Arial" w:cs="Arial" w:eastAsia="Arial" w:hAnsi="Arial"/>
          <w:b/>
          <w:bCs/>
          <w:color w:val="1F3864"/>
          <w:sz w:val="28"/>
          <w:szCs w:val="28"/>
        </w:rPr>
        <w:t xml:space="preserve">Exploratory Data Analysis</w:t>
      </w:r>
    </w:p>
    <w:p>
      <w:pPr>
        <w:pStyle w:val="Heading2"/>
        <w:spacing w:after="100" w:before="200"/>
      </w:pPr>
      <w:r>
        <w:rPr>
          <w:rFonts w:ascii="Arial" w:cs="Arial" w:eastAsia="Arial" w:hAnsi="Arial"/>
          <w:b/>
          <w:bCs/>
          <w:color w:val="2E75B6"/>
          <w:sz w:val="24"/>
          <w:szCs w:val="24"/>
        </w:rPr>
        <w:t xml:space="preserve">Descriptive Statistics (87 countries)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Mean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Std Dev</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Min</w:t>
            </w:r>
          </w:p>
        </w:tc>
        <w:tc>
          <w:tcPr>
            <w:tcW w:type="dxa" w:w="1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Max</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Safety Index</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58.4</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13.8</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∼24</w:t>
            </w:r>
          </w:p>
        </w:tc>
        <w:tc>
          <w:tcPr>
            <w:tcW w:type="dxa" w:w="15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∼82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Cost of Living Index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52.2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∼22</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∼127</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Tourism Arrivals</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16.7M</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w:t>
            </w:r>
          </w:p>
        </w:tc>
        <w:tc>
          <w:tcPr>
            <w:tcW w:type="dxa" w:w="1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&lt;1M</w:t>
            </w:r>
          </w:p>
        </w:tc>
        <w:tc>
          <w:tcPr>
            <w:tcW w:type="dxa" w:w="15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&gt;80M</w:t>
            </w:r>
          </w:p>
        </w:tc>
      </w:tr>
    </w:tbl>
    <w:p>
      <w:pPr>
        <w:spacing w:after="160"/>
      </w:pPr>
    </w:p>
    <w:p>
      <w:pPr>
        <w:pStyle w:val="Heading2"/>
        <w:spacing w:after="100" w:before="200"/>
      </w:pPr>
      <w:r>
        <w:rPr>
          <w:rFonts w:ascii="Arial" w:cs="Arial" w:eastAsia="Arial" w:hAnsi="Arial"/>
          <w:b/>
          <w:bCs/>
          <w:color w:val="2E75B6"/>
          <w:sz w:val="24"/>
          <w:szCs w:val="24"/>
        </w:rPr>
        <w:t xml:space="preserve">Safety vs. Cost of Living</w:t>
      </w:r>
    </w:p>
    <w:p>
      <w:pPr>
        <w:spacing w:after="120"/>
      </w:pPr>
      <w:r>
        <w:rPr>
          <w:rFonts w:ascii="Arial" w:cs="Arial" w:eastAsia="Arial" w:hAnsi="Arial"/>
          <w:color w:val="1A1A1A"/>
          <w:sz w:val="22"/>
          <w:szCs w:val="22"/>
        </w:rPr>
        <w:t xml:space="preserve">The scatter plot across 87 countries shows no clear linear relationship between cost and safety. Higher-cost countries do not consistently offer higher safety, and several mid-cost destinations match or exceed high-cost countries on safety.</w:t>
      </w:r>
    </w:p>
    <w:p>
      <w:pPr>
        <w:spacing w:after="120"/>
      </w:pPr>
      <w:r>
        <w:rPr>
          <w:rFonts w:ascii="Arial" w:cs="Arial" w:eastAsia="Arial" w:hAnsi="Arial"/>
          <w:color w:val="1A1A1A"/>
          <w:sz w:val="22"/>
          <w:szCs w:val="22"/>
        </w:rPr>
        <w:t xml:space="preserve">When tourism arrivals are added as bubble size, an interesting pattern emerges: popular destinations appear across a wide range of safety and cost levels, suggesting that popularity is driven by factors beyond these two metrics alone.</w:t>
      </w:r>
    </w:p>
    <w:p>
      <w:pPr>
        <w:spacing w:after="160"/>
      </w:pPr>
    </w:p>
    <w:p>
      <w:pPr>
        <w:pStyle w:val="Heading2"/>
        <w:spacing w:after="100" w:before="200"/>
      </w:pPr>
      <w:r>
        <w:rPr>
          <w:rFonts w:ascii="Arial" w:cs="Arial" w:eastAsia="Arial" w:hAnsi="Arial"/>
          <w:b/>
          <w:bCs/>
          <w:color w:val="2E75B6"/>
          <w:sz w:val="24"/>
          <w:szCs w:val="24"/>
        </w:rPr>
        <w:t xml:space="preserve">Correlation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Variable Pair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Correlation (r)</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Safety ↔ Cost of Living</w:t>
            </w:r>
          </w:p>
        </w:tc>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0.357</w:t>
            </w:r>
          </w:p>
        </w:tc>
        <w:tc>
          <w:tcPr>
            <w:tcW w:type="dxa" w:w="4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Weak positive — safer countries tend to cost slightly more, but relationship is not strong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Safety ↔ Tourism Arrivals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0.042</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Near zero — popularity is essentially independent of safety score</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Cost ↔ Tourism Arrivals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 0.05–0.10</w:t>
            </w:r>
          </w:p>
        </w:tc>
        <w:tc>
          <w:tcPr>
            <w:tcW w:type="dxa" w:w="4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Near zero — affordability does not explain tourist volume</w:t>
            </w:r>
          </w:p>
        </w:tc>
      </w:tr>
    </w:tbl>
    <w:p>
      <w:pPr>
        <w:spacing w:after="160"/>
      </w:pPr>
    </w:p>
    <w:p>
      <w:pPr>
        <w:spacing w:after="120"/>
      </w:pPr>
      <w:r>
        <w:rPr>
          <w:rFonts w:ascii="Arial" w:cs="Arial" w:eastAsia="Arial" w:hAnsi="Arial"/>
          <w:color w:val="1A1A1A"/>
          <w:sz w:val="22"/>
          <w:szCs w:val="22"/>
        </w:rPr>
        <w:t xml:space="preserve">The near-zero correlation between safety and tourism confirms that perceived safety — shaped by familiarity, social proof, and infrastructure — diverges from objective safety metrics. Popular destinations feel safe partly because they are popular.</w:t>
      </w:r>
    </w:p>
    <w:p>
      <w:pPr>
        <w:spacing w:after="160"/>
      </w:pPr>
    </w:p>
    <w:p>
      <w:pPr>
        <w:pStyle w:val="Heading2"/>
        <w:spacing w:after="100" w:before="200"/>
      </w:pPr>
      <w:r>
        <w:rPr>
          <w:rFonts w:ascii="Arial" w:cs="Arial" w:eastAsia="Arial" w:hAnsi="Arial"/>
          <w:b/>
          <w:bCs/>
          <w:color w:val="2E75B6"/>
          <w:sz w:val="24"/>
          <w:szCs w:val="24"/>
        </w:rPr>
        <w:t xml:space="preserve">Southeast Asia Focus</w:t>
      </w:r>
    </w:p>
    <w:p>
      <w:pPr>
        <w:spacing w:after="120"/>
      </w:pPr>
      <w:r>
        <w:rPr>
          <w:rFonts w:ascii="Arial" w:cs="Arial" w:eastAsia="Arial" w:hAnsi="Arial"/>
          <w:color w:val="1A1A1A"/>
          <w:sz w:val="22"/>
          <w:szCs w:val="22"/>
        </w:rPr>
        <w:t xml:space="preserve">Of the originally targeted SEA countries, only Cambodia, Thailand, Indonesia, Philippines, and Malaysia appeared in the final merged dataset. Vietnam and Laos were excluded due to missing tourism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0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Country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Safety Index</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Cost of Living Index</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Tourism Arrivals</w:t>
            </w:r>
          </w:p>
        </w:tc>
      </w:tr>
      <w:tr>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Thailand</w:t>
            </w:r>
          </w:p>
        </w:tc>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57.8</w:t>
            </w:r>
          </w:p>
        </w:tc>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43.9</w:t>
            </w:r>
          </w:p>
        </w:tc>
        <w:tc>
          <w:tcPr>
            <w:tcW w:type="dxa" w:w="2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19.7M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Malaysia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58.1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38.5</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26.8M</w:t>
            </w:r>
          </w:p>
        </w:tc>
      </w:tr>
      <w:tr>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Indonesia</w:t>
            </w:r>
          </w:p>
        </w:tc>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53.7</w:t>
            </w:r>
          </w:p>
        </w:tc>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35.8</w:t>
            </w:r>
          </w:p>
        </w:tc>
        <w:tc>
          <w:tcPr>
            <w:tcW w:type="dxa" w:w="2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7.7M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Cambodia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55.9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57.0</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2.8M</w:t>
            </w:r>
          </w:p>
        </w:tc>
      </w:tr>
      <w:tr>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Philippines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42.3</w:t>
            </w:r>
          </w:p>
        </w:tc>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38.4</w:t>
            </w:r>
          </w:p>
        </w:tc>
        <w:tc>
          <w:tcPr>
            <w:tcW w:type="dxa" w:w="2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6.6M</w:t>
            </w:r>
          </w:p>
        </w:tc>
      </w:tr>
    </w:tbl>
    <w:p>
      <w:pPr>
        <w:spacing w:after="160"/>
      </w:pPr>
    </w:p>
    <w:p>
      <w:pPr>
        <w:pStyle w:val="Heading2"/>
        <w:spacing w:after="100" w:before="200"/>
      </w:pPr>
      <w:r>
        <w:rPr>
          <w:rFonts w:ascii="Arial" w:cs="Arial" w:eastAsia="Arial" w:hAnsi="Arial"/>
          <w:b/>
          <w:bCs/>
          <w:color w:val="2E75B6"/>
          <w:sz w:val="24"/>
          <w:szCs w:val="24"/>
        </w:rPr>
        <w:t xml:space="preserve">Top Recommended Destinations</w:t>
      </w:r>
    </w:p>
    <w:p>
      <w:pPr>
        <w:spacing w:after="120"/>
      </w:pPr>
      <w:r>
        <w:rPr>
          <w:rFonts w:ascii="Arial" w:cs="Arial" w:eastAsia="Arial" w:hAnsi="Arial"/>
          <w:color w:val="1A1A1A"/>
          <w:sz w:val="22"/>
          <w:szCs w:val="22"/>
        </w:rPr>
        <w:t xml:space="preserve">Filter applied: Safety Index ≥ 55 AND Cost of Living Index &lt; 60. Top results sorted by safety + tourism: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0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Country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Safety Index</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Cost of Living Index</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Tourism Arrivals</w:t>
            </w:r>
          </w:p>
        </w:tc>
      </w:tr>
      <w:tr>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Oman</w:t>
            </w:r>
          </w:p>
        </w:tc>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80.2</w:t>
            </w:r>
          </w:p>
        </w:tc>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48.0</w:t>
            </w:r>
          </w:p>
        </w:tc>
        <w:tc>
          <w:tcPr>
            <w:tcW w:type="dxa" w:w="2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3.4M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Georgia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72.3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33.5</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7.7M</w:t>
            </w:r>
          </w:p>
        </w:tc>
      </w:tr>
      <w:tr>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Albania</w:t>
            </w:r>
          </w:p>
        </w:tc>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54.5</w:t>
            </w:r>
          </w:p>
        </w:tc>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41.5</w:t>
            </w:r>
          </w:p>
        </w:tc>
        <w:tc>
          <w:tcPr>
            <w:tcW w:type="dxa" w:w="2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2.4M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Malaysia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58.1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38.5</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26.8M</w:t>
            </w:r>
          </w:p>
        </w:tc>
      </w:tr>
      <w:tr>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Thailand</w:t>
            </w:r>
          </w:p>
        </w:tc>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57.8</w:t>
            </w:r>
          </w:p>
        </w:tc>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43.9</w:t>
            </w:r>
          </w:p>
        </w:tc>
        <w:tc>
          <w:tcPr>
            <w:tcW w:type="dxa" w:w="20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19.7M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Czech Republic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62.1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49.3</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14.3M</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7D4E00"/>
                <w:sz w:val="20"/>
                <w:szCs w:val="20"/>
              </w:rPr>
              <w:t xml:space="preserve">⚠️  Note: Turkmenistan ranked #1 by safety index (82.1) but had no tourism arrival data (NaN). It was excluded from final recommendations as a data quality anomaly — its high safety score likely reflects index methodology rather than real accessibility.</w:t>
            </w:r>
          </w:p>
        </w:tc>
      </w:tr>
    </w:tbl>
    <w:p>
      <w:pPr>
        <w:spacing w:after="160"/>
      </w:pPr>
    </w:p>
    <w:p>
      <w:pPr>
        <w:pStyle w:val="Heading1"/>
        <w:spacing w:after="120" w:before="300"/>
      </w:pPr>
      <w:r>
        <w:rPr>
          <w:rFonts w:ascii="Arial" w:cs="Arial" w:eastAsia="Arial" w:hAnsi="Arial"/>
          <w:b/>
          <w:bCs/>
          <w:color w:val="1F3864"/>
          <w:sz w:val="28"/>
          <w:szCs w:val="28"/>
        </w:rPr>
        <w:t xml:space="preserve">From Data to Decisions</w:t>
      </w:r>
    </w:p>
    <w:p>
      <w:pPr>
        <w:spacing w:after="120"/>
      </w:pPr>
      <w:r>
        <w:rPr>
          <w:rFonts w:ascii="Arial" w:cs="Arial" w:eastAsia="Arial" w:hAnsi="Arial"/>
          <w:color w:val="1A1A1A"/>
          <w:sz w:val="22"/>
          <w:szCs w:val="22"/>
        </w:rPr>
        <w:t xml:space="preserve">Instead of searching for a “perfect” destination, the practical approach is to filter by personal constraints — budget and acceptable risk level:</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Budget Range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 Countries</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&lt; $40/day (CoL Index &lt; 40)</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Southeast Asia</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Thailand, Indonesia, Malaysia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$40–70/day (CoL Index 40–60)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Eastern Europe / Caucasus</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Albania, Georgia, Czech Republic</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&gt; $70/day (CoL Index &gt; 60)</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Western Europe / Gulf</w:t>
            </w:r>
          </w:p>
        </w:tc>
        <w:tc>
          <w:tcPr>
            <w:tcW w:type="dxa" w:w="3426"/>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19"/>
                <w:szCs w:val="19"/>
              </w:rPr>
              <w:t xml:space="preserve">Portugal, Spain, UAE, Oman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color w:val="1A5276"/>
                <w:sz w:val="20"/>
                <w:szCs w:val="20"/>
              </w:rPr>
              <w:t xml:space="preserve">⚠️  Important: The Cost of Living Index is a relative measure, not a direct translation to daily USD spend. Budget ranges above are approximate guidance based on index values. Actual costs vary by travel style, accommodation type, and season.</w:t>
            </w:r>
          </w:p>
        </w:tc>
      </w:tr>
    </w:tbl>
    <w:p>
      <w:pPr>
        <w:spacing w:after="160"/>
      </w:pPr>
    </w:p>
    <w:p>
      <w:pPr>
        <w:pStyle w:val="Heading1"/>
        <w:spacing w:after="120" w:before="300"/>
      </w:pPr>
      <w:r>
        <w:rPr>
          <w:rFonts w:ascii="Arial" w:cs="Arial" w:eastAsia="Arial" w:hAnsi="Arial"/>
          <w:b/>
          <w:bCs/>
          <w:color w:val="1F3864"/>
          <w:sz w:val="28"/>
          <w:szCs w:val="28"/>
        </w:rPr>
        <w:t xml:space="preserve">The Psychological Barrier</w:t>
      </w:r>
    </w:p>
    <w:p>
      <w:pPr>
        <w:spacing w:after="120"/>
      </w:pPr>
      <w:r>
        <w:rPr>
          <w:rFonts w:ascii="Arial" w:cs="Arial" w:eastAsia="Arial" w:hAnsi="Arial"/>
          <w:color w:val="1A1A1A"/>
          <w:sz w:val="22"/>
          <w:szCs w:val="22"/>
        </w:rPr>
        <w:t xml:space="preserve">Data structures decisions, but doesn’t eliminate fear. The near-zero correlation between safety and tourism arrivals (r = 0.042) is itself a key finding: people flock to destinations that feel familiar and well-documented, regardless of objective safety scores.</w:t>
      </w:r>
    </w:p>
    <w:p>
      <w:pPr>
        <w:spacing w:after="120"/>
      </w:pPr>
      <w:r>
        <w:rPr>
          <w:rFonts w:ascii="Arial" w:cs="Arial" w:eastAsia="Arial" w:hAnsi="Arial"/>
          <w:color w:val="1A1A1A"/>
          <w:sz w:val="22"/>
          <w:szCs w:val="22"/>
        </w:rPr>
        <w:t xml:space="preserve">This means perceived safety is a psychological variable as much as a statistical one. For first-time travelers, high tourism activity acts as social proof — “millions of people go here, so it must be manageable.”</w:t>
      </w:r>
    </w:p>
    <w:p>
      <w:pPr>
        <w:spacing w:after="120"/>
      </w:pPr>
      <w:r>
        <w:rPr>
          <w:rFonts w:ascii="Arial" w:cs="Arial" w:eastAsia="Arial" w:hAnsi="Arial"/>
          <w:color w:val="1A1A1A"/>
          <w:sz w:val="22"/>
          <w:szCs w:val="22"/>
        </w:rPr>
        <w:t xml:space="preserve">Understanding this gap between perception and data is arguably the most actionable insight of the project: choosing a destination with strong tourism presence lowers psychological friction, even when the safety index is similar to a less-visited alternative.</w:t>
      </w:r>
    </w:p>
    <w:p>
      <w:pPr>
        <w:spacing w:after="160"/>
      </w:pPr>
    </w:p>
    <w:p>
      <w:pPr>
        <w:pStyle w:val="Heading1"/>
        <w:spacing w:after="120" w:before="300"/>
      </w:pPr>
      <w:r>
        <w:rPr>
          <w:rFonts w:ascii="Arial" w:cs="Arial" w:eastAsia="Arial" w:hAnsi="Arial"/>
          <w:b/>
          <w:bCs/>
          <w:color w:val="1F3864"/>
          <w:sz w:val="28"/>
          <w:szCs w:val="28"/>
        </w:rPr>
        <w:t xml:space="preserve">Personal Experience</w:t>
      </w:r>
    </w:p>
    <w:p>
      <w:pPr>
        <w:spacing w:after="120"/>
      </w:pPr>
      <w:r>
        <w:rPr>
          <w:rFonts w:ascii="Arial" w:cs="Arial" w:eastAsia="Arial" w:hAnsi="Arial"/>
          <w:color w:val="1A1A1A"/>
          <w:sz w:val="22"/>
          <w:szCs w:val="22"/>
        </w:rPr>
        <w:t xml:space="preserve">Before my first solo trip, I had the same questions many people ask: Would I feel alone? Would I enjoy it? Would I make mistakes?</w:t>
      </w:r>
    </w:p>
    <w:p>
      <w:pPr>
        <w:spacing w:after="120"/>
      </w:pPr>
      <w:r>
        <w:rPr>
          <w:rFonts w:ascii="Arial" w:cs="Arial" w:eastAsia="Arial" w:hAnsi="Arial"/>
          <w:color w:val="1A1A1A"/>
          <w:sz w:val="22"/>
          <w:szCs w:val="22"/>
        </w:rPr>
        <w:t xml:space="preserve">Some of those fears were real. Some weren’t. What I discovered is that you are only as alone as you choose to be, and that mistakes are part of the process. What this project confirms is that many of the things we fear can actually be measured, contextualized, and prepared for.</w:t>
      </w:r>
    </w:p>
    <w:p>
      <w:pPr>
        <w:spacing w:after="120"/>
      </w:pPr>
      <w:r>
        <w:rPr>
          <w:rFonts w:ascii="Arial" w:cs="Arial" w:eastAsia="Arial" w:hAnsi="Arial"/>
          <w:color w:val="1A1A1A"/>
          <w:sz w:val="22"/>
          <w:szCs w:val="22"/>
        </w:rPr>
        <w:t xml:space="preserve">The data doesn’t tell you where to go. But it does make the first step feel less like a leap into the unknown.</w:t>
      </w:r>
    </w:p>
    <w:p>
      <w:pPr>
        <w:spacing w:after="160"/>
      </w:pPr>
    </w:p>
    <w:p>
      <w:pPr>
        <w:pStyle w:val="Heading1"/>
        <w:spacing w:after="120" w:before="300"/>
      </w:pPr>
      <w:r>
        <w:rPr>
          <w:rFonts w:ascii="Arial" w:cs="Arial" w:eastAsia="Arial" w:hAnsi="Arial"/>
          <w:b/>
          <w:bCs/>
          <w:color w:val="1F3864"/>
          <w:sz w:val="28"/>
          <w:szCs w:val="28"/>
        </w:rPr>
        <w:t xml:space="preserve">Decision Framework</w:t>
      </w:r>
    </w:p>
    <w:p>
      <w:pPr>
        <w:spacing w:after="120"/>
      </w:pPr>
      <w:r>
        <w:rPr>
          <w:rFonts w:ascii="Arial" w:cs="Arial" w:eastAsia="Arial" w:hAnsi="Arial"/>
          <w:color w:val="1A1A1A"/>
          <w:sz w:val="22"/>
          <w:szCs w:val="22"/>
        </w:rPr>
        <w:t xml:space="preserve">For a first solo trip, prioritize destinations meeting all three criteria:</w:t>
      </w:r>
    </w:p>
    <w:p>
      <w:pPr>
        <w:pStyle w:val="ListParagraph"/>
        <w:numPr>
          <w:ilvl w:val="0"/>
          <w:numId w:val="2"/>
        </w:numPr>
        <w:spacing w:after="80"/>
      </w:pPr>
      <w:r>
        <w:rPr>
          <w:rFonts w:ascii="Arial" w:cs="Arial" w:eastAsia="Arial" w:hAnsi="Arial"/>
          <w:sz w:val="22"/>
          <w:szCs w:val="22"/>
        </w:rPr>
        <w:t xml:space="preserve">Safety Index ≥ 55 (moderate to high perceived safety)</w:t>
      </w:r>
    </w:p>
    <w:p>
      <w:pPr>
        <w:pStyle w:val="ListParagraph"/>
        <w:numPr>
          <w:ilvl w:val="0"/>
          <w:numId w:val="2"/>
        </w:numPr>
        <w:spacing w:after="80"/>
      </w:pPr>
      <w:r>
        <w:rPr>
          <w:rFonts w:ascii="Arial" w:cs="Arial" w:eastAsia="Arial" w:hAnsi="Arial"/>
          <w:sz w:val="22"/>
          <w:szCs w:val="22"/>
        </w:rPr>
        <w:t xml:space="preserve">Cost of Living Index &lt; 60 (relatively affordable)</w:t>
      </w:r>
    </w:p>
    <w:p>
      <w:pPr>
        <w:pStyle w:val="ListParagraph"/>
        <w:numPr>
          <w:ilvl w:val="0"/>
          <w:numId w:val="2"/>
        </w:numPr>
        <w:spacing w:after="80"/>
      </w:pPr>
      <w:r>
        <w:rPr>
          <w:rFonts w:ascii="Arial" w:cs="Arial" w:eastAsia="Arial" w:hAnsi="Arial"/>
          <w:sz w:val="22"/>
          <w:szCs w:val="22"/>
        </w:rPr>
        <w:t xml:space="preserve">Strong tourism presence (reduces psychological uncertainty)</w:t>
      </w:r>
    </w:p>
    <w:p>
      <w:pPr>
        <w:spacing w:after="160"/>
      </w:pPr>
    </w:p>
    <w:p>
      <w:pPr>
        <w:spacing w:after="120"/>
      </w:pPr>
      <w:r>
        <w:rPr>
          <w:rFonts w:ascii="Arial" w:cs="Arial" w:eastAsia="Arial" w:hAnsi="Arial"/>
          <w:color w:val="1A1A1A"/>
          <w:sz w:val="22"/>
          <w:szCs w:val="22"/>
        </w:rPr>
        <w:t xml:space="preserve">Countries satisfying all three in this dataset: Thailand, Malaysia, Georgia, Albania, Czech Republic, Oman.</w:t>
      </w:r>
    </w:p>
    <w:p>
      <w:pPr>
        <w:spacing w:after="160"/>
      </w:pPr>
    </w:p>
    <w:p>
      <w:pPr>
        <w:pStyle w:val="Heading1"/>
        <w:spacing w:after="120" w:before="300"/>
      </w:pPr>
      <w:r>
        <w:rPr>
          <w:rFonts w:ascii="Arial" w:cs="Arial" w:eastAsia="Arial" w:hAnsi="Arial"/>
          <w:b/>
          <w:bCs/>
          <w:color w:val="1F3864"/>
          <w:sz w:val="28"/>
          <w:szCs w:val="28"/>
        </w:rPr>
        <w:t xml:space="preserve">Limitations</w:t>
      </w:r>
    </w:p>
    <w:p>
      <w:pPr>
        <w:pStyle w:val="ListParagraph"/>
        <w:numPr>
          <w:ilvl w:val="0"/>
          <w:numId w:val="2"/>
        </w:numPr>
        <w:spacing w:after="80"/>
      </w:pPr>
      <w:r>
        <w:rPr>
          <w:rFonts w:ascii="Arial" w:cs="Arial" w:eastAsia="Arial" w:hAnsi="Arial"/>
          <w:sz w:val="22"/>
          <w:szCs w:val="22"/>
        </w:rPr>
        <w:t xml:space="preserve">Cost of Living Index is relative, not absolute — no direct USD translation was possible with available data</w:t>
      </w:r>
    </w:p>
    <w:p>
      <w:pPr>
        <w:pStyle w:val="ListParagraph"/>
        <w:numPr>
          <w:ilvl w:val="0"/>
          <w:numId w:val="2"/>
        </w:numPr>
        <w:spacing w:after="80"/>
      </w:pPr>
      <w:r>
        <w:rPr>
          <w:rFonts w:ascii="Arial" w:cs="Arial" w:eastAsia="Arial" w:hAnsi="Arial"/>
          <w:sz w:val="22"/>
          <w:szCs w:val="22"/>
        </w:rPr>
        <w:t xml:space="preserve">Vietnam and Laos dropped from the merged dataset due to missing tourism arrivals — a notable gap for a Southeast Asia-focused analysis</w:t>
      </w:r>
    </w:p>
    <w:p>
      <w:pPr>
        <w:pStyle w:val="ListParagraph"/>
        <w:numPr>
          <w:ilvl w:val="0"/>
          <w:numId w:val="2"/>
        </w:numPr>
        <w:spacing w:after="80"/>
      </w:pPr>
      <w:r>
        <w:rPr>
          <w:rFonts w:ascii="Arial" w:cs="Arial" w:eastAsia="Arial" w:hAnsi="Arial"/>
          <w:sz w:val="22"/>
          <w:szCs w:val="22"/>
        </w:rPr>
        <w:t xml:space="preserve">Turkmenistan anomaly: ranked #1 by safety filter but is not a realistic travel destination; highlights that index-based filtering requires manual validation</w:t>
      </w:r>
    </w:p>
    <w:p>
      <w:pPr>
        <w:pStyle w:val="ListParagraph"/>
        <w:numPr>
          <w:ilvl w:val="0"/>
          <w:numId w:val="2"/>
        </w:numPr>
        <w:spacing w:after="80"/>
      </w:pPr>
      <w:r>
        <w:rPr>
          <w:rFonts w:ascii="Arial" w:cs="Arial" w:eastAsia="Arial" w:hAnsi="Arial"/>
          <w:sz w:val="22"/>
          <w:szCs w:val="22"/>
        </w:rPr>
        <w:t xml:space="preserve">Country-level analysis masks significant regional and city-level differences</w:t>
      </w:r>
    </w:p>
    <w:p>
      <w:pPr>
        <w:pStyle w:val="ListParagraph"/>
        <w:numPr>
          <w:ilvl w:val="0"/>
          <w:numId w:val="2"/>
        </w:numPr>
        <w:spacing w:after="80"/>
      </w:pPr>
      <w:r>
        <w:rPr>
          <w:rFonts w:ascii="Arial" w:cs="Arial" w:eastAsia="Arial" w:hAnsi="Arial"/>
          <w:sz w:val="22"/>
          <w:szCs w:val="22"/>
        </w:rPr>
        <w:t xml:space="preserve">Quality dataset had 1,495 entries but only 98 unique countries after deduplication — multiple time-period snapshots averaged together</w:t>
      </w:r>
    </w:p>
    <w:p>
      <w:pPr>
        <w:pStyle w:val="ListParagraph"/>
        <w:numPr>
          <w:ilvl w:val="0"/>
          <w:numId w:val="2"/>
        </w:numPr>
        <w:spacing w:after="80"/>
      </w:pPr>
      <w:r>
        <w:rPr>
          <w:rFonts w:ascii="Arial" w:cs="Arial" w:eastAsia="Arial" w:hAnsi="Arial"/>
          <w:sz w:val="22"/>
          <w:szCs w:val="22"/>
        </w:rPr>
        <w:t xml:space="preserve">Tourism data had 1,701 missing values in arrivals column; inner merge reduced coverage to 87 countries</w:t>
      </w:r>
    </w:p>
    <w:p>
      <w:pPr>
        <w:spacing w:after="160"/>
      </w:pPr>
    </w:p>
    <w:p>
      <w:pPr>
        <w:pStyle w:val="Heading1"/>
        <w:spacing w:after="120" w:before="300"/>
      </w:pPr>
      <w:r>
        <w:rPr>
          <w:rFonts w:ascii="Arial" w:cs="Arial" w:eastAsia="Arial" w:hAnsi="Arial"/>
          <w:b/>
          <w:bCs/>
          <w:color w:val="1F3864"/>
          <w:sz w:val="28"/>
          <w:szCs w:val="28"/>
        </w:rPr>
        <w:t xml:space="preserve">Key Insights</w:t>
      </w:r>
    </w:p>
    <w:p>
      <w:pPr>
        <w:pStyle w:val="ListParagraph"/>
        <w:numPr>
          <w:ilvl w:val="0"/>
          <w:numId w:val="2"/>
        </w:numPr>
        <w:spacing w:after="80"/>
      </w:pPr>
      <w:r>
        <w:rPr>
          <w:rFonts w:ascii="Arial" w:cs="Arial" w:eastAsia="Arial" w:hAnsi="Arial"/>
          <w:sz w:val="22"/>
          <w:szCs w:val="22"/>
        </w:rPr>
        <w:t xml:space="preserve">Safety and cost of living have only a weak positive correlation (r = 0.357) — cheaper does not mean less safe</w:t>
      </w:r>
    </w:p>
    <w:p>
      <w:pPr>
        <w:pStyle w:val="ListParagraph"/>
        <w:numPr>
          <w:ilvl w:val="0"/>
          <w:numId w:val="2"/>
        </w:numPr>
        <w:spacing w:after="80"/>
      </w:pPr>
      <w:r>
        <w:rPr>
          <w:rFonts w:ascii="Arial" w:cs="Arial" w:eastAsia="Arial" w:hAnsi="Arial"/>
          <w:sz w:val="22"/>
          <w:szCs w:val="22"/>
        </w:rPr>
        <w:t xml:space="preserve">Tourism arrivals are nearly uncorrelated with both safety and cost (r ≈ 0.04) — popularity is driven by other factors</w:t>
      </w:r>
    </w:p>
    <w:p>
      <w:pPr>
        <w:pStyle w:val="ListParagraph"/>
        <w:numPr>
          <w:ilvl w:val="0"/>
          <w:numId w:val="2"/>
        </w:numPr>
        <w:spacing w:after="80"/>
      </w:pPr>
      <w:r>
        <w:rPr>
          <w:rFonts w:ascii="Arial" w:cs="Arial" w:eastAsia="Arial" w:hAnsi="Arial"/>
          <w:sz w:val="22"/>
          <w:szCs w:val="22"/>
        </w:rPr>
        <w:t xml:space="preserve">Perceived safety is partly psychological: familiar, popular destinations feel safer regardless of objective scores</w:t>
      </w:r>
    </w:p>
    <w:p>
      <w:pPr>
        <w:pStyle w:val="ListParagraph"/>
        <w:numPr>
          <w:ilvl w:val="0"/>
          <w:numId w:val="2"/>
        </w:numPr>
        <w:spacing w:after="80"/>
      </w:pPr>
      <w:r>
        <w:rPr>
          <w:rFonts w:ascii="Arial" w:cs="Arial" w:eastAsia="Arial" w:hAnsi="Arial"/>
          <w:sz w:val="22"/>
          <w:szCs w:val="22"/>
        </w:rPr>
        <w:t xml:space="preserve">Southeast Asia (Thailand, Malaysia, Indonesia) balances all three criteria and remains the strongest region for first-time solo travel</w:t>
      </w:r>
    </w:p>
    <w:p>
      <w:pPr>
        <w:pStyle w:val="ListParagraph"/>
        <w:numPr>
          <w:ilvl w:val="0"/>
          <w:numId w:val="2"/>
        </w:numPr>
        <w:spacing w:after="80"/>
      </w:pPr>
      <w:r>
        <w:rPr>
          <w:rFonts w:ascii="Arial" w:cs="Arial" w:eastAsia="Arial" w:hAnsi="Arial"/>
          <w:sz w:val="22"/>
          <w:szCs w:val="22"/>
        </w:rPr>
        <w:t xml:space="preserve">Decision-making improves significantly when personal constraints (budget, risk tolerance) are defined first</w:t>
      </w:r>
    </w:p>
    <w:p>
      <w:pPr>
        <w:pStyle w:val="ListParagraph"/>
        <w:numPr>
          <w:ilvl w:val="0"/>
          <w:numId w:val="2"/>
        </w:numPr>
        <w:spacing w:after="80"/>
      </w:pPr>
      <w:r>
        <w:rPr>
          <w:rFonts w:ascii="Arial" w:cs="Arial" w:eastAsia="Arial" w:hAnsi="Arial"/>
          <w:sz w:val="22"/>
          <w:szCs w:val="22"/>
        </w:rPr>
        <w:t xml:space="preserve">Data reduces uncertainty — it cannot eliminate it</w:t>
      </w:r>
    </w:p>
    <w:p>
      <w:pPr>
        <w:spacing w:after="160"/>
      </w:pPr>
    </w:p>
    <w:p>
      <w:pPr>
        <w:pStyle w:val="Heading1"/>
        <w:spacing w:after="120" w:before="300"/>
      </w:pPr>
      <w:r>
        <w:rPr>
          <w:rFonts w:ascii="Arial" w:cs="Arial" w:eastAsia="Arial" w:hAnsi="Arial"/>
          <w:b/>
          <w:bCs/>
          <w:color w:val="1F3864"/>
          <w:sz w:val="28"/>
          <w:szCs w:val="28"/>
        </w:rPr>
        <w:t xml:space="preserve">Conclusion</w:t>
      </w:r>
    </w:p>
    <w:p>
      <w:pPr>
        <w:spacing w:after="120"/>
      </w:pPr>
      <w:r>
        <w:rPr>
          <w:rFonts w:ascii="Arial" w:cs="Arial" w:eastAsia="Arial" w:hAnsi="Arial"/>
          <w:color w:val="1A1A1A"/>
          <w:sz w:val="22"/>
          <w:szCs w:val="22"/>
        </w:rPr>
        <w:t xml:space="preserve">Solo travel doesn’t have to feel like a leap into the unknown. By analyzing safety, affordability, and tourism together across 87 countries, this project shows that uncertainty can be made manageable — and that the destinations most accessible to beginners are not random, but identifiable.</w:t>
      </w:r>
    </w:p>
    <w:p>
      <w:pPr>
        <w:spacing w:after="120"/>
      </w:pPr>
      <w:r>
        <w:rPr>
          <w:rFonts w:ascii="Arial" w:cs="Arial" w:eastAsia="Arial" w:hAnsi="Arial"/>
          <w:color w:val="1A1A1A"/>
          <w:sz w:val="22"/>
          <w:szCs w:val="22"/>
        </w:rPr>
        <w:t xml:space="preserve">The goal was never to find a perfect answer. It was to make the first step feel possible.</w:t>
      </w:r>
    </w:p>
    <w:p>
      <w:pPr>
        <w:pBdr>
          <w:bottom w:val="single" w:color="BBBBBB" w:sz="4" w:space="1"/>
        </w:pBdr>
        <w:spacing w:after="200"/>
      </w:pPr>
    </w:p>
    <w:p>
      <w:pPr>
        <w:spacing w:before="160"/>
        <w:jc w:val="center"/>
      </w:pPr>
      <w:r>
        <w:rPr>
          <w:rFonts w:ascii="Arial" w:cs="Arial" w:eastAsia="Arial" w:hAnsi="Arial"/>
          <w:i/>
          <w:iCs/>
          <w:color w:val="888888"/>
          <w:sz w:val="16"/>
          <w:szCs w:val="16"/>
        </w:rPr>
        <w:t xml:space="preserve">Tools: Python · Pandas · Seaborn  |  Data: Numbeo Quality of Life Index, World Tourism Economy Data  |  87 countries analyzed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2026-04-13T20:29:35.041Z</dcterms:created>
  <dcterms:modified xsi:type="dcterms:W3CDTF">2026-04-13T20:29:35.066Z</dcterms:modified>
</cp:coreProperties>
</file>

<file path=docProps/custom.xml><?xml version="1.0" encoding="utf-8"?>
<Properties xmlns="http://schemas.openxmlformats.org/officeDocument/2006/custom-properties" xmlns:vt="http://schemas.openxmlformats.org/officeDocument/2006/docPropsVTypes"/>
</file>