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6C6EE" w14:textId="77777777" w:rsidR="00274775" w:rsidRDefault="00000000">
      <w:pPr>
        <w:spacing w:before="2400" w:after="80"/>
        <w:jc w:val="center"/>
      </w:pPr>
      <w:r>
        <w:rPr>
          <w:rFonts w:ascii="Calibri" w:hAnsi="Calibri"/>
          <w:b/>
          <w:color w:val="1F3864"/>
          <w:sz w:val="56"/>
        </w:rPr>
        <w:t>FITNESS STREAMING ANALYTICS PLATFORM</w:t>
      </w:r>
    </w:p>
    <w:p w14:paraId="5C9A7A64" w14:textId="77777777" w:rsidR="00274775" w:rsidRDefault="00000000">
      <w:pPr>
        <w:spacing w:after="400"/>
        <w:jc w:val="center"/>
      </w:pPr>
      <w:r>
        <w:rPr>
          <w:rFonts w:ascii="Calibri" w:hAnsi="Calibri"/>
          <w:color w:val="2E75B6"/>
          <w:sz w:val="32"/>
        </w:rPr>
        <w:t>The Master Engineering Handbook</w:t>
      </w:r>
    </w:p>
    <w:p w14:paraId="2D5637AE" w14:textId="77777777" w:rsidR="00274775" w:rsidRDefault="00000000">
      <w:pPr>
        <w:spacing w:after="60"/>
        <w:jc w:val="center"/>
      </w:pPr>
      <w:r>
        <w:rPr>
          <w:rFonts w:ascii="Calibri" w:hAnsi="Calibri"/>
          <w:color w:val="595959"/>
        </w:rPr>
        <w:t>A Comparative Bronze → Silver → Gold Medallion Pipeline</w:t>
      </w:r>
    </w:p>
    <w:p w14:paraId="5FA2D085" w14:textId="77777777" w:rsidR="00274775" w:rsidRDefault="00000000">
      <w:pPr>
        <w:spacing w:after="60"/>
        <w:jc w:val="center"/>
      </w:pPr>
      <w:r>
        <w:rPr>
          <w:rFonts w:ascii="Calibri" w:hAnsi="Calibri"/>
          <w:color w:val="595959"/>
        </w:rPr>
        <w:t>Built Independently on Local, AWS, and Databricks</w:t>
      </w:r>
    </w:p>
    <w:p w14:paraId="04267502" w14:textId="77777777" w:rsidR="00274775" w:rsidRDefault="00000000">
      <w:pPr>
        <w:spacing w:before="800" w:after="40"/>
        <w:jc w:val="center"/>
      </w:pPr>
      <w:r>
        <w:rPr>
          <w:rFonts w:ascii="Calibri" w:hAnsi="Calibri"/>
          <w:b/>
          <w:sz w:val="26"/>
        </w:rPr>
        <w:t>Nikil Sivakumar</w:t>
      </w:r>
    </w:p>
    <w:p w14:paraId="4CC28C2F" w14:textId="77777777" w:rsidR="00274775" w:rsidRDefault="00000000">
      <w:pPr>
        <w:spacing w:after="800"/>
        <w:jc w:val="center"/>
      </w:pPr>
      <w:r>
        <w:rPr>
          <w:rFonts w:ascii="Calibri" w:hAnsi="Calibri"/>
          <w:color w:val="2E75B6"/>
          <w:sz w:val="20"/>
        </w:rPr>
        <w:t>github.com/</w:t>
      </w:r>
      <w:proofErr w:type="spellStart"/>
      <w:r>
        <w:rPr>
          <w:rFonts w:ascii="Calibri" w:hAnsi="Calibri"/>
          <w:color w:val="2E75B6"/>
          <w:sz w:val="20"/>
        </w:rPr>
        <w:t>nikilsivakumar</w:t>
      </w:r>
      <w:proofErr w:type="spellEnd"/>
      <w:r>
        <w:rPr>
          <w:rFonts w:ascii="Calibri" w:hAnsi="Calibri"/>
          <w:color w:val="2E75B6"/>
          <w:sz w:val="20"/>
        </w:rPr>
        <w:t>/fitness-streaming-platform</w:t>
      </w:r>
    </w:p>
    <w:p w14:paraId="5E88D272" w14:textId="77777777" w:rsidR="00274775" w:rsidRDefault="00000000">
      <w:pPr>
        <w:spacing w:before="1600"/>
        <w:jc w:val="center"/>
      </w:pPr>
      <w:r>
        <w:rPr>
          <w:rFonts w:ascii="Calibri" w:hAnsi="Calibri"/>
          <w:color w:val="595959"/>
          <w:sz w:val="18"/>
        </w:rPr>
        <w:t>Final portfolio reference document — architecture, build process, and interview material</w:t>
      </w:r>
    </w:p>
    <w:p w14:paraId="41FE446B" w14:textId="77777777" w:rsidR="00274775" w:rsidRDefault="00000000">
      <w:r>
        <w:br w:type="page"/>
      </w:r>
    </w:p>
    <w:p w14:paraId="52939104" w14:textId="77777777" w:rsidR="00274775" w:rsidRDefault="00000000">
      <w:pPr>
        <w:pBdr>
          <w:bottom w:val="single" w:sz="8" w:space="4" w:color="2E75B6"/>
        </w:pBdr>
        <w:spacing w:before="240" w:after="480"/>
      </w:pPr>
      <w:r>
        <w:rPr>
          <w:rFonts w:ascii="Calibri" w:hAnsi="Calibri"/>
          <w:b/>
          <w:color w:val="1F3864"/>
          <w:sz w:val="64"/>
        </w:rPr>
        <w:lastRenderedPageBreak/>
        <w:t>Table of Contents</w:t>
      </w:r>
    </w:p>
    <w:p w14:paraId="022F1F9F" w14:textId="77777777" w:rsidR="00274775" w:rsidRDefault="00000000">
      <w:r>
        <w:rPr>
          <w:i/>
        </w:rPr>
        <w:t>[Table of Contents Placeholder - Rendered in Word]</w:t>
      </w:r>
    </w:p>
    <w:p w14:paraId="64DCD014" w14:textId="77777777" w:rsidR="00274775" w:rsidRDefault="00000000">
      <w:r>
        <w:br w:type="page"/>
      </w:r>
    </w:p>
    <w:p w14:paraId="06278DC0" w14:textId="77777777" w:rsidR="00274775" w:rsidRDefault="00000000">
      <w:pPr>
        <w:pBdr>
          <w:bottom w:val="single" w:sz="8" w:space="4" w:color="2E75B6"/>
        </w:pBdr>
        <w:spacing w:before="240" w:after="480"/>
      </w:pPr>
      <w:r>
        <w:rPr>
          <w:rFonts w:ascii="Calibri" w:hAnsi="Calibri"/>
          <w:b/>
          <w:color w:val="1F3864"/>
          <w:sz w:val="64"/>
        </w:rPr>
        <w:lastRenderedPageBreak/>
        <w:t>1. Project Overview &amp; Thesis</w:t>
      </w:r>
    </w:p>
    <w:p w14:paraId="3675BA3E" w14:textId="77777777" w:rsidR="00274775" w:rsidRDefault="00000000">
      <w:pPr>
        <w:spacing w:after="160"/>
      </w:pPr>
      <w:r>
        <w:rPr>
          <w:rFonts w:ascii="Calibri" w:hAnsi="Calibri"/>
          <w:color w:val="1A1A1A"/>
        </w:rPr>
        <w:t>This project is a single pipeline built three times. The same Bronze → Silver → Gold medallion logic — the same validation rules, the same quarantine behavior, the same physiologically-grounded scoring formulas — is implemented independently on three infrastructure stacks: a hand-rolled Local stack (</w:t>
      </w:r>
      <w:proofErr w:type="spellStart"/>
      <w:r>
        <w:rPr>
          <w:rFonts w:ascii="Calibri" w:hAnsi="Calibri"/>
          <w:color w:val="1A1A1A"/>
        </w:rPr>
        <w:t>PySpark</w:t>
      </w:r>
      <w:proofErr w:type="spellEnd"/>
      <w:r>
        <w:rPr>
          <w:rFonts w:ascii="Calibri" w:hAnsi="Calibri"/>
          <w:color w:val="1A1A1A"/>
        </w:rPr>
        <w:t>/</w:t>
      </w:r>
      <w:proofErr w:type="spellStart"/>
      <w:r>
        <w:rPr>
          <w:rFonts w:ascii="Calibri" w:hAnsi="Calibri"/>
          <w:color w:val="1A1A1A"/>
        </w:rPr>
        <w:t>DuckDB</w:t>
      </w:r>
      <w:proofErr w:type="spellEnd"/>
      <w:r>
        <w:rPr>
          <w:rFonts w:ascii="Calibri" w:hAnsi="Calibri"/>
          <w:color w:val="1A1A1A"/>
        </w:rPr>
        <w:t>), AWS managed services (Kinesis/Lambda/Glue/Redshift/</w:t>
      </w:r>
      <w:proofErr w:type="spellStart"/>
      <w:r>
        <w:rPr>
          <w:rFonts w:ascii="Calibri" w:hAnsi="Calibri"/>
          <w:color w:val="1A1A1A"/>
        </w:rPr>
        <w:t>dbt</w:t>
      </w:r>
      <w:proofErr w:type="spellEnd"/>
      <w:r>
        <w:rPr>
          <w:rFonts w:ascii="Calibri" w:hAnsi="Calibri"/>
          <w:color w:val="1A1A1A"/>
        </w:rPr>
        <w:t>), and Databricks (Delta Lake/Unity Catalog/Auto Loader/Workflows).</w:t>
      </w:r>
    </w:p>
    <w:p w14:paraId="5D76BEE7" w14:textId="77777777" w:rsidR="00274775" w:rsidRDefault="00000000">
      <w:pPr>
        <w:pBdr>
          <w:left w:val="single" w:sz="18" w:space="8" w:color="2E75B6"/>
        </w:pBdr>
        <w:spacing w:before="240" w:after="400"/>
        <w:ind w:left="360"/>
      </w:pPr>
      <w:r>
        <w:rPr>
          <w:rFonts w:ascii="Calibri" w:hAnsi="Calibri"/>
          <w:color w:val="333333"/>
        </w:rPr>
        <w:t>The comparison is the point. Anyone can demonstrate a pipeline on one stack. Being able to say "here is the same logic, and here is why each platform makes that decision differently" is the actual signal an interview is testing for — tool familiarity is replaceable; transferable engineering judgment is not.</w:t>
      </w:r>
    </w:p>
    <w:p w14:paraId="2F8690B7" w14:textId="77777777" w:rsidR="00274775" w:rsidRDefault="00000000">
      <w:pPr>
        <w:spacing w:before="560" w:after="280"/>
      </w:pPr>
      <w:r>
        <w:rPr>
          <w:rFonts w:ascii="Calibri" w:hAnsi="Calibri"/>
          <w:b/>
          <w:color w:val="2E75B6"/>
          <w:sz w:val="52"/>
        </w:rPr>
        <w:t>What the pipeline does</w:t>
      </w:r>
    </w:p>
    <w:p w14:paraId="586A8C6E" w14:textId="77777777" w:rsidR="00274775" w:rsidRDefault="00000000">
      <w:pPr>
        <w:spacing w:after="160"/>
      </w:pPr>
      <w:r>
        <w:rPr>
          <w:rFonts w:ascii="Calibri" w:hAnsi="Calibri"/>
          <w:color w:val="1A1A1A"/>
        </w:rPr>
        <w:t xml:space="preserve">Five streaming record types from wearable/fitness sources — </w:t>
      </w:r>
      <w:proofErr w:type="spellStart"/>
      <w:r>
        <w:rPr>
          <w:rFonts w:ascii="Calibri" w:hAnsi="Calibri"/>
          <w:color w:val="1A1A1A"/>
        </w:rPr>
        <w:t>user_profile</w:t>
      </w:r>
      <w:proofErr w:type="spellEnd"/>
      <w:r>
        <w:rPr>
          <w:rFonts w:ascii="Calibri" w:hAnsi="Calibri"/>
          <w:color w:val="1A1A1A"/>
        </w:rPr>
        <w:t xml:space="preserve">, </w:t>
      </w:r>
      <w:proofErr w:type="spellStart"/>
      <w:r>
        <w:rPr>
          <w:rFonts w:ascii="Calibri" w:hAnsi="Calibri"/>
          <w:color w:val="1A1A1A"/>
        </w:rPr>
        <w:t>wearable_event</w:t>
      </w:r>
      <w:proofErr w:type="spellEnd"/>
      <w:r>
        <w:rPr>
          <w:rFonts w:ascii="Calibri" w:hAnsi="Calibri"/>
          <w:color w:val="1A1A1A"/>
        </w:rPr>
        <w:t xml:space="preserve">, </w:t>
      </w:r>
      <w:proofErr w:type="spellStart"/>
      <w:r>
        <w:rPr>
          <w:rFonts w:ascii="Calibri" w:hAnsi="Calibri"/>
          <w:color w:val="1A1A1A"/>
        </w:rPr>
        <w:t>workout_log</w:t>
      </w:r>
      <w:proofErr w:type="spellEnd"/>
      <w:r>
        <w:rPr>
          <w:rFonts w:ascii="Calibri" w:hAnsi="Calibri"/>
          <w:color w:val="1A1A1A"/>
        </w:rPr>
        <w:t xml:space="preserve">, </w:t>
      </w:r>
      <w:proofErr w:type="spellStart"/>
      <w:r>
        <w:rPr>
          <w:rFonts w:ascii="Calibri" w:hAnsi="Calibri"/>
          <w:color w:val="1A1A1A"/>
        </w:rPr>
        <w:t>sleep_log</w:t>
      </w:r>
      <w:proofErr w:type="spellEnd"/>
      <w:r>
        <w:rPr>
          <w:rFonts w:ascii="Calibri" w:hAnsi="Calibri"/>
          <w:color w:val="1A1A1A"/>
        </w:rPr>
        <w:t xml:space="preserve">, and </w:t>
      </w:r>
      <w:proofErr w:type="spellStart"/>
      <w:r>
        <w:rPr>
          <w:rFonts w:ascii="Calibri" w:hAnsi="Calibri"/>
          <w:color w:val="1A1A1A"/>
        </w:rPr>
        <w:t>nutrition_snapshot</w:t>
      </w:r>
      <w:proofErr w:type="spellEnd"/>
      <w:r>
        <w:rPr>
          <w:rFonts w:ascii="Calibri" w:hAnsi="Calibri"/>
          <w:color w:val="1A1A1A"/>
        </w:rPr>
        <w:t xml:space="preserve"> — flow through Bronze (raw, untransformed, append-only), Silver (validated, typed, deduplicated, quarantine-on-failure), and Gold (business aggregates: fatigue/recovery scoring, workout consistency, community cohort analytics, enriched user profiles).</w:t>
      </w:r>
    </w:p>
    <w:p w14:paraId="0A9A2A89" w14:textId="77777777" w:rsidR="00274775" w:rsidRDefault="00000000">
      <w:pPr>
        <w:spacing w:before="560" w:after="280"/>
      </w:pPr>
      <w:r>
        <w:rPr>
          <w:rFonts w:ascii="Calibri" w:hAnsi="Calibri"/>
          <w:b/>
          <w:color w:val="2E75B6"/>
          <w:sz w:val="52"/>
        </w:rPr>
        <w:t>Who this is for</w:t>
      </w:r>
    </w:p>
    <w:p w14:paraId="575E83B0" w14:textId="5AFF8E6C" w:rsidR="00274775" w:rsidRDefault="00000000">
      <w:pPr>
        <w:spacing w:after="160"/>
      </w:pPr>
      <w:r>
        <w:rPr>
          <w:rFonts w:ascii="Calibri" w:hAnsi="Calibri"/>
          <w:color w:val="1A1A1A"/>
        </w:rPr>
        <w:t>Built by Nikil, as the portfolio project. The project is also a deliberate proving ground for a longer-term thesis: that physical training, financial independence, and operational discipline are the same underlying skill applied to different domains — the "verify against real output, never trust a green checkmark" discipline that runs through every phase of this build is the same discipline this project's author applies to coaching, to investing, and to the eventual self-sufficient farm-and-fitness system that sits beyond the 2026–2031 horizon. It is recorded here once, deliberately, rather than repeated throughout — the engineering chapters that follow speak for themselves.</w:t>
      </w:r>
    </w:p>
    <w:p w14:paraId="5FEEE06F" w14:textId="77777777" w:rsidR="00274775" w:rsidRDefault="00000000">
      <w:pPr>
        <w:spacing w:before="560" w:after="280"/>
      </w:pPr>
      <w:r>
        <w:rPr>
          <w:rFonts w:ascii="Calibri" w:hAnsi="Calibri"/>
          <w:b/>
          <w:color w:val="2E75B6"/>
          <w:sz w:val="52"/>
        </w:rPr>
        <w:t>Why three stacks, not one</w:t>
      </w:r>
    </w:p>
    <w:tbl>
      <w:tblPr>
        <w:tblW w:w="0" w:type="auto"/>
        <w:jc w:val="center"/>
        <w:tblLook w:val="04A0" w:firstRow="1" w:lastRow="0" w:firstColumn="1" w:lastColumn="0" w:noHBand="0" w:noVBand="1"/>
      </w:tblPr>
      <w:tblGrid>
        <w:gridCol w:w="3400"/>
        <w:gridCol w:w="5960"/>
      </w:tblGrid>
      <w:tr w:rsidR="00274775" w14:paraId="624541DD" w14:textId="77777777">
        <w:trPr>
          <w:jc w:val="center"/>
        </w:trPr>
        <w:tc>
          <w:tcPr>
            <w:tcW w:w="3400" w:type="dxa"/>
            <w:tcBorders>
              <w:top w:val="single" w:sz="2" w:space="0" w:color="B9C6D9"/>
              <w:left w:val="single" w:sz="2" w:space="0" w:color="B9C6D9"/>
              <w:bottom w:val="single" w:sz="2" w:space="0" w:color="B9C6D9"/>
              <w:right w:val="single" w:sz="2" w:space="0" w:color="B9C6D9"/>
            </w:tcBorders>
            <w:shd w:val="clear" w:color="auto" w:fill="1F3864"/>
          </w:tcPr>
          <w:p w14:paraId="6A24F8EF" w14:textId="77777777" w:rsidR="00274775" w:rsidRDefault="00000000">
            <w:r>
              <w:rPr>
                <w:rFonts w:ascii="Calibri" w:hAnsi="Calibri"/>
                <w:b/>
                <w:color w:val="FFFFFF"/>
                <w:sz w:val="21"/>
              </w:rPr>
              <w:t>Stack</w:t>
            </w:r>
          </w:p>
        </w:tc>
        <w:tc>
          <w:tcPr>
            <w:tcW w:w="5960" w:type="dxa"/>
            <w:tcBorders>
              <w:top w:val="single" w:sz="2" w:space="0" w:color="B9C6D9"/>
              <w:left w:val="single" w:sz="2" w:space="0" w:color="B9C6D9"/>
              <w:bottom w:val="single" w:sz="2" w:space="0" w:color="B9C6D9"/>
              <w:right w:val="single" w:sz="2" w:space="0" w:color="B9C6D9"/>
            </w:tcBorders>
            <w:shd w:val="clear" w:color="auto" w:fill="1F3864"/>
          </w:tcPr>
          <w:p w14:paraId="276ED745" w14:textId="77777777" w:rsidR="00274775" w:rsidRDefault="00000000">
            <w:r>
              <w:rPr>
                <w:rFonts w:ascii="Calibri" w:hAnsi="Calibri"/>
                <w:b/>
                <w:color w:val="FFFFFF"/>
                <w:sz w:val="21"/>
              </w:rPr>
              <w:t>What it proves</w:t>
            </w:r>
          </w:p>
        </w:tc>
      </w:tr>
      <w:tr w:rsidR="00274775" w14:paraId="1B1AFBF7" w14:textId="77777777">
        <w:trPr>
          <w:jc w:val="center"/>
        </w:trPr>
        <w:tc>
          <w:tcPr>
            <w:tcW w:w="3400" w:type="dxa"/>
            <w:tcBorders>
              <w:top w:val="single" w:sz="2" w:space="0" w:color="B9C6D9"/>
              <w:left w:val="single" w:sz="2" w:space="0" w:color="B9C6D9"/>
              <w:bottom w:val="single" w:sz="2" w:space="0" w:color="B9C6D9"/>
              <w:right w:val="single" w:sz="2" w:space="0" w:color="B9C6D9"/>
            </w:tcBorders>
          </w:tcPr>
          <w:p w14:paraId="15FCA649" w14:textId="77777777" w:rsidR="00274775" w:rsidRDefault="00000000">
            <w:r>
              <w:rPr>
                <w:rFonts w:ascii="Calibri" w:hAnsi="Calibri"/>
                <w:sz w:val="21"/>
              </w:rPr>
              <w:t>Local (</w:t>
            </w:r>
            <w:proofErr w:type="spellStart"/>
            <w:r>
              <w:rPr>
                <w:rFonts w:ascii="Calibri" w:hAnsi="Calibri"/>
                <w:sz w:val="21"/>
              </w:rPr>
              <w:t>PySpark</w:t>
            </w:r>
            <w:proofErr w:type="spellEnd"/>
            <w:r>
              <w:rPr>
                <w:rFonts w:ascii="Calibri" w:hAnsi="Calibri"/>
                <w:sz w:val="21"/>
              </w:rPr>
              <w:t xml:space="preserve"> / </w:t>
            </w:r>
            <w:proofErr w:type="spellStart"/>
            <w:r>
              <w:rPr>
                <w:rFonts w:ascii="Calibri" w:hAnsi="Calibri"/>
                <w:sz w:val="21"/>
              </w:rPr>
              <w:t>DuckDB</w:t>
            </w:r>
            <w:proofErr w:type="spellEnd"/>
            <w:r>
              <w:rPr>
                <w:rFonts w:ascii="Calibri" w:hAnsi="Calibri"/>
                <w:sz w:val="21"/>
              </w:rPr>
              <w:t xml:space="preserve"> / </w:t>
            </w:r>
            <w:proofErr w:type="spellStart"/>
            <w:r>
              <w:rPr>
                <w:rFonts w:ascii="Calibri" w:hAnsi="Calibri"/>
                <w:sz w:val="21"/>
              </w:rPr>
              <w:lastRenderedPageBreak/>
              <w:t>StreamBus</w:t>
            </w:r>
            <w:proofErr w:type="spellEnd"/>
            <w:r>
              <w:rPr>
                <w:rFonts w:ascii="Calibri" w:hAnsi="Calibri"/>
                <w:sz w:val="21"/>
              </w:rPr>
              <w:t>)</w:t>
            </w:r>
          </w:p>
        </w:tc>
        <w:tc>
          <w:tcPr>
            <w:tcW w:w="5960" w:type="dxa"/>
            <w:tcBorders>
              <w:top w:val="single" w:sz="2" w:space="0" w:color="B9C6D9"/>
              <w:left w:val="single" w:sz="2" w:space="0" w:color="B9C6D9"/>
              <w:bottom w:val="single" w:sz="2" w:space="0" w:color="B9C6D9"/>
              <w:right w:val="single" w:sz="2" w:space="0" w:color="B9C6D9"/>
            </w:tcBorders>
          </w:tcPr>
          <w:p w14:paraId="188400AF" w14:textId="77777777" w:rsidR="00274775" w:rsidRDefault="00000000">
            <w:r>
              <w:rPr>
                <w:rFonts w:ascii="Calibri" w:hAnsi="Calibri"/>
                <w:sz w:val="21"/>
              </w:rPr>
              <w:lastRenderedPageBreak/>
              <w:t xml:space="preserve">Proves the pipeline logic itself, cheaply and fast-iterating, before </w:t>
            </w:r>
            <w:r>
              <w:rPr>
                <w:rFonts w:ascii="Calibri" w:hAnsi="Calibri"/>
                <w:sz w:val="21"/>
              </w:rPr>
              <w:lastRenderedPageBreak/>
              <w:t>paying for or depending on any managed service. Capped deliberately at Phase 4 — see §1.10 below.</w:t>
            </w:r>
          </w:p>
        </w:tc>
      </w:tr>
      <w:tr w:rsidR="00274775" w14:paraId="74EF5D34" w14:textId="77777777">
        <w:trPr>
          <w:jc w:val="center"/>
        </w:trPr>
        <w:tc>
          <w:tcPr>
            <w:tcW w:w="3400" w:type="dxa"/>
            <w:tcBorders>
              <w:top w:val="single" w:sz="2" w:space="0" w:color="B9C6D9"/>
              <w:left w:val="single" w:sz="2" w:space="0" w:color="B9C6D9"/>
              <w:bottom w:val="single" w:sz="2" w:space="0" w:color="B9C6D9"/>
              <w:right w:val="single" w:sz="2" w:space="0" w:color="B9C6D9"/>
            </w:tcBorders>
            <w:shd w:val="clear" w:color="auto" w:fill="EEF3FA"/>
          </w:tcPr>
          <w:p w14:paraId="7540E3A8" w14:textId="77777777" w:rsidR="00274775" w:rsidRDefault="00000000">
            <w:r>
              <w:rPr>
                <w:rFonts w:ascii="Calibri" w:hAnsi="Calibri"/>
                <w:sz w:val="21"/>
              </w:rPr>
              <w:lastRenderedPageBreak/>
              <w:t xml:space="preserve">AWS (Kinesis / Lambda / Glue / Redshift / </w:t>
            </w:r>
            <w:proofErr w:type="spellStart"/>
            <w:r>
              <w:rPr>
                <w:rFonts w:ascii="Calibri" w:hAnsi="Calibri"/>
                <w:sz w:val="21"/>
              </w:rPr>
              <w:t>dbt</w:t>
            </w:r>
            <w:proofErr w:type="spellEnd"/>
            <w:r>
              <w:rPr>
                <w:rFonts w:ascii="Calibri" w:hAnsi="Calibri"/>
                <w:sz w:val="21"/>
              </w:rPr>
              <w:t>)</w:t>
            </w:r>
          </w:p>
        </w:tc>
        <w:tc>
          <w:tcPr>
            <w:tcW w:w="5960" w:type="dxa"/>
            <w:tcBorders>
              <w:top w:val="single" w:sz="2" w:space="0" w:color="B9C6D9"/>
              <w:left w:val="single" w:sz="2" w:space="0" w:color="B9C6D9"/>
              <w:bottom w:val="single" w:sz="2" w:space="0" w:color="B9C6D9"/>
              <w:right w:val="single" w:sz="2" w:space="0" w:color="B9C6D9"/>
            </w:tcBorders>
            <w:shd w:val="clear" w:color="auto" w:fill="EEF3FA"/>
          </w:tcPr>
          <w:p w14:paraId="556A9552" w14:textId="77777777" w:rsidR="00274775" w:rsidRDefault="00000000">
            <w:r>
              <w:rPr>
                <w:rFonts w:ascii="Calibri" w:hAnsi="Calibri"/>
                <w:sz w:val="21"/>
              </w:rPr>
              <w:t>Demonstrates fluency with managed cloud primitives — the lowest-operational-overhead way most companies actually run pipelines today.</w:t>
            </w:r>
          </w:p>
        </w:tc>
      </w:tr>
      <w:tr w:rsidR="00274775" w14:paraId="62F6DCFE" w14:textId="77777777">
        <w:trPr>
          <w:jc w:val="center"/>
        </w:trPr>
        <w:tc>
          <w:tcPr>
            <w:tcW w:w="3400" w:type="dxa"/>
            <w:tcBorders>
              <w:top w:val="single" w:sz="2" w:space="0" w:color="B9C6D9"/>
              <w:left w:val="single" w:sz="2" w:space="0" w:color="B9C6D9"/>
              <w:bottom w:val="single" w:sz="2" w:space="0" w:color="B9C6D9"/>
              <w:right w:val="single" w:sz="2" w:space="0" w:color="B9C6D9"/>
            </w:tcBorders>
          </w:tcPr>
          <w:p w14:paraId="1DD77BBE" w14:textId="77777777" w:rsidR="00274775" w:rsidRDefault="00000000">
            <w:r>
              <w:rPr>
                <w:rFonts w:ascii="Calibri" w:hAnsi="Calibri"/>
                <w:sz w:val="21"/>
              </w:rPr>
              <w:t>Databricks (Delta Lake / Unity Catalog / Auto Loader / Workflows)</w:t>
            </w:r>
          </w:p>
        </w:tc>
        <w:tc>
          <w:tcPr>
            <w:tcW w:w="5960" w:type="dxa"/>
            <w:tcBorders>
              <w:top w:val="single" w:sz="2" w:space="0" w:color="B9C6D9"/>
              <w:left w:val="single" w:sz="2" w:space="0" w:color="B9C6D9"/>
              <w:bottom w:val="single" w:sz="2" w:space="0" w:color="B9C6D9"/>
              <w:right w:val="single" w:sz="2" w:space="0" w:color="B9C6D9"/>
            </w:tcBorders>
          </w:tcPr>
          <w:p w14:paraId="6EB2F892" w14:textId="77777777" w:rsidR="00274775" w:rsidRDefault="00000000">
            <w:r>
              <w:rPr>
                <w:rFonts w:ascii="Calibri" w:hAnsi="Calibri"/>
                <w:sz w:val="21"/>
              </w:rPr>
              <w:t>Demonstrates the unified-</w:t>
            </w:r>
            <w:proofErr w:type="spellStart"/>
            <w:r>
              <w:rPr>
                <w:rFonts w:ascii="Calibri" w:hAnsi="Calibri"/>
                <w:sz w:val="21"/>
              </w:rPr>
              <w:t>lakehouse</w:t>
            </w:r>
            <w:proofErr w:type="spellEnd"/>
            <w:r>
              <w:rPr>
                <w:rFonts w:ascii="Calibri" w:hAnsi="Calibri"/>
                <w:sz w:val="21"/>
              </w:rPr>
              <w:t xml:space="preserve"> alternative — built second and explicitly as a structured migration exercise off the already-working AWS pipeline, since learning a new platform by translating something already understood is faster than learning it cold.</w:t>
            </w:r>
          </w:p>
        </w:tc>
      </w:tr>
    </w:tbl>
    <w:p w14:paraId="3388E21A" w14:textId="77777777" w:rsidR="00274775" w:rsidRDefault="00274775">
      <w:pPr>
        <w:spacing w:before="200"/>
      </w:pPr>
    </w:p>
    <w:p w14:paraId="2556D384" w14:textId="77777777" w:rsidR="00274775" w:rsidRDefault="00000000">
      <w:pPr>
        <w:spacing w:before="560" w:after="280"/>
      </w:pPr>
      <w:r>
        <w:rPr>
          <w:rFonts w:ascii="Calibri" w:hAnsi="Calibri"/>
          <w:b/>
          <w:color w:val="2E75B6"/>
          <w:sz w:val="52"/>
        </w:rPr>
        <w:t>Why the Local stack is capped at Phase 4</w:t>
      </w:r>
    </w:p>
    <w:p w14:paraId="0EFD4127" w14:textId="77777777" w:rsidR="00274775" w:rsidRDefault="00000000">
      <w:pPr>
        <w:spacing w:after="160"/>
      </w:pPr>
      <w:r>
        <w:rPr>
          <w:rFonts w:ascii="Calibri" w:hAnsi="Calibri"/>
          <w:color w:val="1A1A1A"/>
        </w:rPr>
        <w:t xml:space="preserve">Local's job was to prove the medallion logic once, on the cheapest iteration loop, before porting it to the two stacks that actually map to real hiring conversations. No real-world deployment of this pipeline would run as "local </w:t>
      </w:r>
      <w:proofErr w:type="spellStart"/>
      <w:r>
        <w:rPr>
          <w:rFonts w:ascii="Calibri" w:hAnsi="Calibri"/>
          <w:color w:val="1A1A1A"/>
        </w:rPr>
        <w:t>PySpark</w:t>
      </w:r>
      <w:proofErr w:type="spellEnd"/>
      <w:r>
        <w:rPr>
          <w:rFonts w:ascii="Calibri" w:hAnsi="Calibri"/>
          <w:color w:val="1A1A1A"/>
        </w:rPr>
        <w:t xml:space="preserve"> + </w:t>
      </w:r>
      <w:proofErr w:type="spellStart"/>
      <w:r>
        <w:rPr>
          <w:rFonts w:ascii="Calibri" w:hAnsi="Calibri"/>
          <w:color w:val="1A1A1A"/>
        </w:rPr>
        <w:t>DuckDB</w:t>
      </w:r>
      <w:proofErr w:type="spellEnd"/>
      <w:r>
        <w:rPr>
          <w:rFonts w:ascii="Calibri" w:hAnsi="Calibri"/>
          <w:color w:val="1A1A1A"/>
        </w:rPr>
        <w:t xml:space="preserve">" in production — it would be AWS or Databricks. Continuing to build </w:t>
      </w:r>
      <w:proofErr w:type="spellStart"/>
      <w:r>
        <w:rPr>
          <w:rFonts w:ascii="Calibri" w:hAnsi="Calibri"/>
          <w:color w:val="1A1A1A"/>
        </w:rPr>
        <w:t>dbt</w:t>
      </w:r>
      <w:proofErr w:type="spellEnd"/>
      <w:r>
        <w:rPr>
          <w:rFonts w:ascii="Calibri" w:hAnsi="Calibri"/>
          <w:color w:val="1A1A1A"/>
        </w:rPr>
        <w:t>-on-</w:t>
      </w:r>
      <w:proofErr w:type="spellStart"/>
      <w:r>
        <w:rPr>
          <w:rFonts w:ascii="Calibri" w:hAnsi="Calibri"/>
          <w:color w:val="1A1A1A"/>
        </w:rPr>
        <w:t>DuckDB</w:t>
      </w:r>
      <w:proofErr w:type="spellEnd"/>
      <w:r>
        <w:rPr>
          <w:rFonts w:ascii="Calibri" w:hAnsi="Calibri"/>
          <w:color w:val="1A1A1A"/>
        </w:rPr>
        <w:t xml:space="preserve">, a </w:t>
      </w:r>
      <w:proofErr w:type="spellStart"/>
      <w:r>
        <w:rPr>
          <w:rFonts w:ascii="Calibri" w:hAnsi="Calibri"/>
          <w:color w:val="1A1A1A"/>
        </w:rPr>
        <w:t>Streamlit</w:t>
      </w:r>
      <w:proofErr w:type="spellEnd"/>
      <w:r>
        <w:rPr>
          <w:rFonts w:ascii="Calibri" w:hAnsi="Calibri"/>
          <w:color w:val="1A1A1A"/>
        </w:rPr>
        <w:t xml:space="preserve"> dashboard, and local orchestration would have been polishing a throwaway prototype instead of investing further time in the two stacks with real comparative payoff. This is a scope decision, not an unfinished phase — full reasoning in decisions.md §1.10.</w:t>
      </w:r>
    </w:p>
    <w:p w14:paraId="24B9329C" w14:textId="77777777" w:rsidR="00274775" w:rsidRDefault="00000000">
      <w:r>
        <w:br w:type="page"/>
      </w:r>
    </w:p>
    <w:p w14:paraId="6FD76269" w14:textId="77777777" w:rsidR="00274775" w:rsidRDefault="00000000">
      <w:pPr>
        <w:pBdr>
          <w:bottom w:val="single" w:sz="8" w:space="4" w:color="2E75B6"/>
        </w:pBdr>
        <w:spacing w:before="240" w:after="480"/>
      </w:pPr>
      <w:r>
        <w:rPr>
          <w:rFonts w:ascii="Calibri" w:hAnsi="Calibri"/>
          <w:b/>
          <w:color w:val="1F3864"/>
          <w:sz w:val="64"/>
        </w:rPr>
        <w:lastRenderedPageBreak/>
        <w:t>2. Architecture Comparison — All Three Stacks, Layer by Layer</w:t>
      </w:r>
    </w:p>
    <w:p w14:paraId="34E74AE2" w14:textId="77777777" w:rsidR="00274775" w:rsidRDefault="00000000">
      <w:pPr>
        <w:spacing w:after="160"/>
      </w:pPr>
      <w:r>
        <w:rPr>
          <w:rFonts w:ascii="Calibri" w:hAnsi="Calibri"/>
          <w:color w:val="1A1A1A"/>
        </w:rPr>
        <w:t>The table below is the single most interview-useful artifact in this project: the same row, three different answers, each defensible on its own terms.</w:t>
      </w:r>
    </w:p>
    <w:tbl>
      <w:tblPr>
        <w:tblW w:w="0" w:type="auto"/>
        <w:jc w:val="center"/>
        <w:tblLook w:val="04A0" w:firstRow="1" w:lastRow="0" w:firstColumn="1" w:lastColumn="0" w:noHBand="0" w:noVBand="1"/>
      </w:tblPr>
      <w:tblGrid>
        <w:gridCol w:w="2200"/>
        <w:gridCol w:w="2680"/>
        <w:gridCol w:w="2280"/>
        <w:gridCol w:w="2558"/>
      </w:tblGrid>
      <w:tr w:rsidR="00274775" w14:paraId="4C94D352" w14:textId="77777777">
        <w:trPr>
          <w:jc w:val="center"/>
        </w:trPr>
        <w:tc>
          <w:tcPr>
            <w:tcW w:w="2200" w:type="dxa"/>
            <w:tcBorders>
              <w:top w:val="single" w:sz="2" w:space="0" w:color="B9C6D9"/>
              <w:left w:val="single" w:sz="2" w:space="0" w:color="B9C6D9"/>
              <w:bottom w:val="single" w:sz="2" w:space="0" w:color="B9C6D9"/>
              <w:right w:val="single" w:sz="2" w:space="0" w:color="B9C6D9"/>
            </w:tcBorders>
            <w:shd w:val="clear" w:color="auto" w:fill="1F3864"/>
          </w:tcPr>
          <w:p w14:paraId="283099F1" w14:textId="77777777" w:rsidR="00274775" w:rsidRDefault="00000000">
            <w:r>
              <w:rPr>
                <w:rFonts w:ascii="Calibri" w:hAnsi="Calibri"/>
                <w:b/>
                <w:color w:val="FFFFFF"/>
                <w:sz w:val="21"/>
              </w:rPr>
              <w:t>Layer</w:t>
            </w:r>
          </w:p>
        </w:tc>
        <w:tc>
          <w:tcPr>
            <w:tcW w:w="2680" w:type="dxa"/>
            <w:tcBorders>
              <w:top w:val="single" w:sz="2" w:space="0" w:color="B9C6D9"/>
              <w:left w:val="single" w:sz="2" w:space="0" w:color="B9C6D9"/>
              <w:bottom w:val="single" w:sz="2" w:space="0" w:color="B9C6D9"/>
              <w:right w:val="single" w:sz="2" w:space="0" w:color="B9C6D9"/>
            </w:tcBorders>
            <w:shd w:val="clear" w:color="auto" w:fill="1F3864"/>
          </w:tcPr>
          <w:p w14:paraId="6B8E8438" w14:textId="77777777" w:rsidR="00274775" w:rsidRDefault="00000000">
            <w:r>
              <w:rPr>
                <w:rFonts w:ascii="Calibri" w:hAnsi="Calibri"/>
                <w:b/>
                <w:color w:val="FFFFFF"/>
                <w:sz w:val="21"/>
              </w:rPr>
              <w:t>Local</w:t>
            </w:r>
          </w:p>
        </w:tc>
        <w:tc>
          <w:tcPr>
            <w:tcW w:w="2280" w:type="dxa"/>
            <w:tcBorders>
              <w:top w:val="single" w:sz="2" w:space="0" w:color="B9C6D9"/>
              <w:left w:val="single" w:sz="2" w:space="0" w:color="B9C6D9"/>
              <w:bottom w:val="single" w:sz="2" w:space="0" w:color="B9C6D9"/>
              <w:right w:val="single" w:sz="2" w:space="0" w:color="B9C6D9"/>
            </w:tcBorders>
            <w:shd w:val="clear" w:color="auto" w:fill="1F3864"/>
          </w:tcPr>
          <w:p w14:paraId="55735818" w14:textId="77777777" w:rsidR="00274775" w:rsidRDefault="00000000">
            <w:r>
              <w:rPr>
                <w:rFonts w:ascii="Calibri" w:hAnsi="Calibri"/>
                <w:b/>
                <w:color w:val="FFFFFF"/>
                <w:sz w:val="21"/>
              </w:rPr>
              <w:t>AWS</w:t>
            </w:r>
          </w:p>
        </w:tc>
        <w:tc>
          <w:tcPr>
            <w:tcW w:w="2200" w:type="dxa"/>
            <w:tcBorders>
              <w:top w:val="single" w:sz="2" w:space="0" w:color="B9C6D9"/>
              <w:left w:val="single" w:sz="2" w:space="0" w:color="B9C6D9"/>
              <w:bottom w:val="single" w:sz="2" w:space="0" w:color="B9C6D9"/>
              <w:right w:val="single" w:sz="2" w:space="0" w:color="B9C6D9"/>
            </w:tcBorders>
            <w:shd w:val="clear" w:color="auto" w:fill="1F3864"/>
          </w:tcPr>
          <w:p w14:paraId="45078562" w14:textId="77777777" w:rsidR="00274775" w:rsidRDefault="00000000">
            <w:r>
              <w:rPr>
                <w:rFonts w:ascii="Calibri" w:hAnsi="Calibri"/>
                <w:b/>
                <w:color w:val="FFFFFF"/>
                <w:sz w:val="21"/>
              </w:rPr>
              <w:t>Databricks</w:t>
            </w:r>
          </w:p>
        </w:tc>
      </w:tr>
      <w:tr w:rsidR="00274775" w14:paraId="5F705781" w14:textId="77777777">
        <w:trPr>
          <w:jc w:val="center"/>
        </w:trPr>
        <w:tc>
          <w:tcPr>
            <w:tcW w:w="2200" w:type="dxa"/>
            <w:tcBorders>
              <w:top w:val="single" w:sz="2" w:space="0" w:color="B9C6D9"/>
              <w:left w:val="single" w:sz="2" w:space="0" w:color="B9C6D9"/>
              <w:bottom w:val="single" w:sz="2" w:space="0" w:color="B9C6D9"/>
              <w:right w:val="single" w:sz="2" w:space="0" w:color="B9C6D9"/>
            </w:tcBorders>
          </w:tcPr>
          <w:p w14:paraId="047BDF03" w14:textId="77777777" w:rsidR="00274775" w:rsidRDefault="00000000">
            <w:r>
              <w:rPr>
                <w:rFonts w:ascii="Calibri" w:hAnsi="Calibri"/>
                <w:sz w:val="21"/>
              </w:rPr>
              <w:t>Streaming transport</w:t>
            </w:r>
          </w:p>
        </w:tc>
        <w:tc>
          <w:tcPr>
            <w:tcW w:w="2680" w:type="dxa"/>
            <w:tcBorders>
              <w:top w:val="single" w:sz="2" w:space="0" w:color="B9C6D9"/>
              <w:left w:val="single" w:sz="2" w:space="0" w:color="B9C6D9"/>
              <w:bottom w:val="single" w:sz="2" w:space="0" w:color="B9C6D9"/>
              <w:right w:val="single" w:sz="2" w:space="0" w:color="B9C6D9"/>
            </w:tcBorders>
          </w:tcPr>
          <w:p w14:paraId="1F2730FC" w14:textId="77777777" w:rsidR="00274775" w:rsidRDefault="00000000">
            <w:pPr>
              <w:spacing w:after="60"/>
            </w:pPr>
            <w:r>
              <w:rPr>
                <w:rFonts w:ascii="Calibri" w:hAnsi="Calibri"/>
                <w:sz w:val="21"/>
              </w:rPr>
              <w:t xml:space="preserve">Custom </w:t>
            </w:r>
            <w:proofErr w:type="spellStart"/>
            <w:r>
              <w:rPr>
                <w:rFonts w:ascii="Calibri" w:hAnsi="Calibri"/>
                <w:sz w:val="21"/>
              </w:rPr>
              <w:t>StreamBus</w:t>
            </w:r>
            <w:proofErr w:type="spellEnd"/>
            <w:r>
              <w:rPr>
                <w:rFonts w:ascii="Calibri" w:hAnsi="Calibri"/>
                <w:sz w:val="21"/>
              </w:rPr>
              <w:t xml:space="preserve"> (in-process, Kafka-equivalent abstraction — built after Docker/Kafka/</w:t>
            </w:r>
            <w:proofErr w:type="spellStart"/>
            <w:r>
              <w:rPr>
                <w:rFonts w:ascii="Calibri" w:hAnsi="Calibri"/>
                <w:sz w:val="21"/>
              </w:rPr>
              <w:t>Redpanda</w:t>
            </w:r>
            <w:proofErr w:type="spellEnd"/>
            <w:r>
              <w:rPr>
                <w:rFonts w:ascii="Calibri" w:hAnsi="Calibri"/>
                <w:sz w:val="21"/>
              </w:rPr>
              <w:t xml:space="preserve"> hit WSL2 incompatibilities on Windows 10)</w:t>
            </w:r>
          </w:p>
        </w:tc>
        <w:tc>
          <w:tcPr>
            <w:tcW w:w="2280" w:type="dxa"/>
            <w:tcBorders>
              <w:top w:val="single" w:sz="2" w:space="0" w:color="B9C6D9"/>
              <w:left w:val="single" w:sz="2" w:space="0" w:color="B9C6D9"/>
              <w:bottom w:val="single" w:sz="2" w:space="0" w:color="B9C6D9"/>
              <w:right w:val="single" w:sz="2" w:space="0" w:color="B9C6D9"/>
            </w:tcBorders>
          </w:tcPr>
          <w:p w14:paraId="3D8F048B" w14:textId="77777777" w:rsidR="00274775" w:rsidRDefault="00000000">
            <w:pPr>
              <w:spacing w:after="60"/>
            </w:pPr>
            <w:r>
              <w:rPr>
                <w:rFonts w:ascii="Calibri" w:hAnsi="Calibri"/>
                <w:sz w:val="21"/>
              </w:rPr>
              <w:t>Kinesis Data Streams, 1 shard, deleted after each test session</w:t>
            </w:r>
          </w:p>
        </w:tc>
        <w:tc>
          <w:tcPr>
            <w:tcW w:w="2200" w:type="dxa"/>
            <w:tcBorders>
              <w:top w:val="single" w:sz="2" w:space="0" w:color="B9C6D9"/>
              <w:left w:val="single" w:sz="2" w:space="0" w:color="B9C6D9"/>
              <w:bottom w:val="single" w:sz="2" w:space="0" w:color="B9C6D9"/>
              <w:right w:val="single" w:sz="2" w:space="0" w:color="B9C6D9"/>
            </w:tcBorders>
          </w:tcPr>
          <w:p w14:paraId="32AE2FE6" w14:textId="77777777" w:rsidR="00274775" w:rsidRDefault="00000000">
            <w:pPr>
              <w:spacing w:after="60"/>
            </w:pPr>
            <w:r>
              <w:rPr>
                <w:rFonts w:ascii="Calibri" w:hAnsi="Calibri"/>
                <w:sz w:val="21"/>
              </w:rPr>
              <w:t>Auto Loader (</w:t>
            </w:r>
            <w:proofErr w:type="spellStart"/>
            <w:r>
              <w:rPr>
                <w:rFonts w:ascii="Calibri" w:hAnsi="Calibri"/>
                <w:sz w:val="21"/>
              </w:rPr>
              <w:t>cloudFiles</w:t>
            </w:r>
            <w:proofErr w:type="spellEnd"/>
            <w:r>
              <w:rPr>
                <w:rFonts w:ascii="Calibri" w:hAnsi="Calibri"/>
                <w:sz w:val="21"/>
              </w:rPr>
              <w:t>), trigger(</w:t>
            </w:r>
            <w:proofErr w:type="spellStart"/>
            <w:r>
              <w:rPr>
                <w:rFonts w:ascii="Calibri" w:hAnsi="Calibri"/>
                <w:sz w:val="21"/>
              </w:rPr>
              <w:t>availableNow</w:t>
            </w:r>
            <w:proofErr w:type="spellEnd"/>
            <w:r>
              <w:rPr>
                <w:rFonts w:ascii="Calibri" w:hAnsi="Calibri"/>
                <w:sz w:val="21"/>
              </w:rPr>
              <w:t>=True) — batch-triggered, not continuous</w:t>
            </w:r>
          </w:p>
        </w:tc>
      </w:tr>
      <w:tr w:rsidR="00274775" w14:paraId="6D5A887D" w14:textId="77777777">
        <w:trPr>
          <w:jc w:val="center"/>
        </w:trPr>
        <w:tc>
          <w:tcPr>
            <w:tcW w:w="2200" w:type="dxa"/>
            <w:tcBorders>
              <w:top w:val="single" w:sz="2" w:space="0" w:color="B9C6D9"/>
              <w:left w:val="single" w:sz="2" w:space="0" w:color="B9C6D9"/>
              <w:bottom w:val="single" w:sz="2" w:space="0" w:color="B9C6D9"/>
              <w:right w:val="single" w:sz="2" w:space="0" w:color="B9C6D9"/>
            </w:tcBorders>
            <w:shd w:val="clear" w:color="auto" w:fill="EEF3FA"/>
          </w:tcPr>
          <w:p w14:paraId="73D9DE9B" w14:textId="77777777" w:rsidR="00274775" w:rsidRDefault="00000000">
            <w:r>
              <w:rPr>
                <w:rFonts w:ascii="Calibri" w:hAnsi="Calibri"/>
                <w:sz w:val="21"/>
              </w:rPr>
              <w:t>Ingestion compute</w:t>
            </w:r>
          </w:p>
        </w:tc>
        <w:tc>
          <w:tcPr>
            <w:tcW w:w="2680" w:type="dxa"/>
            <w:tcBorders>
              <w:top w:val="single" w:sz="2" w:space="0" w:color="B9C6D9"/>
              <w:left w:val="single" w:sz="2" w:space="0" w:color="B9C6D9"/>
              <w:bottom w:val="single" w:sz="2" w:space="0" w:color="B9C6D9"/>
              <w:right w:val="single" w:sz="2" w:space="0" w:color="B9C6D9"/>
            </w:tcBorders>
            <w:shd w:val="clear" w:color="auto" w:fill="EEF3FA"/>
          </w:tcPr>
          <w:p w14:paraId="083DCBFC" w14:textId="77777777" w:rsidR="00274775" w:rsidRDefault="00000000">
            <w:pPr>
              <w:spacing w:after="60"/>
            </w:pPr>
            <w:proofErr w:type="spellStart"/>
            <w:r>
              <w:rPr>
                <w:rFonts w:ascii="Calibri" w:hAnsi="Calibri"/>
                <w:sz w:val="21"/>
              </w:rPr>
              <w:t>PySpark</w:t>
            </w:r>
            <w:proofErr w:type="spellEnd"/>
            <w:r>
              <w:rPr>
                <w:rFonts w:ascii="Calibri" w:hAnsi="Calibri"/>
                <w:sz w:val="21"/>
              </w:rPr>
              <w:t>, run from CMD</w:t>
            </w:r>
          </w:p>
        </w:tc>
        <w:tc>
          <w:tcPr>
            <w:tcW w:w="2280" w:type="dxa"/>
            <w:tcBorders>
              <w:top w:val="single" w:sz="2" w:space="0" w:color="B9C6D9"/>
              <w:left w:val="single" w:sz="2" w:space="0" w:color="B9C6D9"/>
              <w:bottom w:val="single" w:sz="2" w:space="0" w:color="B9C6D9"/>
              <w:right w:val="single" w:sz="2" w:space="0" w:color="B9C6D9"/>
            </w:tcBorders>
            <w:shd w:val="clear" w:color="auto" w:fill="EEF3FA"/>
          </w:tcPr>
          <w:p w14:paraId="45C736C6" w14:textId="77777777" w:rsidR="00274775" w:rsidRDefault="00000000">
            <w:pPr>
              <w:spacing w:after="60"/>
            </w:pPr>
            <w:r>
              <w:rPr>
                <w:rFonts w:ascii="Calibri" w:hAnsi="Calibri"/>
                <w:sz w:val="21"/>
              </w:rPr>
              <w:t xml:space="preserve">Lambda fitness-bronze-writer (Python 3.13, </w:t>
            </w:r>
            <w:proofErr w:type="spellStart"/>
            <w:r>
              <w:rPr>
                <w:rFonts w:ascii="Calibri" w:hAnsi="Calibri"/>
                <w:sz w:val="21"/>
              </w:rPr>
              <w:t>AWSSDKPandas</w:t>
            </w:r>
            <w:proofErr w:type="spellEnd"/>
            <w:r>
              <w:rPr>
                <w:rFonts w:ascii="Calibri" w:hAnsi="Calibri"/>
                <w:sz w:val="21"/>
              </w:rPr>
              <w:t xml:space="preserve"> layer)</w:t>
            </w:r>
          </w:p>
        </w:tc>
        <w:tc>
          <w:tcPr>
            <w:tcW w:w="2200" w:type="dxa"/>
            <w:tcBorders>
              <w:top w:val="single" w:sz="2" w:space="0" w:color="B9C6D9"/>
              <w:left w:val="single" w:sz="2" w:space="0" w:color="B9C6D9"/>
              <w:bottom w:val="single" w:sz="2" w:space="0" w:color="B9C6D9"/>
              <w:right w:val="single" w:sz="2" w:space="0" w:color="B9C6D9"/>
            </w:tcBorders>
            <w:shd w:val="clear" w:color="auto" w:fill="EEF3FA"/>
          </w:tcPr>
          <w:p w14:paraId="068D1490" w14:textId="77777777" w:rsidR="00274775" w:rsidRDefault="00000000">
            <w:pPr>
              <w:spacing w:after="60"/>
            </w:pPr>
            <w:r>
              <w:rPr>
                <w:rFonts w:ascii="Calibri" w:hAnsi="Calibri"/>
                <w:sz w:val="21"/>
              </w:rPr>
              <w:t>Databricks notebook (Serverless), live producer writing into a Unity Catalog Volume</w:t>
            </w:r>
          </w:p>
        </w:tc>
      </w:tr>
      <w:tr w:rsidR="00274775" w14:paraId="7B28D788" w14:textId="77777777">
        <w:trPr>
          <w:jc w:val="center"/>
        </w:trPr>
        <w:tc>
          <w:tcPr>
            <w:tcW w:w="2200" w:type="dxa"/>
            <w:tcBorders>
              <w:top w:val="single" w:sz="2" w:space="0" w:color="B9C6D9"/>
              <w:left w:val="single" w:sz="2" w:space="0" w:color="B9C6D9"/>
              <w:bottom w:val="single" w:sz="2" w:space="0" w:color="B9C6D9"/>
              <w:right w:val="single" w:sz="2" w:space="0" w:color="B9C6D9"/>
            </w:tcBorders>
          </w:tcPr>
          <w:p w14:paraId="45331BBF" w14:textId="77777777" w:rsidR="00274775" w:rsidRDefault="00000000">
            <w:r>
              <w:rPr>
                <w:rFonts w:ascii="Calibri" w:hAnsi="Calibri"/>
                <w:sz w:val="21"/>
              </w:rPr>
              <w:t>Storage format</w:t>
            </w:r>
          </w:p>
        </w:tc>
        <w:tc>
          <w:tcPr>
            <w:tcW w:w="2680" w:type="dxa"/>
            <w:tcBorders>
              <w:top w:val="single" w:sz="2" w:space="0" w:color="B9C6D9"/>
              <w:left w:val="single" w:sz="2" w:space="0" w:color="B9C6D9"/>
              <w:bottom w:val="single" w:sz="2" w:space="0" w:color="B9C6D9"/>
              <w:right w:val="single" w:sz="2" w:space="0" w:color="B9C6D9"/>
            </w:tcBorders>
          </w:tcPr>
          <w:p w14:paraId="54BC3D6F" w14:textId="77777777" w:rsidR="00274775" w:rsidRDefault="00000000">
            <w:pPr>
              <w:spacing w:after="60"/>
            </w:pPr>
            <w:r>
              <w:rPr>
                <w:rFonts w:ascii="Calibri" w:hAnsi="Calibri"/>
                <w:sz w:val="21"/>
              </w:rPr>
              <w:t>Hive-partitioned Snappy Parquet on local disk</w:t>
            </w:r>
          </w:p>
        </w:tc>
        <w:tc>
          <w:tcPr>
            <w:tcW w:w="2280" w:type="dxa"/>
            <w:tcBorders>
              <w:top w:val="single" w:sz="2" w:space="0" w:color="B9C6D9"/>
              <w:left w:val="single" w:sz="2" w:space="0" w:color="B9C6D9"/>
              <w:bottom w:val="single" w:sz="2" w:space="0" w:color="B9C6D9"/>
              <w:right w:val="single" w:sz="2" w:space="0" w:color="B9C6D9"/>
            </w:tcBorders>
          </w:tcPr>
          <w:p w14:paraId="548DBD5D" w14:textId="77777777" w:rsidR="00274775" w:rsidRDefault="00000000">
            <w:pPr>
              <w:spacing w:after="60"/>
            </w:pPr>
            <w:r>
              <w:rPr>
                <w:rFonts w:ascii="Calibri" w:hAnsi="Calibri"/>
                <w:sz w:val="21"/>
              </w:rPr>
              <w:t>Hive-partitioned Parquet on S3 (fitness-streaming-nikil-2026)</w:t>
            </w:r>
          </w:p>
        </w:tc>
        <w:tc>
          <w:tcPr>
            <w:tcW w:w="2200" w:type="dxa"/>
            <w:tcBorders>
              <w:top w:val="single" w:sz="2" w:space="0" w:color="B9C6D9"/>
              <w:left w:val="single" w:sz="2" w:space="0" w:color="B9C6D9"/>
              <w:bottom w:val="single" w:sz="2" w:space="0" w:color="B9C6D9"/>
              <w:right w:val="single" w:sz="2" w:space="0" w:color="B9C6D9"/>
            </w:tcBorders>
          </w:tcPr>
          <w:p w14:paraId="5CA68428" w14:textId="77777777" w:rsidR="00274775" w:rsidRDefault="00000000">
            <w:pPr>
              <w:spacing w:after="60"/>
            </w:pPr>
            <w:r>
              <w:rPr>
                <w:rFonts w:ascii="Calibri" w:hAnsi="Calibri"/>
                <w:sz w:val="21"/>
              </w:rPr>
              <w:t>Delta Lake tables under Unity Catalog (ACID, time travel, schema evolution)</w:t>
            </w:r>
          </w:p>
        </w:tc>
      </w:tr>
      <w:tr w:rsidR="00274775" w14:paraId="069A2E4C" w14:textId="77777777">
        <w:trPr>
          <w:jc w:val="center"/>
        </w:trPr>
        <w:tc>
          <w:tcPr>
            <w:tcW w:w="2200" w:type="dxa"/>
            <w:tcBorders>
              <w:top w:val="single" w:sz="2" w:space="0" w:color="B9C6D9"/>
              <w:left w:val="single" w:sz="2" w:space="0" w:color="B9C6D9"/>
              <w:bottom w:val="single" w:sz="2" w:space="0" w:color="B9C6D9"/>
              <w:right w:val="single" w:sz="2" w:space="0" w:color="B9C6D9"/>
            </w:tcBorders>
            <w:shd w:val="clear" w:color="auto" w:fill="EEF3FA"/>
          </w:tcPr>
          <w:p w14:paraId="68E176E9" w14:textId="77777777" w:rsidR="00274775" w:rsidRDefault="00000000">
            <w:proofErr w:type="spellStart"/>
            <w:r>
              <w:rPr>
                <w:rFonts w:ascii="Calibri" w:hAnsi="Calibri"/>
                <w:sz w:val="21"/>
              </w:rPr>
              <w:t>Bronze→Silver</w:t>
            </w:r>
            <w:proofErr w:type="spellEnd"/>
            <w:r>
              <w:rPr>
                <w:rFonts w:ascii="Calibri" w:hAnsi="Calibri"/>
                <w:sz w:val="21"/>
              </w:rPr>
              <w:t xml:space="preserve"> transform</w:t>
            </w:r>
          </w:p>
        </w:tc>
        <w:tc>
          <w:tcPr>
            <w:tcW w:w="2680" w:type="dxa"/>
            <w:tcBorders>
              <w:top w:val="single" w:sz="2" w:space="0" w:color="B9C6D9"/>
              <w:left w:val="single" w:sz="2" w:space="0" w:color="B9C6D9"/>
              <w:bottom w:val="single" w:sz="2" w:space="0" w:color="B9C6D9"/>
              <w:right w:val="single" w:sz="2" w:space="0" w:color="B9C6D9"/>
            </w:tcBorders>
            <w:shd w:val="clear" w:color="auto" w:fill="EEF3FA"/>
          </w:tcPr>
          <w:p w14:paraId="2C9BC840" w14:textId="77777777" w:rsidR="00274775" w:rsidRDefault="00000000">
            <w:pPr>
              <w:spacing w:after="60"/>
            </w:pPr>
            <w:r>
              <w:rPr>
                <w:rFonts w:ascii="Calibri" w:hAnsi="Calibri"/>
                <w:sz w:val="21"/>
              </w:rPr>
              <w:t xml:space="preserve">bronze_to_silver.py, validation_rules.py (dispatch </w:t>
            </w:r>
            <w:proofErr w:type="spellStart"/>
            <w:r>
              <w:rPr>
                <w:rFonts w:ascii="Calibri" w:hAnsi="Calibri"/>
                <w:sz w:val="21"/>
              </w:rPr>
              <w:t>dict</w:t>
            </w:r>
            <w:proofErr w:type="spellEnd"/>
            <w:r>
              <w:rPr>
                <w:rFonts w:ascii="Calibri" w:hAnsi="Calibri"/>
                <w:sz w:val="21"/>
              </w:rPr>
              <w:t xml:space="preserve"> pattern)</w:t>
            </w:r>
          </w:p>
        </w:tc>
        <w:tc>
          <w:tcPr>
            <w:tcW w:w="2280" w:type="dxa"/>
            <w:tcBorders>
              <w:top w:val="single" w:sz="2" w:space="0" w:color="B9C6D9"/>
              <w:left w:val="single" w:sz="2" w:space="0" w:color="B9C6D9"/>
              <w:bottom w:val="single" w:sz="2" w:space="0" w:color="B9C6D9"/>
              <w:right w:val="single" w:sz="2" w:space="0" w:color="B9C6D9"/>
            </w:tcBorders>
            <w:shd w:val="clear" w:color="auto" w:fill="EEF3FA"/>
          </w:tcPr>
          <w:p w14:paraId="6F5DFF89" w14:textId="77777777" w:rsidR="00274775" w:rsidRDefault="00000000">
            <w:pPr>
              <w:spacing w:after="60"/>
            </w:pPr>
            <w:r>
              <w:rPr>
                <w:rFonts w:ascii="Calibri" w:hAnsi="Calibri"/>
                <w:sz w:val="21"/>
              </w:rPr>
              <w:t>Glue ETL job fitness-bronze-to-silver</w:t>
            </w:r>
          </w:p>
        </w:tc>
        <w:tc>
          <w:tcPr>
            <w:tcW w:w="2200" w:type="dxa"/>
            <w:tcBorders>
              <w:top w:val="single" w:sz="2" w:space="0" w:color="B9C6D9"/>
              <w:left w:val="single" w:sz="2" w:space="0" w:color="B9C6D9"/>
              <w:bottom w:val="single" w:sz="2" w:space="0" w:color="B9C6D9"/>
              <w:right w:val="single" w:sz="2" w:space="0" w:color="B9C6D9"/>
            </w:tcBorders>
            <w:shd w:val="clear" w:color="auto" w:fill="EEF3FA"/>
          </w:tcPr>
          <w:p w14:paraId="04212522" w14:textId="77777777" w:rsidR="00274775" w:rsidRDefault="00000000">
            <w:pPr>
              <w:spacing w:after="60"/>
            </w:pPr>
            <w:r>
              <w:rPr>
                <w:rFonts w:ascii="Calibri" w:hAnsi="Calibri"/>
                <w:sz w:val="21"/>
              </w:rPr>
              <w:t xml:space="preserve">5 independent notebooks, one per record type — </w:t>
            </w:r>
            <w:proofErr w:type="spellStart"/>
            <w:r>
              <w:rPr>
                <w:rFonts w:ascii="Calibri" w:hAnsi="Calibri"/>
                <w:sz w:val="21"/>
              </w:rPr>
              <w:t>user_profile</w:t>
            </w:r>
            <w:proofErr w:type="spellEnd"/>
            <w:r>
              <w:rPr>
                <w:rFonts w:ascii="Calibri" w:hAnsi="Calibri"/>
                <w:sz w:val="21"/>
              </w:rPr>
              <w:t xml:space="preserve"> via MERGE INTO, the other 4 via append</w:t>
            </w:r>
          </w:p>
        </w:tc>
      </w:tr>
      <w:tr w:rsidR="00274775" w14:paraId="0D6B416D" w14:textId="77777777">
        <w:trPr>
          <w:jc w:val="center"/>
        </w:trPr>
        <w:tc>
          <w:tcPr>
            <w:tcW w:w="2200" w:type="dxa"/>
            <w:tcBorders>
              <w:top w:val="single" w:sz="2" w:space="0" w:color="B9C6D9"/>
              <w:left w:val="single" w:sz="2" w:space="0" w:color="B9C6D9"/>
              <w:bottom w:val="single" w:sz="2" w:space="0" w:color="B9C6D9"/>
              <w:right w:val="single" w:sz="2" w:space="0" w:color="B9C6D9"/>
            </w:tcBorders>
          </w:tcPr>
          <w:p w14:paraId="63EEBBC6" w14:textId="77777777" w:rsidR="00274775" w:rsidRDefault="00000000">
            <w:proofErr w:type="spellStart"/>
            <w:r>
              <w:rPr>
                <w:rFonts w:ascii="Calibri" w:hAnsi="Calibri"/>
                <w:sz w:val="21"/>
              </w:rPr>
              <w:t>Silver→Gold</w:t>
            </w:r>
            <w:proofErr w:type="spellEnd"/>
            <w:r>
              <w:rPr>
                <w:rFonts w:ascii="Calibri" w:hAnsi="Calibri"/>
                <w:sz w:val="21"/>
              </w:rPr>
              <w:t xml:space="preserve"> transform</w:t>
            </w:r>
          </w:p>
        </w:tc>
        <w:tc>
          <w:tcPr>
            <w:tcW w:w="2680" w:type="dxa"/>
            <w:tcBorders>
              <w:top w:val="single" w:sz="2" w:space="0" w:color="B9C6D9"/>
              <w:left w:val="single" w:sz="2" w:space="0" w:color="B9C6D9"/>
              <w:bottom w:val="single" w:sz="2" w:space="0" w:color="B9C6D9"/>
              <w:right w:val="single" w:sz="2" w:space="0" w:color="B9C6D9"/>
            </w:tcBorders>
          </w:tcPr>
          <w:p w14:paraId="58A6948A" w14:textId="77777777" w:rsidR="00274775" w:rsidRDefault="00000000">
            <w:pPr>
              <w:spacing w:after="60"/>
            </w:pPr>
            <w:r>
              <w:rPr>
                <w:rFonts w:ascii="Calibri" w:hAnsi="Calibri"/>
                <w:sz w:val="21"/>
              </w:rPr>
              <w:t>silver_to_gold.py</w:t>
            </w:r>
          </w:p>
        </w:tc>
        <w:tc>
          <w:tcPr>
            <w:tcW w:w="2280" w:type="dxa"/>
            <w:tcBorders>
              <w:top w:val="single" w:sz="2" w:space="0" w:color="B9C6D9"/>
              <w:left w:val="single" w:sz="2" w:space="0" w:color="B9C6D9"/>
              <w:bottom w:val="single" w:sz="2" w:space="0" w:color="B9C6D9"/>
              <w:right w:val="single" w:sz="2" w:space="0" w:color="B9C6D9"/>
            </w:tcBorders>
          </w:tcPr>
          <w:p w14:paraId="099D4468" w14:textId="77777777" w:rsidR="00274775" w:rsidRDefault="00000000">
            <w:pPr>
              <w:spacing w:after="60"/>
            </w:pPr>
            <w:r>
              <w:rPr>
                <w:rFonts w:ascii="Calibri" w:hAnsi="Calibri"/>
                <w:sz w:val="21"/>
              </w:rPr>
              <w:t>Glue ETL job fitness-silver-to-gold</w:t>
            </w:r>
          </w:p>
        </w:tc>
        <w:tc>
          <w:tcPr>
            <w:tcW w:w="2200" w:type="dxa"/>
            <w:tcBorders>
              <w:top w:val="single" w:sz="2" w:space="0" w:color="B9C6D9"/>
              <w:left w:val="single" w:sz="2" w:space="0" w:color="B9C6D9"/>
              <w:bottom w:val="single" w:sz="2" w:space="0" w:color="B9C6D9"/>
              <w:right w:val="single" w:sz="2" w:space="0" w:color="B9C6D9"/>
            </w:tcBorders>
          </w:tcPr>
          <w:p w14:paraId="71560E30" w14:textId="77777777" w:rsidR="00274775" w:rsidRDefault="00000000">
            <w:pPr>
              <w:spacing w:after="60"/>
            </w:pPr>
            <w:r>
              <w:rPr>
                <w:rFonts w:ascii="Calibri" w:hAnsi="Calibri"/>
                <w:sz w:val="21"/>
              </w:rPr>
              <w:t>4 independent notebooks — overwrite-on-recompute</w:t>
            </w:r>
          </w:p>
        </w:tc>
      </w:tr>
      <w:tr w:rsidR="00274775" w14:paraId="6E9CE677" w14:textId="77777777">
        <w:trPr>
          <w:jc w:val="center"/>
        </w:trPr>
        <w:tc>
          <w:tcPr>
            <w:tcW w:w="2200" w:type="dxa"/>
            <w:tcBorders>
              <w:top w:val="single" w:sz="2" w:space="0" w:color="B9C6D9"/>
              <w:left w:val="single" w:sz="2" w:space="0" w:color="B9C6D9"/>
              <w:bottom w:val="single" w:sz="2" w:space="0" w:color="B9C6D9"/>
              <w:right w:val="single" w:sz="2" w:space="0" w:color="B9C6D9"/>
            </w:tcBorders>
            <w:shd w:val="clear" w:color="auto" w:fill="EEF3FA"/>
          </w:tcPr>
          <w:p w14:paraId="66B99AFB" w14:textId="77777777" w:rsidR="00274775" w:rsidRDefault="00000000">
            <w:r>
              <w:rPr>
                <w:rFonts w:ascii="Calibri" w:hAnsi="Calibri"/>
                <w:sz w:val="21"/>
              </w:rPr>
              <w:t>Query / validation layer</w:t>
            </w:r>
          </w:p>
        </w:tc>
        <w:tc>
          <w:tcPr>
            <w:tcW w:w="2680" w:type="dxa"/>
            <w:tcBorders>
              <w:top w:val="single" w:sz="2" w:space="0" w:color="B9C6D9"/>
              <w:left w:val="single" w:sz="2" w:space="0" w:color="B9C6D9"/>
              <w:bottom w:val="single" w:sz="2" w:space="0" w:color="B9C6D9"/>
              <w:right w:val="single" w:sz="2" w:space="0" w:color="B9C6D9"/>
            </w:tcBorders>
            <w:shd w:val="clear" w:color="auto" w:fill="EEF3FA"/>
          </w:tcPr>
          <w:p w14:paraId="797B8BB6" w14:textId="77777777" w:rsidR="00274775" w:rsidRDefault="00000000">
            <w:pPr>
              <w:spacing w:after="60"/>
            </w:pPr>
            <w:proofErr w:type="spellStart"/>
            <w:r>
              <w:rPr>
                <w:rFonts w:ascii="Calibri" w:hAnsi="Calibri"/>
                <w:sz w:val="21"/>
              </w:rPr>
              <w:t>DuckDB</w:t>
            </w:r>
            <w:proofErr w:type="spellEnd"/>
          </w:p>
        </w:tc>
        <w:tc>
          <w:tcPr>
            <w:tcW w:w="2280" w:type="dxa"/>
            <w:tcBorders>
              <w:top w:val="single" w:sz="2" w:space="0" w:color="B9C6D9"/>
              <w:left w:val="single" w:sz="2" w:space="0" w:color="B9C6D9"/>
              <w:bottom w:val="single" w:sz="2" w:space="0" w:color="B9C6D9"/>
              <w:right w:val="single" w:sz="2" w:space="0" w:color="B9C6D9"/>
            </w:tcBorders>
            <w:shd w:val="clear" w:color="auto" w:fill="EEF3FA"/>
          </w:tcPr>
          <w:p w14:paraId="13ABC0FA" w14:textId="77777777" w:rsidR="00274775" w:rsidRDefault="00000000">
            <w:pPr>
              <w:spacing w:after="60"/>
            </w:pPr>
            <w:r>
              <w:rPr>
                <w:rFonts w:ascii="Calibri" w:hAnsi="Calibri"/>
                <w:sz w:val="21"/>
              </w:rPr>
              <w:t>Athena (query-only, never moves pipeline data)</w:t>
            </w:r>
          </w:p>
        </w:tc>
        <w:tc>
          <w:tcPr>
            <w:tcW w:w="2200" w:type="dxa"/>
            <w:tcBorders>
              <w:top w:val="single" w:sz="2" w:space="0" w:color="B9C6D9"/>
              <w:left w:val="single" w:sz="2" w:space="0" w:color="B9C6D9"/>
              <w:bottom w:val="single" w:sz="2" w:space="0" w:color="B9C6D9"/>
              <w:right w:val="single" w:sz="2" w:space="0" w:color="B9C6D9"/>
            </w:tcBorders>
            <w:shd w:val="clear" w:color="auto" w:fill="EEF3FA"/>
          </w:tcPr>
          <w:p w14:paraId="3F16F40A" w14:textId="77777777" w:rsidR="00274775" w:rsidRDefault="00000000">
            <w:pPr>
              <w:spacing w:after="60"/>
            </w:pPr>
            <w:r>
              <w:rPr>
                <w:rFonts w:ascii="Calibri" w:hAnsi="Calibri"/>
                <w:sz w:val="21"/>
              </w:rPr>
              <w:t>Notebook SQL directly against Delta tables</w:t>
            </w:r>
          </w:p>
        </w:tc>
      </w:tr>
      <w:tr w:rsidR="00274775" w14:paraId="40BF8DF3" w14:textId="77777777">
        <w:trPr>
          <w:jc w:val="center"/>
        </w:trPr>
        <w:tc>
          <w:tcPr>
            <w:tcW w:w="2200" w:type="dxa"/>
            <w:tcBorders>
              <w:top w:val="single" w:sz="2" w:space="0" w:color="B9C6D9"/>
              <w:left w:val="single" w:sz="2" w:space="0" w:color="B9C6D9"/>
              <w:bottom w:val="single" w:sz="2" w:space="0" w:color="B9C6D9"/>
              <w:right w:val="single" w:sz="2" w:space="0" w:color="B9C6D9"/>
            </w:tcBorders>
          </w:tcPr>
          <w:p w14:paraId="14426456" w14:textId="77777777" w:rsidR="00274775" w:rsidRDefault="00000000">
            <w:r>
              <w:rPr>
                <w:rFonts w:ascii="Calibri" w:hAnsi="Calibri"/>
                <w:sz w:val="21"/>
              </w:rPr>
              <w:t>Warehouse / serving layer</w:t>
            </w:r>
          </w:p>
        </w:tc>
        <w:tc>
          <w:tcPr>
            <w:tcW w:w="2680" w:type="dxa"/>
            <w:tcBorders>
              <w:top w:val="single" w:sz="2" w:space="0" w:color="B9C6D9"/>
              <w:left w:val="single" w:sz="2" w:space="0" w:color="B9C6D9"/>
              <w:bottom w:val="single" w:sz="2" w:space="0" w:color="B9C6D9"/>
              <w:right w:val="single" w:sz="2" w:space="0" w:color="B9C6D9"/>
            </w:tcBorders>
          </w:tcPr>
          <w:p w14:paraId="520FE985" w14:textId="77777777" w:rsidR="00274775" w:rsidRDefault="00000000">
            <w:pPr>
              <w:spacing w:after="60"/>
            </w:pPr>
            <w:r>
              <w:rPr>
                <w:rFonts w:ascii="Calibri" w:hAnsi="Calibri"/>
                <w:sz w:val="21"/>
              </w:rPr>
              <w:t>— (not built; scope-capped)</w:t>
            </w:r>
          </w:p>
        </w:tc>
        <w:tc>
          <w:tcPr>
            <w:tcW w:w="2280" w:type="dxa"/>
            <w:tcBorders>
              <w:top w:val="single" w:sz="2" w:space="0" w:color="B9C6D9"/>
              <w:left w:val="single" w:sz="2" w:space="0" w:color="B9C6D9"/>
              <w:bottom w:val="single" w:sz="2" w:space="0" w:color="B9C6D9"/>
              <w:right w:val="single" w:sz="2" w:space="0" w:color="B9C6D9"/>
            </w:tcBorders>
          </w:tcPr>
          <w:p w14:paraId="477E6896" w14:textId="77777777" w:rsidR="00274775" w:rsidRDefault="00000000">
            <w:pPr>
              <w:spacing w:after="60"/>
            </w:pPr>
            <w:r>
              <w:rPr>
                <w:rFonts w:ascii="Calibri" w:hAnsi="Calibri"/>
                <w:sz w:val="21"/>
              </w:rPr>
              <w:t xml:space="preserve">Redshift Serverless — star schema, true SCD Type 2 on </w:t>
            </w:r>
            <w:proofErr w:type="spellStart"/>
            <w:r>
              <w:rPr>
                <w:rFonts w:ascii="Calibri" w:hAnsi="Calibri"/>
                <w:sz w:val="21"/>
              </w:rPr>
              <w:t>dim_user</w:t>
            </w:r>
            <w:proofErr w:type="spellEnd"/>
            <w:r>
              <w:rPr>
                <w:rFonts w:ascii="Calibri" w:hAnsi="Calibri"/>
                <w:sz w:val="21"/>
              </w:rPr>
              <w:t xml:space="preserve">, loaded via Data API + </w:t>
            </w:r>
            <w:proofErr w:type="spellStart"/>
            <w:r>
              <w:rPr>
                <w:rFonts w:ascii="Calibri" w:hAnsi="Calibri"/>
                <w:sz w:val="21"/>
              </w:rPr>
              <w:t>dbt</w:t>
            </w:r>
            <w:proofErr w:type="spellEnd"/>
          </w:p>
        </w:tc>
        <w:tc>
          <w:tcPr>
            <w:tcW w:w="2200" w:type="dxa"/>
            <w:tcBorders>
              <w:top w:val="single" w:sz="2" w:space="0" w:color="B9C6D9"/>
              <w:left w:val="single" w:sz="2" w:space="0" w:color="B9C6D9"/>
              <w:bottom w:val="single" w:sz="2" w:space="0" w:color="B9C6D9"/>
              <w:right w:val="single" w:sz="2" w:space="0" w:color="B9C6D9"/>
            </w:tcBorders>
          </w:tcPr>
          <w:p w14:paraId="577F1117" w14:textId="77777777" w:rsidR="00274775" w:rsidRDefault="00000000">
            <w:pPr>
              <w:spacing w:after="60"/>
            </w:pPr>
            <w:r>
              <w:rPr>
                <w:rFonts w:ascii="Calibri" w:hAnsi="Calibri"/>
                <w:sz w:val="21"/>
              </w:rPr>
              <w:t>None needed — Unity Catalog + Delta already behave as the warehouse layer</w:t>
            </w:r>
          </w:p>
        </w:tc>
      </w:tr>
      <w:tr w:rsidR="00274775" w14:paraId="54424560" w14:textId="77777777">
        <w:trPr>
          <w:jc w:val="center"/>
        </w:trPr>
        <w:tc>
          <w:tcPr>
            <w:tcW w:w="2200" w:type="dxa"/>
            <w:tcBorders>
              <w:top w:val="single" w:sz="2" w:space="0" w:color="B9C6D9"/>
              <w:left w:val="single" w:sz="2" w:space="0" w:color="B9C6D9"/>
              <w:bottom w:val="single" w:sz="2" w:space="0" w:color="B9C6D9"/>
              <w:right w:val="single" w:sz="2" w:space="0" w:color="B9C6D9"/>
            </w:tcBorders>
            <w:shd w:val="clear" w:color="auto" w:fill="EEF3FA"/>
          </w:tcPr>
          <w:p w14:paraId="0FB58104" w14:textId="77777777" w:rsidR="00274775" w:rsidRDefault="00000000">
            <w:r>
              <w:rPr>
                <w:rFonts w:ascii="Calibri" w:hAnsi="Calibri"/>
                <w:sz w:val="21"/>
              </w:rPr>
              <w:t>Catalog / lineage</w:t>
            </w:r>
          </w:p>
        </w:tc>
        <w:tc>
          <w:tcPr>
            <w:tcW w:w="2680" w:type="dxa"/>
            <w:tcBorders>
              <w:top w:val="single" w:sz="2" w:space="0" w:color="B9C6D9"/>
              <w:left w:val="single" w:sz="2" w:space="0" w:color="B9C6D9"/>
              <w:bottom w:val="single" w:sz="2" w:space="0" w:color="B9C6D9"/>
              <w:right w:val="single" w:sz="2" w:space="0" w:color="B9C6D9"/>
            </w:tcBorders>
            <w:shd w:val="clear" w:color="auto" w:fill="EEF3FA"/>
          </w:tcPr>
          <w:p w14:paraId="412332D8" w14:textId="77777777" w:rsidR="00274775" w:rsidRDefault="00000000">
            <w:pPr>
              <w:spacing w:after="60"/>
            </w:pPr>
            <w:r>
              <w:rPr>
                <w:rFonts w:ascii="Calibri" w:hAnsi="Calibri"/>
                <w:sz w:val="21"/>
              </w:rPr>
              <w:t>—</w:t>
            </w:r>
          </w:p>
        </w:tc>
        <w:tc>
          <w:tcPr>
            <w:tcW w:w="2280" w:type="dxa"/>
            <w:tcBorders>
              <w:top w:val="single" w:sz="2" w:space="0" w:color="B9C6D9"/>
              <w:left w:val="single" w:sz="2" w:space="0" w:color="B9C6D9"/>
              <w:bottom w:val="single" w:sz="2" w:space="0" w:color="B9C6D9"/>
              <w:right w:val="single" w:sz="2" w:space="0" w:color="B9C6D9"/>
            </w:tcBorders>
            <w:shd w:val="clear" w:color="auto" w:fill="EEF3FA"/>
          </w:tcPr>
          <w:p w14:paraId="7E6271BD" w14:textId="77777777" w:rsidR="00274775" w:rsidRDefault="00000000">
            <w:pPr>
              <w:spacing w:after="60"/>
            </w:pPr>
            <w:r>
              <w:rPr>
                <w:rFonts w:ascii="Calibri" w:hAnsi="Calibri"/>
                <w:sz w:val="21"/>
              </w:rPr>
              <w:t xml:space="preserve">Glue Data Catalog — </w:t>
            </w:r>
            <w:r>
              <w:rPr>
                <w:rFonts w:ascii="Calibri" w:hAnsi="Calibri"/>
                <w:sz w:val="21"/>
              </w:rPr>
              <w:lastRenderedPageBreak/>
              <w:t>lineage reconstructed manually from job definitions/S3 paths</w:t>
            </w:r>
          </w:p>
        </w:tc>
        <w:tc>
          <w:tcPr>
            <w:tcW w:w="2200" w:type="dxa"/>
            <w:tcBorders>
              <w:top w:val="single" w:sz="2" w:space="0" w:color="B9C6D9"/>
              <w:left w:val="single" w:sz="2" w:space="0" w:color="B9C6D9"/>
              <w:bottom w:val="single" w:sz="2" w:space="0" w:color="B9C6D9"/>
              <w:right w:val="single" w:sz="2" w:space="0" w:color="B9C6D9"/>
            </w:tcBorders>
            <w:shd w:val="clear" w:color="auto" w:fill="EEF3FA"/>
          </w:tcPr>
          <w:p w14:paraId="21B267BB" w14:textId="77777777" w:rsidR="00274775" w:rsidRDefault="00000000">
            <w:pPr>
              <w:spacing w:after="60"/>
            </w:pPr>
            <w:r>
              <w:rPr>
                <w:rFonts w:ascii="Calibri" w:hAnsi="Calibri"/>
                <w:sz w:val="21"/>
              </w:rPr>
              <w:lastRenderedPageBreak/>
              <w:t xml:space="preserve">Unity Catalog — fully </w:t>
            </w:r>
            <w:r>
              <w:rPr>
                <w:rFonts w:ascii="Calibri" w:hAnsi="Calibri"/>
                <w:sz w:val="21"/>
              </w:rPr>
              <w:lastRenderedPageBreak/>
              <w:t>automatic lineage (11 upstream / 13 downstream tables surfaced with zero extra code)</w:t>
            </w:r>
          </w:p>
        </w:tc>
      </w:tr>
      <w:tr w:rsidR="00274775" w14:paraId="4975C50C" w14:textId="77777777">
        <w:trPr>
          <w:jc w:val="center"/>
        </w:trPr>
        <w:tc>
          <w:tcPr>
            <w:tcW w:w="2200" w:type="dxa"/>
            <w:tcBorders>
              <w:top w:val="single" w:sz="2" w:space="0" w:color="B9C6D9"/>
              <w:left w:val="single" w:sz="2" w:space="0" w:color="B9C6D9"/>
              <w:bottom w:val="single" w:sz="2" w:space="0" w:color="B9C6D9"/>
              <w:right w:val="single" w:sz="2" w:space="0" w:color="B9C6D9"/>
            </w:tcBorders>
          </w:tcPr>
          <w:p w14:paraId="0D6C68EB" w14:textId="77777777" w:rsidR="00274775" w:rsidRDefault="00000000">
            <w:r>
              <w:rPr>
                <w:rFonts w:ascii="Calibri" w:hAnsi="Calibri"/>
                <w:sz w:val="21"/>
              </w:rPr>
              <w:lastRenderedPageBreak/>
              <w:t>Orchestration</w:t>
            </w:r>
          </w:p>
        </w:tc>
        <w:tc>
          <w:tcPr>
            <w:tcW w:w="2680" w:type="dxa"/>
            <w:tcBorders>
              <w:top w:val="single" w:sz="2" w:space="0" w:color="B9C6D9"/>
              <w:left w:val="single" w:sz="2" w:space="0" w:color="B9C6D9"/>
              <w:bottom w:val="single" w:sz="2" w:space="0" w:color="B9C6D9"/>
              <w:right w:val="single" w:sz="2" w:space="0" w:color="B9C6D9"/>
            </w:tcBorders>
          </w:tcPr>
          <w:p w14:paraId="1301A836" w14:textId="77777777" w:rsidR="00274775" w:rsidRDefault="00000000">
            <w:pPr>
              <w:spacing w:after="60"/>
            </w:pPr>
            <w:r>
              <w:rPr>
                <w:rFonts w:ascii="Calibri" w:hAnsi="Calibri"/>
                <w:sz w:val="21"/>
              </w:rPr>
              <w:t>Sequential script (not built; scope-capped)</w:t>
            </w:r>
          </w:p>
        </w:tc>
        <w:tc>
          <w:tcPr>
            <w:tcW w:w="2280" w:type="dxa"/>
            <w:tcBorders>
              <w:top w:val="single" w:sz="2" w:space="0" w:color="B9C6D9"/>
              <w:left w:val="single" w:sz="2" w:space="0" w:color="B9C6D9"/>
              <w:bottom w:val="single" w:sz="2" w:space="0" w:color="B9C6D9"/>
              <w:right w:val="single" w:sz="2" w:space="0" w:color="B9C6D9"/>
            </w:tcBorders>
          </w:tcPr>
          <w:p w14:paraId="419ED2DE" w14:textId="77777777" w:rsidR="00274775" w:rsidRDefault="00000000">
            <w:pPr>
              <w:spacing w:after="60"/>
            </w:pPr>
            <w:r>
              <w:rPr>
                <w:rFonts w:ascii="Calibri" w:hAnsi="Calibri"/>
                <w:sz w:val="21"/>
              </w:rPr>
              <w:t>Glue job triggers, run manually per session</w:t>
            </w:r>
          </w:p>
        </w:tc>
        <w:tc>
          <w:tcPr>
            <w:tcW w:w="2200" w:type="dxa"/>
            <w:tcBorders>
              <w:top w:val="single" w:sz="2" w:space="0" w:color="B9C6D9"/>
              <w:left w:val="single" w:sz="2" w:space="0" w:color="B9C6D9"/>
              <w:bottom w:val="single" w:sz="2" w:space="0" w:color="B9C6D9"/>
              <w:right w:val="single" w:sz="2" w:space="0" w:color="B9C6D9"/>
            </w:tcBorders>
          </w:tcPr>
          <w:p w14:paraId="050C71C8" w14:textId="77777777" w:rsidR="00274775" w:rsidRDefault="00000000">
            <w:pPr>
              <w:spacing w:after="60"/>
            </w:pPr>
            <w:r>
              <w:rPr>
                <w:rFonts w:ascii="Calibri" w:hAnsi="Calibri"/>
                <w:sz w:val="21"/>
              </w:rPr>
              <w:t>Databricks Workflows — single Job, 11 tasks: producer → ingestion → 5 parallel Silver → barrier → 4 parallel Gold</w:t>
            </w:r>
          </w:p>
        </w:tc>
      </w:tr>
      <w:tr w:rsidR="00274775" w14:paraId="41ECDFC1" w14:textId="77777777">
        <w:trPr>
          <w:jc w:val="center"/>
        </w:trPr>
        <w:tc>
          <w:tcPr>
            <w:tcW w:w="2200" w:type="dxa"/>
            <w:tcBorders>
              <w:top w:val="single" w:sz="2" w:space="0" w:color="B9C6D9"/>
              <w:left w:val="single" w:sz="2" w:space="0" w:color="B9C6D9"/>
              <w:bottom w:val="single" w:sz="2" w:space="0" w:color="B9C6D9"/>
              <w:right w:val="single" w:sz="2" w:space="0" w:color="B9C6D9"/>
            </w:tcBorders>
            <w:shd w:val="clear" w:color="auto" w:fill="EEF3FA"/>
          </w:tcPr>
          <w:p w14:paraId="46152A76" w14:textId="77777777" w:rsidR="00274775" w:rsidRDefault="00000000">
            <w:r>
              <w:rPr>
                <w:rFonts w:ascii="Calibri" w:hAnsi="Calibri"/>
                <w:sz w:val="21"/>
              </w:rPr>
              <w:t>Transformation framework</w:t>
            </w:r>
          </w:p>
        </w:tc>
        <w:tc>
          <w:tcPr>
            <w:tcW w:w="2680" w:type="dxa"/>
            <w:tcBorders>
              <w:top w:val="single" w:sz="2" w:space="0" w:color="B9C6D9"/>
              <w:left w:val="single" w:sz="2" w:space="0" w:color="B9C6D9"/>
              <w:bottom w:val="single" w:sz="2" w:space="0" w:color="B9C6D9"/>
              <w:right w:val="single" w:sz="2" w:space="0" w:color="B9C6D9"/>
            </w:tcBorders>
            <w:shd w:val="clear" w:color="auto" w:fill="EEF3FA"/>
          </w:tcPr>
          <w:p w14:paraId="350AC730" w14:textId="77777777" w:rsidR="00274775" w:rsidRDefault="00000000">
            <w:pPr>
              <w:spacing w:after="60"/>
            </w:pPr>
            <w:proofErr w:type="spellStart"/>
            <w:r>
              <w:rPr>
                <w:rFonts w:ascii="Calibri" w:hAnsi="Calibri"/>
                <w:sz w:val="21"/>
              </w:rPr>
              <w:t>dbt</w:t>
            </w:r>
            <w:proofErr w:type="spellEnd"/>
            <w:r>
              <w:rPr>
                <w:rFonts w:ascii="Calibri" w:hAnsi="Calibri"/>
                <w:sz w:val="21"/>
              </w:rPr>
              <w:t xml:space="preserve"> (</w:t>
            </w:r>
            <w:proofErr w:type="spellStart"/>
            <w:r>
              <w:rPr>
                <w:rFonts w:ascii="Calibri" w:hAnsi="Calibri"/>
                <w:sz w:val="21"/>
              </w:rPr>
              <w:t>DuckDB</w:t>
            </w:r>
            <w:proofErr w:type="spellEnd"/>
            <w:r>
              <w:rPr>
                <w:rFonts w:ascii="Calibri" w:hAnsi="Calibri"/>
                <w:sz w:val="21"/>
              </w:rPr>
              <w:t xml:space="preserve"> profile — not built; scope-capped)</w:t>
            </w:r>
          </w:p>
        </w:tc>
        <w:tc>
          <w:tcPr>
            <w:tcW w:w="2280" w:type="dxa"/>
            <w:tcBorders>
              <w:top w:val="single" w:sz="2" w:space="0" w:color="B9C6D9"/>
              <w:left w:val="single" w:sz="2" w:space="0" w:color="B9C6D9"/>
              <w:bottom w:val="single" w:sz="2" w:space="0" w:color="B9C6D9"/>
              <w:right w:val="single" w:sz="2" w:space="0" w:color="B9C6D9"/>
            </w:tcBorders>
            <w:shd w:val="clear" w:color="auto" w:fill="EEF3FA"/>
          </w:tcPr>
          <w:p w14:paraId="79883980" w14:textId="77777777" w:rsidR="00274775" w:rsidRDefault="00000000">
            <w:pPr>
              <w:spacing w:after="60"/>
            </w:pPr>
            <w:proofErr w:type="spellStart"/>
            <w:r>
              <w:rPr>
                <w:rFonts w:ascii="Calibri" w:hAnsi="Calibri"/>
                <w:sz w:val="21"/>
              </w:rPr>
              <w:t>dbt</w:t>
            </w:r>
            <w:proofErr w:type="spellEnd"/>
            <w:r>
              <w:rPr>
                <w:rFonts w:ascii="Calibri" w:hAnsi="Calibri"/>
                <w:sz w:val="21"/>
              </w:rPr>
              <w:t xml:space="preserve"> (Redshift profile) — fully built, 7 models, 33 tests, all green</w:t>
            </w:r>
          </w:p>
        </w:tc>
        <w:tc>
          <w:tcPr>
            <w:tcW w:w="2200" w:type="dxa"/>
            <w:tcBorders>
              <w:top w:val="single" w:sz="2" w:space="0" w:color="B9C6D9"/>
              <w:left w:val="single" w:sz="2" w:space="0" w:color="B9C6D9"/>
              <w:bottom w:val="single" w:sz="2" w:space="0" w:color="B9C6D9"/>
              <w:right w:val="single" w:sz="2" w:space="0" w:color="B9C6D9"/>
            </w:tcBorders>
            <w:shd w:val="clear" w:color="auto" w:fill="EEF3FA"/>
          </w:tcPr>
          <w:p w14:paraId="7A12E51F" w14:textId="77777777" w:rsidR="00274775" w:rsidRDefault="00000000">
            <w:pPr>
              <w:spacing w:after="60"/>
            </w:pPr>
            <w:proofErr w:type="spellStart"/>
            <w:r>
              <w:rPr>
                <w:rFonts w:ascii="Calibri" w:hAnsi="Calibri"/>
                <w:sz w:val="21"/>
              </w:rPr>
              <w:t>dbt</w:t>
            </w:r>
            <w:proofErr w:type="spellEnd"/>
            <w:r>
              <w:rPr>
                <w:rFonts w:ascii="Calibri" w:hAnsi="Calibri"/>
                <w:sz w:val="21"/>
              </w:rPr>
              <w:t xml:space="preserve"> (Databricks profile) — deferred, folds into the AWS-vs-Databricks comparison</w:t>
            </w:r>
          </w:p>
        </w:tc>
      </w:tr>
      <w:tr w:rsidR="00274775" w14:paraId="672924F0" w14:textId="77777777">
        <w:trPr>
          <w:jc w:val="center"/>
        </w:trPr>
        <w:tc>
          <w:tcPr>
            <w:tcW w:w="2200" w:type="dxa"/>
            <w:tcBorders>
              <w:top w:val="single" w:sz="2" w:space="0" w:color="B9C6D9"/>
              <w:left w:val="single" w:sz="2" w:space="0" w:color="B9C6D9"/>
              <w:bottom w:val="single" w:sz="2" w:space="0" w:color="B9C6D9"/>
              <w:right w:val="single" w:sz="2" w:space="0" w:color="B9C6D9"/>
            </w:tcBorders>
          </w:tcPr>
          <w:p w14:paraId="3750D4F1" w14:textId="77777777" w:rsidR="00274775" w:rsidRDefault="00000000">
            <w:r>
              <w:rPr>
                <w:rFonts w:ascii="Calibri" w:hAnsi="Calibri"/>
                <w:sz w:val="21"/>
              </w:rPr>
              <w:t>Cost discipline</w:t>
            </w:r>
          </w:p>
        </w:tc>
        <w:tc>
          <w:tcPr>
            <w:tcW w:w="2680" w:type="dxa"/>
            <w:tcBorders>
              <w:top w:val="single" w:sz="2" w:space="0" w:color="B9C6D9"/>
              <w:left w:val="single" w:sz="2" w:space="0" w:color="B9C6D9"/>
              <w:bottom w:val="single" w:sz="2" w:space="0" w:color="B9C6D9"/>
              <w:right w:val="single" w:sz="2" w:space="0" w:color="B9C6D9"/>
            </w:tcBorders>
          </w:tcPr>
          <w:p w14:paraId="3305F59F" w14:textId="77777777" w:rsidR="00274775" w:rsidRDefault="00000000">
            <w:pPr>
              <w:spacing w:after="60"/>
            </w:pPr>
            <w:r>
              <w:rPr>
                <w:rFonts w:ascii="Calibri" w:hAnsi="Calibri"/>
                <w:sz w:val="21"/>
              </w:rPr>
              <w:t>Zero marginal cost (local compute only)</w:t>
            </w:r>
          </w:p>
        </w:tc>
        <w:tc>
          <w:tcPr>
            <w:tcW w:w="2280" w:type="dxa"/>
            <w:tcBorders>
              <w:top w:val="single" w:sz="2" w:space="0" w:color="B9C6D9"/>
              <w:left w:val="single" w:sz="2" w:space="0" w:color="B9C6D9"/>
              <w:bottom w:val="single" w:sz="2" w:space="0" w:color="B9C6D9"/>
              <w:right w:val="single" w:sz="2" w:space="0" w:color="B9C6D9"/>
            </w:tcBorders>
          </w:tcPr>
          <w:p w14:paraId="06ACA6F6" w14:textId="77777777" w:rsidR="00274775" w:rsidRDefault="00000000">
            <w:pPr>
              <w:spacing w:after="60"/>
            </w:pPr>
            <w:r>
              <w:rPr>
                <w:rFonts w:ascii="Calibri" w:hAnsi="Calibri"/>
                <w:sz w:val="21"/>
              </w:rPr>
              <w:t>Kinesis shard deleted after use; Redshift Serverless auto-idles; Glue billed per-run, not continuous</w:t>
            </w:r>
          </w:p>
        </w:tc>
        <w:tc>
          <w:tcPr>
            <w:tcW w:w="2200" w:type="dxa"/>
            <w:tcBorders>
              <w:top w:val="single" w:sz="2" w:space="0" w:color="B9C6D9"/>
              <w:left w:val="single" w:sz="2" w:space="0" w:color="B9C6D9"/>
              <w:bottom w:val="single" w:sz="2" w:space="0" w:color="B9C6D9"/>
              <w:right w:val="single" w:sz="2" w:space="0" w:color="B9C6D9"/>
            </w:tcBorders>
          </w:tcPr>
          <w:p w14:paraId="288DE8CF" w14:textId="77777777" w:rsidR="00274775" w:rsidRDefault="00000000">
            <w:pPr>
              <w:spacing w:after="60"/>
            </w:pPr>
            <w:r>
              <w:rPr>
                <w:rFonts w:ascii="Calibri" w:hAnsi="Calibri"/>
                <w:sz w:val="21"/>
              </w:rPr>
              <w:t>Free Edition (Serverless-only, quota-limited); producer runs bounded/finite, never continuous</w:t>
            </w:r>
          </w:p>
        </w:tc>
      </w:tr>
    </w:tbl>
    <w:p w14:paraId="307AFFED" w14:textId="77777777" w:rsidR="00274775" w:rsidRDefault="00274775">
      <w:pPr>
        <w:spacing w:before="200"/>
      </w:pPr>
    </w:p>
    <w:p w14:paraId="79B900C9" w14:textId="77777777" w:rsidR="00274775" w:rsidRDefault="00000000">
      <w:pPr>
        <w:spacing w:before="560" w:after="280"/>
      </w:pPr>
      <w:r>
        <w:rPr>
          <w:rFonts w:ascii="Calibri" w:hAnsi="Calibri"/>
          <w:b/>
          <w:color w:val="2E75B6"/>
          <w:sz w:val="52"/>
        </w:rPr>
        <w:t>The one structural difference worth leading with in an interview</w:t>
      </w:r>
    </w:p>
    <w:p w14:paraId="4960091E" w14:textId="77777777" w:rsidR="00274775" w:rsidRDefault="00000000">
      <w:pPr>
        <w:spacing w:after="160"/>
      </w:pPr>
      <w:r>
        <w:rPr>
          <w:rFonts w:ascii="Calibri" w:hAnsi="Calibri"/>
          <w:color w:val="1A1A1A"/>
        </w:rPr>
        <w:t xml:space="preserve">On AWS, Gold lives in S3 as Parquet and has to be </w:t>
      </w:r>
      <w:proofErr w:type="spellStart"/>
      <w:r>
        <w:rPr>
          <w:rFonts w:ascii="Calibri" w:hAnsi="Calibri"/>
          <w:color w:val="1A1A1A"/>
        </w:rPr>
        <w:t>COPY'd</w:t>
      </w:r>
      <w:proofErr w:type="spellEnd"/>
      <w:r>
        <w:rPr>
          <w:rFonts w:ascii="Calibri" w:hAnsi="Calibri"/>
          <w:color w:val="1A1A1A"/>
        </w:rPr>
        <w:t xml:space="preserve"> into a genuinely separate system (Redshift) before it behaves like a </w:t>
      </w:r>
      <w:proofErr w:type="spellStart"/>
      <w:r>
        <w:rPr>
          <w:rFonts w:ascii="Calibri" w:hAnsi="Calibri"/>
          <w:color w:val="1A1A1A"/>
        </w:rPr>
        <w:t>queryable</w:t>
      </w:r>
      <w:proofErr w:type="spellEnd"/>
      <w:r>
        <w:rPr>
          <w:rFonts w:ascii="Calibri" w:hAnsi="Calibri"/>
          <w:color w:val="1A1A1A"/>
        </w:rPr>
        <w:t xml:space="preserve"> warehouse — two physical copies of the data exist, and they can drift out of sync if a COPY is missed. On Databricks, Unity Catalog + Delta Lake already provide ACID transactions, governance, and SQL-</w:t>
      </w:r>
      <w:proofErr w:type="spellStart"/>
      <w:r>
        <w:rPr>
          <w:rFonts w:ascii="Calibri" w:hAnsi="Calibri"/>
          <w:color w:val="1A1A1A"/>
        </w:rPr>
        <w:t>queryable</w:t>
      </w:r>
      <w:proofErr w:type="spellEnd"/>
      <w:r>
        <w:rPr>
          <w:rFonts w:ascii="Calibri" w:hAnsi="Calibri"/>
          <w:color w:val="1A1A1A"/>
        </w:rPr>
        <w:t xml:space="preserve"> access directly on the same files the Spark pipeline writes — there is no second system to load into. This single fact explains why AWS needed a whole additional phase (Phase 6: Redshift) that </w:t>
      </w:r>
      <w:proofErr w:type="spellStart"/>
      <w:r>
        <w:rPr>
          <w:rFonts w:ascii="Calibri" w:hAnsi="Calibri"/>
          <w:color w:val="1A1A1A"/>
        </w:rPr>
        <w:t>Databricks's</w:t>
      </w:r>
      <w:proofErr w:type="spellEnd"/>
      <w:r>
        <w:rPr>
          <w:rFonts w:ascii="Calibri" w:hAnsi="Calibri"/>
          <w:color w:val="1A1A1A"/>
        </w:rPr>
        <w:t xml:space="preserve"> equivalent track never required.</w:t>
      </w:r>
    </w:p>
    <w:p w14:paraId="044AA589" w14:textId="77777777" w:rsidR="00274775" w:rsidRDefault="00000000">
      <w:pPr>
        <w:spacing w:before="560" w:after="280"/>
      </w:pPr>
      <w:r>
        <w:rPr>
          <w:rFonts w:ascii="Calibri" w:hAnsi="Calibri"/>
          <w:b/>
          <w:color w:val="2E75B6"/>
          <w:sz w:val="52"/>
        </w:rPr>
        <w:t>Repeated bug class, three different fixes</w:t>
      </w:r>
    </w:p>
    <w:p w14:paraId="3EBD1FE2" w14:textId="77777777" w:rsidR="00274775" w:rsidRDefault="00000000">
      <w:pPr>
        <w:spacing w:after="160"/>
      </w:pPr>
      <w:r>
        <w:rPr>
          <w:rFonts w:ascii="Calibri" w:hAnsi="Calibri"/>
          <w:color w:val="1A1A1A"/>
        </w:rPr>
        <w:t>The same underlying problem — a dimension table's first-arriving row was a CDC stream where one user could legitimately appear more than once, and downstream aggregates assumed one row per key — surfaced three separate times across this project, each time requiring a fix specific to the platform it was found on:</w:t>
      </w:r>
    </w:p>
    <w:p w14:paraId="787CF3E5" w14:textId="77777777" w:rsidR="00274775" w:rsidRDefault="00000000">
      <w:pPr>
        <w:pStyle w:val="ListBullet"/>
        <w:spacing w:after="80"/>
      </w:pPr>
      <w:r>
        <w:rPr>
          <w:rFonts w:ascii="Calibri" w:hAnsi="Calibri"/>
        </w:rPr>
        <w:lastRenderedPageBreak/>
        <w:t>Local &amp; AWS Glue (</w:t>
      </w:r>
      <w:proofErr w:type="spellStart"/>
      <w:r>
        <w:rPr>
          <w:rFonts w:ascii="Calibri" w:hAnsi="Calibri"/>
        </w:rPr>
        <w:t>gold_user_profile_enriched</w:t>
      </w:r>
      <w:proofErr w:type="spellEnd"/>
      <w:r>
        <w:rPr>
          <w:rFonts w:ascii="Calibri" w:hAnsi="Calibri"/>
        </w:rPr>
        <w:t xml:space="preserve">): no </w:t>
      </w:r>
      <w:proofErr w:type="spellStart"/>
      <w:r>
        <w:rPr>
          <w:rFonts w:ascii="Calibri" w:hAnsi="Calibri"/>
        </w:rPr>
        <w:t>dedup</w:t>
      </w:r>
      <w:proofErr w:type="spellEnd"/>
      <w:r>
        <w:rPr>
          <w:rFonts w:ascii="Calibri" w:hAnsi="Calibri"/>
        </w:rPr>
        <w:t xml:space="preserve"> on a flat select over a CDC-style </w:t>
      </w:r>
      <w:proofErr w:type="spellStart"/>
      <w:r>
        <w:rPr>
          <w:rFonts w:ascii="Calibri" w:hAnsi="Calibri"/>
        </w:rPr>
        <w:t>user_profile</w:t>
      </w:r>
      <w:proofErr w:type="spellEnd"/>
      <w:r>
        <w:rPr>
          <w:rFonts w:ascii="Calibri" w:hAnsi="Calibri"/>
        </w:rPr>
        <w:t xml:space="preserve"> source. Fixed with a </w:t>
      </w:r>
      <w:proofErr w:type="spellStart"/>
      <w:r>
        <w:rPr>
          <w:rFonts w:ascii="Calibri" w:hAnsi="Calibri"/>
        </w:rPr>
        <w:t>row_</w:t>
      </w:r>
      <w:proofErr w:type="gramStart"/>
      <w:r>
        <w:rPr>
          <w:rFonts w:ascii="Calibri" w:hAnsi="Calibri"/>
        </w:rPr>
        <w:t>number</w:t>
      </w:r>
      <w:proofErr w:type="spellEnd"/>
      <w:r>
        <w:rPr>
          <w:rFonts w:ascii="Calibri" w:hAnsi="Calibri"/>
        </w:rPr>
        <w:t>(</w:t>
      </w:r>
      <w:proofErr w:type="gramEnd"/>
      <w:r>
        <w:rPr>
          <w:rFonts w:ascii="Calibri" w:hAnsi="Calibri"/>
        </w:rPr>
        <w:t>) window keyed on latest timestamp.</w:t>
      </w:r>
    </w:p>
    <w:p w14:paraId="6CA58D60" w14:textId="77777777" w:rsidR="00274775" w:rsidRDefault="00000000">
      <w:pPr>
        <w:pStyle w:val="ListBullet"/>
        <w:spacing w:after="80"/>
      </w:pPr>
      <w:r>
        <w:rPr>
          <w:rFonts w:ascii="Calibri" w:hAnsi="Calibri"/>
        </w:rPr>
        <w:t>Databricks (</w:t>
      </w:r>
      <w:proofErr w:type="spellStart"/>
      <w:r>
        <w:rPr>
          <w:rFonts w:ascii="Calibri" w:hAnsi="Calibri"/>
        </w:rPr>
        <w:t>silver.user_profile</w:t>
      </w:r>
      <w:proofErr w:type="spellEnd"/>
      <w:r>
        <w:rPr>
          <w:rFonts w:ascii="Calibri" w:hAnsi="Calibri"/>
        </w:rPr>
        <w:t xml:space="preserve">): same root issue, fixed upstream and more cleanly — MERGE INTO at Silver guarantees exactly one row per user before Gold ever reads it, so no Gold-layer </w:t>
      </w:r>
      <w:proofErr w:type="spellStart"/>
      <w:r>
        <w:rPr>
          <w:rFonts w:ascii="Calibri" w:hAnsi="Calibri"/>
        </w:rPr>
        <w:t>dedup</w:t>
      </w:r>
      <w:proofErr w:type="spellEnd"/>
      <w:r>
        <w:rPr>
          <w:rFonts w:ascii="Calibri" w:hAnsi="Calibri"/>
        </w:rPr>
        <w:t xml:space="preserve"> is needed at all.</w:t>
      </w:r>
    </w:p>
    <w:p w14:paraId="262D9F60" w14:textId="77777777" w:rsidR="00274775" w:rsidRDefault="00000000">
      <w:pPr>
        <w:pStyle w:val="ListBullet"/>
        <w:spacing w:after="80"/>
      </w:pPr>
      <w:r>
        <w:rPr>
          <w:rFonts w:ascii="Calibri" w:hAnsi="Calibri"/>
        </w:rPr>
        <w:t xml:space="preserve">AWS Redshift </w:t>
      </w:r>
      <w:proofErr w:type="spellStart"/>
      <w:r>
        <w:rPr>
          <w:rFonts w:ascii="Calibri" w:hAnsi="Calibri"/>
        </w:rPr>
        <w:t>dbt</w:t>
      </w:r>
      <w:proofErr w:type="spellEnd"/>
      <w:r>
        <w:rPr>
          <w:rFonts w:ascii="Calibri" w:hAnsi="Calibri"/>
        </w:rPr>
        <w:t xml:space="preserve"> (</w:t>
      </w:r>
      <w:proofErr w:type="spellStart"/>
      <w:r>
        <w:rPr>
          <w:rFonts w:ascii="Calibri" w:hAnsi="Calibri"/>
        </w:rPr>
        <w:t>dim_</w:t>
      </w:r>
      <w:proofErr w:type="gramStart"/>
      <w:r>
        <w:rPr>
          <w:rFonts w:ascii="Calibri" w:hAnsi="Calibri"/>
        </w:rPr>
        <w:t>user.effective</w:t>
      </w:r>
      <w:proofErr w:type="gramEnd"/>
      <w:r>
        <w:rPr>
          <w:rFonts w:ascii="Calibri" w:hAnsi="Calibri"/>
        </w:rPr>
        <w:t>_date</w:t>
      </w:r>
      <w:proofErr w:type="spellEnd"/>
      <w:r>
        <w:rPr>
          <w:rFonts w:ascii="Calibri" w:hAnsi="Calibri"/>
        </w:rPr>
        <w:t xml:space="preserve">): a related but distinct manifestation — the dimension's first SCD2 version was stamped with the ETL's load timestamp rather than an open-ended business-validity date, causing every same-day fact row to silently fail the SCD2 join. Fixed in </w:t>
      </w:r>
      <w:proofErr w:type="spellStart"/>
      <w:r>
        <w:rPr>
          <w:rFonts w:ascii="Calibri" w:hAnsi="Calibri"/>
        </w:rPr>
        <w:t>stg_dim_user</w:t>
      </w:r>
      <w:proofErr w:type="spellEnd"/>
      <w:r>
        <w:rPr>
          <w:rFonts w:ascii="Calibri" w:hAnsi="Calibri"/>
        </w:rPr>
        <w:t xml:space="preserve"> with an </w:t>
      </w:r>
      <w:proofErr w:type="spellStart"/>
      <w:r>
        <w:rPr>
          <w:rFonts w:ascii="Calibri" w:hAnsi="Calibri"/>
        </w:rPr>
        <w:t>effective_date_for_join</w:t>
      </w:r>
      <w:proofErr w:type="spellEnd"/>
      <w:r>
        <w:rPr>
          <w:rFonts w:ascii="Calibri" w:hAnsi="Calibri"/>
        </w:rPr>
        <w:t xml:space="preserve"> column.</w:t>
      </w:r>
    </w:p>
    <w:p w14:paraId="3F47F753" w14:textId="77777777" w:rsidR="00274775" w:rsidRDefault="00000000">
      <w:pPr>
        <w:pBdr>
          <w:left w:val="single" w:sz="18" w:space="8" w:color="2E75B6"/>
        </w:pBdr>
        <w:spacing w:before="240" w:after="400"/>
        <w:ind w:left="360"/>
      </w:pPr>
      <w:r>
        <w:rPr>
          <w:rFonts w:ascii="Calibri" w:hAnsi="Calibri"/>
          <w:color w:val="333333"/>
        </w:rPr>
        <w:t>Naming this as one story — "the same architectural gap, found three times, fixed three different ways depending on what was actually available downstream" — is stronger than three unrelated bug-fix anecdotes.</w:t>
      </w:r>
    </w:p>
    <w:p w14:paraId="46E7EFA3" w14:textId="77777777" w:rsidR="00274775" w:rsidRDefault="00000000">
      <w:r>
        <w:br w:type="page"/>
      </w:r>
    </w:p>
    <w:p w14:paraId="4AE11ACE" w14:textId="77777777" w:rsidR="00274775" w:rsidRDefault="00000000">
      <w:pPr>
        <w:pBdr>
          <w:bottom w:val="single" w:sz="8" w:space="4" w:color="2E75B6"/>
        </w:pBdr>
        <w:spacing w:before="240" w:after="480"/>
      </w:pPr>
      <w:r>
        <w:rPr>
          <w:rFonts w:ascii="Calibri" w:hAnsi="Calibri"/>
          <w:b/>
          <w:color w:val="1F3864"/>
          <w:sz w:val="64"/>
        </w:rPr>
        <w:lastRenderedPageBreak/>
        <w:t>3. Step-by-Step Build Process</w:t>
      </w:r>
    </w:p>
    <w:p w14:paraId="38CE1B77" w14:textId="77777777" w:rsidR="00274775" w:rsidRDefault="00000000">
      <w:pPr>
        <w:spacing w:after="160"/>
      </w:pPr>
      <w:r>
        <w:rPr>
          <w:rFonts w:ascii="Calibri" w:hAnsi="Calibri"/>
          <w:color w:val="1A1A1A"/>
        </w:rPr>
        <w:t>This chapter is the condensed build log — phase by phase, what was built, what broke, and how it was verified. Full reasoning for every decision referenced here lives in decisions.md; this chapter is the narrative spine.</w:t>
      </w:r>
    </w:p>
    <w:p w14:paraId="56007AC6" w14:textId="77777777" w:rsidR="00274775" w:rsidRDefault="00000000">
      <w:pPr>
        <w:spacing w:before="560" w:after="280"/>
      </w:pPr>
      <w:r>
        <w:rPr>
          <w:rFonts w:ascii="Calibri" w:hAnsi="Calibri"/>
          <w:b/>
          <w:color w:val="2E75B6"/>
          <w:sz w:val="52"/>
        </w:rPr>
        <w:t>3.1 Local track (Phases 1–4)</w:t>
      </w:r>
    </w:p>
    <w:tbl>
      <w:tblPr>
        <w:tblW w:w="0" w:type="auto"/>
        <w:jc w:val="center"/>
        <w:tblLook w:val="04A0" w:firstRow="1" w:lastRow="0" w:firstColumn="1" w:lastColumn="0" w:noHBand="0" w:noVBand="1"/>
      </w:tblPr>
      <w:tblGrid>
        <w:gridCol w:w="1400"/>
        <w:gridCol w:w="7960"/>
      </w:tblGrid>
      <w:tr w:rsidR="00274775" w14:paraId="1665F91C" w14:textId="77777777">
        <w:trPr>
          <w:jc w:val="center"/>
        </w:trPr>
        <w:tc>
          <w:tcPr>
            <w:tcW w:w="1400" w:type="dxa"/>
            <w:tcBorders>
              <w:top w:val="single" w:sz="2" w:space="0" w:color="B9C6D9"/>
              <w:left w:val="single" w:sz="2" w:space="0" w:color="B9C6D9"/>
              <w:bottom w:val="single" w:sz="2" w:space="0" w:color="B9C6D9"/>
              <w:right w:val="single" w:sz="2" w:space="0" w:color="B9C6D9"/>
            </w:tcBorders>
            <w:shd w:val="clear" w:color="auto" w:fill="1F3864"/>
          </w:tcPr>
          <w:p w14:paraId="6B72CFE6" w14:textId="77777777" w:rsidR="00274775" w:rsidRDefault="00000000">
            <w:r>
              <w:rPr>
                <w:rFonts w:ascii="Calibri" w:hAnsi="Calibri"/>
                <w:b/>
                <w:color w:val="FFFFFF"/>
                <w:sz w:val="21"/>
              </w:rPr>
              <w:t>Phase</w:t>
            </w:r>
          </w:p>
        </w:tc>
        <w:tc>
          <w:tcPr>
            <w:tcW w:w="7960" w:type="dxa"/>
            <w:tcBorders>
              <w:top w:val="single" w:sz="2" w:space="0" w:color="B9C6D9"/>
              <w:left w:val="single" w:sz="2" w:space="0" w:color="B9C6D9"/>
              <w:bottom w:val="single" w:sz="2" w:space="0" w:color="B9C6D9"/>
              <w:right w:val="single" w:sz="2" w:space="0" w:color="B9C6D9"/>
            </w:tcBorders>
            <w:shd w:val="clear" w:color="auto" w:fill="1F3864"/>
          </w:tcPr>
          <w:p w14:paraId="2E9E9FD2" w14:textId="77777777" w:rsidR="00274775" w:rsidRDefault="00000000">
            <w:r>
              <w:rPr>
                <w:rFonts w:ascii="Calibri" w:hAnsi="Calibri"/>
                <w:b/>
                <w:color w:val="FFFFFF"/>
                <w:sz w:val="21"/>
              </w:rPr>
              <w:t>What was built</w:t>
            </w:r>
          </w:p>
        </w:tc>
      </w:tr>
      <w:tr w:rsidR="00274775" w14:paraId="2B634169" w14:textId="77777777">
        <w:trPr>
          <w:jc w:val="center"/>
        </w:trPr>
        <w:tc>
          <w:tcPr>
            <w:tcW w:w="1400" w:type="dxa"/>
            <w:tcBorders>
              <w:top w:val="single" w:sz="2" w:space="0" w:color="B9C6D9"/>
              <w:left w:val="single" w:sz="2" w:space="0" w:color="B9C6D9"/>
              <w:bottom w:val="single" w:sz="2" w:space="0" w:color="B9C6D9"/>
              <w:right w:val="single" w:sz="2" w:space="0" w:color="B9C6D9"/>
            </w:tcBorders>
          </w:tcPr>
          <w:p w14:paraId="61125507" w14:textId="77777777" w:rsidR="00274775" w:rsidRDefault="00000000">
            <w:r>
              <w:rPr>
                <w:rFonts w:ascii="Calibri" w:hAnsi="Calibri"/>
                <w:sz w:val="21"/>
              </w:rPr>
              <w:t>Phase 1</w:t>
            </w:r>
          </w:p>
        </w:tc>
        <w:tc>
          <w:tcPr>
            <w:tcW w:w="7960" w:type="dxa"/>
            <w:tcBorders>
              <w:top w:val="single" w:sz="2" w:space="0" w:color="B9C6D9"/>
              <w:left w:val="single" w:sz="2" w:space="0" w:color="B9C6D9"/>
              <w:bottom w:val="single" w:sz="2" w:space="0" w:color="B9C6D9"/>
              <w:right w:val="single" w:sz="2" w:space="0" w:color="B9C6D9"/>
            </w:tcBorders>
          </w:tcPr>
          <w:p w14:paraId="1754CDAE" w14:textId="77777777" w:rsidR="00274775" w:rsidRDefault="00000000">
            <w:proofErr w:type="spellStart"/>
            <w:r>
              <w:rPr>
                <w:rFonts w:ascii="Calibri" w:hAnsi="Calibri"/>
                <w:sz w:val="21"/>
              </w:rPr>
              <w:t>StreamBus</w:t>
            </w:r>
            <w:proofErr w:type="spellEnd"/>
            <w:r>
              <w:rPr>
                <w:rFonts w:ascii="Calibri" w:hAnsi="Calibri"/>
                <w:sz w:val="21"/>
              </w:rPr>
              <w:t xml:space="preserve"> (in-process broker), wearable simulator (5 record types, weighted distribution, 5% injected bad data), Bronze writer (Hive-partitioned Snappy Parquet).</w:t>
            </w:r>
          </w:p>
        </w:tc>
      </w:tr>
      <w:tr w:rsidR="00274775" w14:paraId="42CA2EB4" w14:textId="77777777">
        <w:trPr>
          <w:jc w:val="center"/>
        </w:trPr>
        <w:tc>
          <w:tcPr>
            <w:tcW w:w="1400" w:type="dxa"/>
            <w:tcBorders>
              <w:top w:val="single" w:sz="2" w:space="0" w:color="B9C6D9"/>
              <w:left w:val="single" w:sz="2" w:space="0" w:color="B9C6D9"/>
              <w:bottom w:val="single" w:sz="2" w:space="0" w:color="B9C6D9"/>
              <w:right w:val="single" w:sz="2" w:space="0" w:color="B9C6D9"/>
            </w:tcBorders>
            <w:shd w:val="clear" w:color="auto" w:fill="EEF3FA"/>
          </w:tcPr>
          <w:p w14:paraId="19D131A3" w14:textId="77777777" w:rsidR="00274775" w:rsidRDefault="00000000">
            <w:r>
              <w:rPr>
                <w:rFonts w:ascii="Calibri" w:hAnsi="Calibri"/>
                <w:sz w:val="21"/>
              </w:rPr>
              <w:t>Phase 2</w:t>
            </w:r>
          </w:p>
        </w:tc>
        <w:tc>
          <w:tcPr>
            <w:tcW w:w="7960" w:type="dxa"/>
            <w:tcBorders>
              <w:top w:val="single" w:sz="2" w:space="0" w:color="B9C6D9"/>
              <w:left w:val="single" w:sz="2" w:space="0" w:color="B9C6D9"/>
              <w:bottom w:val="single" w:sz="2" w:space="0" w:color="B9C6D9"/>
              <w:right w:val="single" w:sz="2" w:space="0" w:color="B9C6D9"/>
            </w:tcBorders>
            <w:shd w:val="clear" w:color="auto" w:fill="EEF3FA"/>
          </w:tcPr>
          <w:p w14:paraId="096A018D" w14:textId="77777777" w:rsidR="00274775" w:rsidRDefault="00000000">
            <w:r>
              <w:rPr>
                <w:rFonts w:ascii="Calibri" w:hAnsi="Calibri"/>
                <w:sz w:val="21"/>
              </w:rPr>
              <w:t xml:space="preserve">Five reference CSVs generated: </w:t>
            </w:r>
            <w:proofErr w:type="spellStart"/>
            <w:r>
              <w:rPr>
                <w:rFonts w:ascii="Calibri" w:hAnsi="Calibri"/>
                <w:sz w:val="21"/>
              </w:rPr>
              <w:t>user_profiles</w:t>
            </w:r>
            <w:proofErr w:type="spellEnd"/>
            <w:r>
              <w:rPr>
                <w:rFonts w:ascii="Calibri" w:hAnsi="Calibri"/>
                <w:sz w:val="21"/>
              </w:rPr>
              <w:t xml:space="preserve"> (50 users), </w:t>
            </w:r>
            <w:proofErr w:type="spellStart"/>
            <w:r>
              <w:rPr>
                <w:rFonts w:ascii="Calibri" w:hAnsi="Calibri"/>
                <w:sz w:val="21"/>
              </w:rPr>
              <w:t>gym_master</w:t>
            </w:r>
            <w:proofErr w:type="spellEnd"/>
            <w:r>
              <w:rPr>
                <w:rFonts w:ascii="Calibri" w:hAnsi="Calibri"/>
                <w:sz w:val="21"/>
              </w:rPr>
              <w:t xml:space="preserve"> (5 gyms), </w:t>
            </w:r>
            <w:proofErr w:type="spellStart"/>
            <w:r>
              <w:rPr>
                <w:rFonts w:ascii="Calibri" w:hAnsi="Calibri"/>
                <w:sz w:val="21"/>
              </w:rPr>
              <w:t>workout_catalog</w:t>
            </w:r>
            <w:proofErr w:type="spellEnd"/>
            <w:r>
              <w:rPr>
                <w:rFonts w:ascii="Calibri" w:hAnsi="Calibri"/>
                <w:sz w:val="21"/>
              </w:rPr>
              <w:t xml:space="preserve"> (MET values), </w:t>
            </w:r>
            <w:proofErr w:type="spellStart"/>
            <w:r>
              <w:rPr>
                <w:rFonts w:ascii="Calibri" w:hAnsi="Calibri"/>
                <w:sz w:val="21"/>
              </w:rPr>
              <w:t>medical_conditions</w:t>
            </w:r>
            <w:proofErr w:type="spellEnd"/>
            <w:r>
              <w:rPr>
                <w:rFonts w:ascii="Calibri" w:hAnsi="Calibri"/>
                <w:sz w:val="21"/>
              </w:rPr>
              <w:t xml:space="preserve"> (risk modifiers), </w:t>
            </w:r>
            <w:proofErr w:type="spellStart"/>
            <w:r>
              <w:rPr>
                <w:rFonts w:ascii="Calibri" w:hAnsi="Calibri"/>
                <w:sz w:val="21"/>
              </w:rPr>
              <w:t>date_dimension</w:t>
            </w:r>
            <w:proofErr w:type="spellEnd"/>
            <w:r>
              <w:rPr>
                <w:rFonts w:ascii="Calibri" w:hAnsi="Calibri"/>
                <w:sz w:val="21"/>
              </w:rPr>
              <w:t xml:space="preserve"> (365 rows).</w:t>
            </w:r>
          </w:p>
        </w:tc>
      </w:tr>
      <w:tr w:rsidR="00274775" w14:paraId="719083FC" w14:textId="77777777">
        <w:trPr>
          <w:jc w:val="center"/>
        </w:trPr>
        <w:tc>
          <w:tcPr>
            <w:tcW w:w="1400" w:type="dxa"/>
            <w:tcBorders>
              <w:top w:val="single" w:sz="2" w:space="0" w:color="B9C6D9"/>
              <w:left w:val="single" w:sz="2" w:space="0" w:color="B9C6D9"/>
              <w:bottom w:val="single" w:sz="2" w:space="0" w:color="B9C6D9"/>
              <w:right w:val="single" w:sz="2" w:space="0" w:color="B9C6D9"/>
            </w:tcBorders>
          </w:tcPr>
          <w:p w14:paraId="616E76DF" w14:textId="77777777" w:rsidR="00274775" w:rsidRDefault="00000000">
            <w:r>
              <w:rPr>
                <w:rFonts w:ascii="Calibri" w:hAnsi="Calibri"/>
                <w:sz w:val="21"/>
              </w:rPr>
              <w:t>Phase 3</w:t>
            </w:r>
          </w:p>
        </w:tc>
        <w:tc>
          <w:tcPr>
            <w:tcW w:w="7960" w:type="dxa"/>
            <w:tcBorders>
              <w:top w:val="single" w:sz="2" w:space="0" w:color="B9C6D9"/>
              <w:left w:val="single" w:sz="2" w:space="0" w:color="B9C6D9"/>
              <w:bottom w:val="single" w:sz="2" w:space="0" w:color="B9C6D9"/>
              <w:right w:val="single" w:sz="2" w:space="0" w:color="B9C6D9"/>
            </w:tcBorders>
          </w:tcPr>
          <w:p w14:paraId="65D32DCA" w14:textId="77777777" w:rsidR="00274775" w:rsidRDefault="00000000">
            <w:r>
              <w:rPr>
                <w:rFonts w:ascii="Calibri" w:hAnsi="Calibri"/>
                <w:sz w:val="21"/>
              </w:rPr>
              <w:t>Bronze → Silver: validation_rules.py (dispatch-</w:t>
            </w:r>
            <w:proofErr w:type="spellStart"/>
            <w:r>
              <w:rPr>
                <w:rFonts w:ascii="Calibri" w:hAnsi="Calibri"/>
                <w:sz w:val="21"/>
              </w:rPr>
              <w:t>dict</w:t>
            </w:r>
            <w:proofErr w:type="spellEnd"/>
            <w:r>
              <w:rPr>
                <w:rFonts w:ascii="Calibri" w:hAnsi="Calibri"/>
                <w:sz w:val="21"/>
              </w:rPr>
              <w:t xml:space="preserve"> pattern, physiologically grounded thresholds — HR 30–220bpm, HRV&gt;0, sleep 0–16hrs, RPE 1–10), bronze_to_silver.py (</w:t>
            </w:r>
            <w:proofErr w:type="spellStart"/>
            <w:r>
              <w:rPr>
                <w:rFonts w:ascii="Calibri" w:hAnsi="Calibri"/>
                <w:sz w:val="21"/>
              </w:rPr>
              <w:t>dedup</w:t>
            </w:r>
            <w:proofErr w:type="spellEnd"/>
            <w:r>
              <w:rPr>
                <w:rFonts w:ascii="Calibri" w:hAnsi="Calibri"/>
                <w:sz w:val="21"/>
              </w:rPr>
              <w:t>, type-cast with sentinel fill, validate, split valid/quarantine, enrich via reference joins). Hit and fixed a JAVA_GATEWAY_EXITED error (Java/Hadoop misconfigured on Windows) independently.</w:t>
            </w:r>
          </w:p>
        </w:tc>
      </w:tr>
      <w:tr w:rsidR="00274775" w14:paraId="34B72C6B" w14:textId="77777777">
        <w:trPr>
          <w:jc w:val="center"/>
        </w:trPr>
        <w:tc>
          <w:tcPr>
            <w:tcW w:w="1400" w:type="dxa"/>
            <w:tcBorders>
              <w:top w:val="single" w:sz="2" w:space="0" w:color="B9C6D9"/>
              <w:left w:val="single" w:sz="2" w:space="0" w:color="B9C6D9"/>
              <w:bottom w:val="single" w:sz="2" w:space="0" w:color="B9C6D9"/>
              <w:right w:val="single" w:sz="2" w:space="0" w:color="B9C6D9"/>
            </w:tcBorders>
            <w:shd w:val="clear" w:color="auto" w:fill="EEF3FA"/>
          </w:tcPr>
          <w:p w14:paraId="50244013" w14:textId="77777777" w:rsidR="00274775" w:rsidRDefault="00000000">
            <w:r>
              <w:rPr>
                <w:rFonts w:ascii="Calibri" w:hAnsi="Calibri"/>
                <w:sz w:val="21"/>
              </w:rPr>
              <w:t>Phase 4</w:t>
            </w:r>
          </w:p>
        </w:tc>
        <w:tc>
          <w:tcPr>
            <w:tcW w:w="7960" w:type="dxa"/>
            <w:tcBorders>
              <w:top w:val="single" w:sz="2" w:space="0" w:color="B9C6D9"/>
              <w:left w:val="single" w:sz="2" w:space="0" w:color="B9C6D9"/>
              <w:bottom w:val="single" w:sz="2" w:space="0" w:color="B9C6D9"/>
              <w:right w:val="single" w:sz="2" w:space="0" w:color="B9C6D9"/>
            </w:tcBorders>
            <w:shd w:val="clear" w:color="auto" w:fill="EEF3FA"/>
          </w:tcPr>
          <w:p w14:paraId="19BAF78A" w14:textId="77777777" w:rsidR="00274775" w:rsidRDefault="00000000">
            <w:r>
              <w:rPr>
                <w:rFonts w:ascii="Calibri" w:hAnsi="Calibri"/>
                <w:sz w:val="21"/>
              </w:rPr>
              <w:t xml:space="preserve">Silver → Gold: fatigue score, recovery readiness, overtraining flag, workout consistency, community analytics — re-validated against the real </w:t>
            </w:r>
            <w:proofErr w:type="gramStart"/>
            <w:r>
              <w:rPr>
                <w:rFonts w:ascii="Calibri" w:hAnsi="Calibri"/>
                <w:sz w:val="21"/>
              </w:rPr>
              <w:t>Silver</w:t>
            </w:r>
            <w:proofErr w:type="gramEnd"/>
            <w:r>
              <w:rPr>
                <w:rFonts w:ascii="Calibri" w:hAnsi="Calibri"/>
                <w:sz w:val="21"/>
              </w:rPr>
              <w:t xml:space="preserve"> schema rather than reused from an earlier unvalidated draft.</w:t>
            </w:r>
          </w:p>
        </w:tc>
      </w:tr>
    </w:tbl>
    <w:p w14:paraId="722FE30E" w14:textId="77777777" w:rsidR="00274775" w:rsidRDefault="00274775">
      <w:pPr>
        <w:spacing w:before="200"/>
      </w:pPr>
    </w:p>
    <w:p w14:paraId="3226764A" w14:textId="77777777" w:rsidR="00274775" w:rsidRDefault="00000000">
      <w:pPr>
        <w:spacing w:after="160"/>
      </w:pPr>
      <w:r>
        <w:rPr>
          <w:rFonts w:ascii="Calibri" w:hAnsi="Calibri"/>
          <w:color w:val="1A1A1A"/>
        </w:rPr>
        <w:t>Phases 7–9 (</w:t>
      </w:r>
      <w:proofErr w:type="spellStart"/>
      <w:r>
        <w:rPr>
          <w:rFonts w:ascii="Calibri" w:hAnsi="Calibri"/>
          <w:color w:val="1A1A1A"/>
        </w:rPr>
        <w:t>dbt</w:t>
      </w:r>
      <w:proofErr w:type="spellEnd"/>
      <w:r>
        <w:rPr>
          <w:rFonts w:ascii="Calibri" w:hAnsi="Calibri"/>
          <w:color w:val="1A1A1A"/>
        </w:rPr>
        <w:t>/</w:t>
      </w:r>
      <w:proofErr w:type="spellStart"/>
      <w:r>
        <w:rPr>
          <w:rFonts w:ascii="Calibri" w:hAnsi="Calibri"/>
          <w:color w:val="1A1A1A"/>
        </w:rPr>
        <w:t>DuckDB</w:t>
      </w:r>
      <w:proofErr w:type="spellEnd"/>
      <w:r>
        <w:rPr>
          <w:rFonts w:ascii="Calibri" w:hAnsi="Calibri"/>
          <w:color w:val="1A1A1A"/>
        </w:rPr>
        <w:t xml:space="preserve">, </w:t>
      </w:r>
      <w:proofErr w:type="spellStart"/>
      <w:r>
        <w:rPr>
          <w:rFonts w:ascii="Calibri" w:hAnsi="Calibri"/>
          <w:color w:val="1A1A1A"/>
        </w:rPr>
        <w:t>Streamlit</w:t>
      </w:r>
      <w:proofErr w:type="spellEnd"/>
      <w:r>
        <w:rPr>
          <w:rFonts w:ascii="Calibri" w:hAnsi="Calibri"/>
          <w:color w:val="1A1A1A"/>
        </w:rPr>
        <w:t>, local orchestration) were deliberately not built — see §1.10 / decisions.md §1.10.</w:t>
      </w:r>
    </w:p>
    <w:p w14:paraId="0894C56F" w14:textId="77777777" w:rsidR="00274775" w:rsidRDefault="00000000">
      <w:pPr>
        <w:spacing w:before="560" w:after="280"/>
      </w:pPr>
      <w:r>
        <w:rPr>
          <w:rFonts w:ascii="Calibri" w:hAnsi="Calibri"/>
          <w:b/>
          <w:color w:val="2E75B6"/>
          <w:sz w:val="52"/>
        </w:rPr>
        <w:t>3.2 AWS track (Phases 5–7)</w:t>
      </w:r>
    </w:p>
    <w:tbl>
      <w:tblPr>
        <w:tblW w:w="0" w:type="auto"/>
        <w:jc w:val="center"/>
        <w:tblLook w:val="04A0" w:firstRow="1" w:lastRow="0" w:firstColumn="1" w:lastColumn="0" w:noHBand="0" w:noVBand="1"/>
      </w:tblPr>
      <w:tblGrid>
        <w:gridCol w:w="1400"/>
        <w:gridCol w:w="7960"/>
      </w:tblGrid>
      <w:tr w:rsidR="00274775" w14:paraId="3819F412" w14:textId="77777777">
        <w:trPr>
          <w:jc w:val="center"/>
        </w:trPr>
        <w:tc>
          <w:tcPr>
            <w:tcW w:w="1400" w:type="dxa"/>
            <w:tcBorders>
              <w:top w:val="single" w:sz="2" w:space="0" w:color="B9C6D9"/>
              <w:left w:val="single" w:sz="2" w:space="0" w:color="B9C6D9"/>
              <w:bottom w:val="single" w:sz="2" w:space="0" w:color="B9C6D9"/>
              <w:right w:val="single" w:sz="2" w:space="0" w:color="B9C6D9"/>
            </w:tcBorders>
            <w:shd w:val="clear" w:color="auto" w:fill="1F3864"/>
          </w:tcPr>
          <w:p w14:paraId="4E66F0EA" w14:textId="77777777" w:rsidR="00274775" w:rsidRDefault="00000000">
            <w:r>
              <w:rPr>
                <w:rFonts w:ascii="Calibri" w:hAnsi="Calibri"/>
                <w:b/>
                <w:color w:val="FFFFFF"/>
                <w:sz w:val="21"/>
              </w:rPr>
              <w:t>Phase</w:t>
            </w:r>
          </w:p>
        </w:tc>
        <w:tc>
          <w:tcPr>
            <w:tcW w:w="7960" w:type="dxa"/>
            <w:tcBorders>
              <w:top w:val="single" w:sz="2" w:space="0" w:color="B9C6D9"/>
              <w:left w:val="single" w:sz="2" w:space="0" w:color="B9C6D9"/>
              <w:bottom w:val="single" w:sz="2" w:space="0" w:color="B9C6D9"/>
              <w:right w:val="single" w:sz="2" w:space="0" w:color="B9C6D9"/>
            </w:tcBorders>
            <w:shd w:val="clear" w:color="auto" w:fill="1F3864"/>
          </w:tcPr>
          <w:p w14:paraId="5E3526AF" w14:textId="77777777" w:rsidR="00274775" w:rsidRDefault="00000000">
            <w:r>
              <w:rPr>
                <w:rFonts w:ascii="Calibri" w:hAnsi="Calibri"/>
                <w:b/>
                <w:color w:val="FFFFFF"/>
                <w:sz w:val="21"/>
              </w:rPr>
              <w:t>What was built</w:t>
            </w:r>
          </w:p>
        </w:tc>
      </w:tr>
      <w:tr w:rsidR="00274775" w14:paraId="1E617529" w14:textId="77777777">
        <w:trPr>
          <w:jc w:val="center"/>
        </w:trPr>
        <w:tc>
          <w:tcPr>
            <w:tcW w:w="1400" w:type="dxa"/>
            <w:tcBorders>
              <w:top w:val="single" w:sz="2" w:space="0" w:color="B9C6D9"/>
              <w:left w:val="single" w:sz="2" w:space="0" w:color="B9C6D9"/>
              <w:bottom w:val="single" w:sz="2" w:space="0" w:color="B9C6D9"/>
              <w:right w:val="single" w:sz="2" w:space="0" w:color="B9C6D9"/>
            </w:tcBorders>
          </w:tcPr>
          <w:p w14:paraId="56B530FA" w14:textId="77777777" w:rsidR="00274775" w:rsidRDefault="00000000">
            <w:r>
              <w:rPr>
                <w:rFonts w:ascii="Calibri" w:hAnsi="Calibri"/>
                <w:sz w:val="21"/>
              </w:rPr>
              <w:t>Phase 5</w:t>
            </w:r>
          </w:p>
        </w:tc>
        <w:tc>
          <w:tcPr>
            <w:tcW w:w="7960" w:type="dxa"/>
            <w:tcBorders>
              <w:top w:val="single" w:sz="2" w:space="0" w:color="B9C6D9"/>
              <w:left w:val="single" w:sz="2" w:space="0" w:color="B9C6D9"/>
              <w:bottom w:val="single" w:sz="2" w:space="0" w:color="B9C6D9"/>
              <w:right w:val="single" w:sz="2" w:space="0" w:color="B9C6D9"/>
            </w:tcBorders>
          </w:tcPr>
          <w:p w14:paraId="0024C9E1" w14:textId="77777777" w:rsidR="00274775" w:rsidRDefault="00000000">
            <w:r>
              <w:rPr>
                <w:rFonts w:ascii="Calibri" w:hAnsi="Calibri"/>
                <w:sz w:val="21"/>
              </w:rPr>
              <w:t xml:space="preserve">S3 bucket (fitness-streaming-nikil-2026), IAM reused from a prior retail project (retail-pipeline-dev, deliberately lacking </w:t>
            </w:r>
            <w:proofErr w:type="spellStart"/>
            <w:proofErr w:type="gramStart"/>
            <w:r>
              <w:rPr>
                <w:rFonts w:ascii="Calibri" w:hAnsi="Calibri"/>
                <w:sz w:val="21"/>
              </w:rPr>
              <w:t>iam:CreateRole</w:t>
            </w:r>
            <w:proofErr w:type="spellEnd"/>
            <w:proofErr w:type="gramEnd"/>
            <w:r>
              <w:rPr>
                <w:rFonts w:ascii="Calibri" w:hAnsi="Calibri"/>
                <w:sz w:val="21"/>
              </w:rPr>
              <w:t xml:space="preserve"> and ec</w:t>
            </w:r>
            <w:proofErr w:type="gramStart"/>
            <w:r>
              <w:rPr>
                <w:rFonts w:ascii="Calibri" w:hAnsi="Calibri"/>
                <w:sz w:val="21"/>
              </w:rPr>
              <w:t>2:AuthorizeSecurityGroupIngress</w:t>
            </w:r>
            <w:proofErr w:type="gramEnd"/>
            <w:r>
              <w:rPr>
                <w:rFonts w:ascii="Calibri" w:hAnsi="Calibri"/>
                <w:sz w:val="21"/>
              </w:rPr>
              <w:t xml:space="preserve">). </w:t>
            </w:r>
            <w:r>
              <w:rPr>
                <w:rFonts w:ascii="Calibri" w:hAnsi="Calibri"/>
                <w:sz w:val="21"/>
              </w:rPr>
              <w:lastRenderedPageBreak/>
              <w:t>Kinesis → Lambda → S3 Bronze built, tested with 100 records across 4 batches, verified, then torn down per cost discipline.</w:t>
            </w:r>
          </w:p>
        </w:tc>
      </w:tr>
      <w:tr w:rsidR="00274775" w14:paraId="7AE8F939" w14:textId="77777777">
        <w:trPr>
          <w:jc w:val="center"/>
        </w:trPr>
        <w:tc>
          <w:tcPr>
            <w:tcW w:w="1400" w:type="dxa"/>
            <w:tcBorders>
              <w:top w:val="single" w:sz="2" w:space="0" w:color="B9C6D9"/>
              <w:left w:val="single" w:sz="2" w:space="0" w:color="B9C6D9"/>
              <w:bottom w:val="single" w:sz="2" w:space="0" w:color="B9C6D9"/>
              <w:right w:val="single" w:sz="2" w:space="0" w:color="B9C6D9"/>
            </w:tcBorders>
            <w:shd w:val="clear" w:color="auto" w:fill="EEF3FA"/>
          </w:tcPr>
          <w:p w14:paraId="1BD8771F" w14:textId="77777777" w:rsidR="00274775" w:rsidRDefault="00000000">
            <w:r>
              <w:rPr>
                <w:rFonts w:ascii="Calibri" w:hAnsi="Calibri"/>
                <w:sz w:val="21"/>
              </w:rPr>
              <w:lastRenderedPageBreak/>
              <w:t>Phase 5 (Glue)</w:t>
            </w:r>
          </w:p>
        </w:tc>
        <w:tc>
          <w:tcPr>
            <w:tcW w:w="7960" w:type="dxa"/>
            <w:tcBorders>
              <w:top w:val="single" w:sz="2" w:space="0" w:color="B9C6D9"/>
              <w:left w:val="single" w:sz="2" w:space="0" w:color="B9C6D9"/>
              <w:bottom w:val="single" w:sz="2" w:space="0" w:color="B9C6D9"/>
              <w:right w:val="single" w:sz="2" w:space="0" w:color="B9C6D9"/>
            </w:tcBorders>
            <w:shd w:val="clear" w:color="auto" w:fill="EEF3FA"/>
          </w:tcPr>
          <w:p w14:paraId="5A5E9E3A" w14:textId="77777777" w:rsidR="00274775" w:rsidRDefault="00000000">
            <w:r>
              <w:rPr>
                <w:rFonts w:ascii="Calibri" w:hAnsi="Calibri"/>
                <w:sz w:val="21"/>
              </w:rPr>
              <w:t xml:space="preserve">Glue ETL jobs fitness-bronze-to-silver and fitness-silver-to-gold ported faithfully from Local. Both jobs verified SUCCEEDED via CLI </w:t>
            </w:r>
            <w:proofErr w:type="spellStart"/>
            <w:r>
              <w:rPr>
                <w:rFonts w:ascii="Calibri" w:hAnsi="Calibri"/>
                <w:sz w:val="21"/>
              </w:rPr>
              <w:t>JobRunId</w:t>
            </w:r>
            <w:proofErr w:type="spellEnd"/>
            <w:r>
              <w:rPr>
                <w:rFonts w:ascii="Calibri" w:hAnsi="Calibri"/>
                <w:sz w:val="21"/>
              </w:rPr>
              <w:t xml:space="preserve"> poll, not just trusted. Glue Crawler + Athena catalog </w:t>
            </w:r>
            <w:proofErr w:type="spellStart"/>
            <w:r>
              <w:rPr>
                <w:rFonts w:ascii="Calibri" w:hAnsi="Calibri"/>
                <w:sz w:val="21"/>
              </w:rPr>
              <w:t>fitness_streaming_db</w:t>
            </w:r>
            <w:proofErr w:type="spellEnd"/>
            <w:r>
              <w:rPr>
                <w:rFonts w:ascii="Calibri" w:hAnsi="Calibri"/>
                <w:sz w:val="21"/>
              </w:rPr>
              <w:t xml:space="preserve"> built; all 4 Gold tables crawled and </w:t>
            </w:r>
            <w:proofErr w:type="spellStart"/>
            <w:r>
              <w:rPr>
                <w:rFonts w:ascii="Calibri" w:hAnsi="Calibri"/>
                <w:sz w:val="21"/>
              </w:rPr>
              <w:t>queryable</w:t>
            </w:r>
            <w:proofErr w:type="spellEnd"/>
            <w:r>
              <w:rPr>
                <w:rFonts w:ascii="Calibri" w:hAnsi="Calibri"/>
                <w:sz w:val="21"/>
              </w:rPr>
              <w:t>.</w:t>
            </w:r>
          </w:p>
        </w:tc>
      </w:tr>
      <w:tr w:rsidR="00274775" w14:paraId="23149E88" w14:textId="77777777">
        <w:trPr>
          <w:jc w:val="center"/>
        </w:trPr>
        <w:tc>
          <w:tcPr>
            <w:tcW w:w="1400" w:type="dxa"/>
            <w:tcBorders>
              <w:top w:val="single" w:sz="2" w:space="0" w:color="B9C6D9"/>
              <w:left w:val="single" w:sz="2" w:space="0" w:color="B9C6D9"/>
              <w:bottom w:val="single" w:sz="2" w:space="0" w:color="B9C6D9"/>
              <w:right w:val="single" w:sz="2" w:space="0" w:color="B9C6D9"/>
            </w:tcBorders>
          </w:tcPr>
          <w:p w14:paraId="56ADFDF6" w14:textId="77777777" w:rsidR="00274775" w:rsidRDefault="00000000">
            <w:r>
              <w:rPr>
                <w:rFonts w:ascii="Calibri" w:hAnsi="Calibri"/>
                <w:sz w:val="21"/>
              </w:rPr>
              <w:t>Phase 6</w:t>
            </w:r>
          </w:p>
        </w:tc>
        <w:tc>
          <w:tcPr>
            <w:tcW w:w="7960" w:type="dxa"/>
            <w:tcBorders>
              <w:top w:val="single" w:sz="2" w:space="0" w:color="B9C6D9"/>
              <w:left w:val="single" w:sz="2" w:space="0" w:color="B9C6D9"/>
              <w:bottom w:val="single" w:sz="2" w:space="0" w:color="B9C6D9"/>
              <w:right w:val="single" w:sz="2" w:space="0" w:color="B9C6D9"/>
            </w:tcBorders>
          </w:tcPr>
          <w:p w14:paraId="6BF4A2C0" w14:textId="77777777" w:rsidR="00274775" w:rsidRDefault="00000000">
            <w:r>
              <w:rPr>
                <w:rFonts w:ascii="Calibri" w:hAnsi="Calibri"/>
                <w:sz w:val="21"/>
              </w:rPr>
              <w:t>Redshift Serverless (fitness-namespace / fitness-workgroup, 8 RPU). IAM role RedshiftS3ReadRole created via Console since retail-pipeline-dev correctly cannot create IAM roles. Star schema loaded from S3 Gold via COPY, including a SUPER-type nested column (</w:t>
            </w:r>
            <w:proofErr w:type="spellStart"/>
            <w:r>
              <w:rPr>
                <w:rFonts w:ascii="Calibri" w:hAnsi="Calibri"/>
                <w:sz w:val="21"/>
              </w:rPr>
              <w:t>muscle_group_breakdown</w:t>
            </w:r>
            <w:proofErr w:type="spellEnd"/>
            <w:r>
              <w:rPr>
                <w:rFonts w:ascii="Calibri" w:hAnsi="Calibri"/>
                <w:sz w:val="21"/>
              </w:rPr>
              <w:t xml:space="preserve">) loaded with SERIALIZETOJSON. SCD Type 2 schema scaffold added to </w:t>
            </w:r>
            <w:proofErr w:type="spellStart"/>
            <w:r>
              <w:rPr>
                <w:rFonts w:ascii="Calibri" w:hAnsi="Calibri"/>
                <w:sz w:val="21"/>
              </w:rPr>
              <w:t>dim_user</w:t>
            </w:r>
            <w:proofErr w:type="spellEnd"/>
            <w:r>
              <w:rPr>
                <w:rFonts w:ascii="Calibri" w:hAnsi="Calibri"/>
                <w:sz w:val="21"/>
              </w:rPr>
              <w:t>.</w:t>
            </w:r>
          </w:p>
        </w:tc>
      </w:tr>
      <w:tr w:rsidR="00274775" w14:paraId="29FD0784" w14:textId="77777777">
        <w:trPr>
          <w:jc w:val="center"/>
        </w:trPr>
        <w:tc>
          <w:tcPr>
            <w:tcW w:w="1400" w:type="dxa"/>
            <w:tcBorders>
              <w:top w:val="single" w:sz="2" w:space="0" w:color="B9C6D9"/>
              <w:left w:val="single" w:sz="2" w:space="0" w:color="B9C6D9"/>
              <w:bottom w:val="single" w:sz="2" w:space="0" w:color="B9C6D9"/>
              <w:right w:val="single" w:sz="2" w:space="0" w:color="B9C6D9"/>
            </w:tcBorders>
            <w:shd w:val="clear" w:color="auto" w:fill="EEF3FA"/>
          </w:tcPr>
          <w:p w14:paraId="691287C4" w14:textId="77777777" w:rsidR="00274775" w:rsidRDefault="00000000">
            <w:r>
              <w:rPr>
                <w:rFonts w:ascii="Calibri" w:hAnsi="Calibri"/>
                <w:sz w:val="21"/>
              </w:rPr>
              <w:t>Phase 7</w:t>
            </w:r>
          </w:p>
        </w:tc>
        <w:tc>
          <w:tcPr>
            <w:tcW w:w="7960" w:type="dxa"/>
            <w:tcBorders>
              <w:top w:val="single" w:sz="2" w:space="0" w:color="B9C6D9"/>
              <w:left w:val="single" w:sz="2" w:space="0" w:color="B9C6D9"/>
              <w:bottom w:val="single" w:sz="2" w:space="0" w:color="B9C6D9"/>
              <w:right w:val="single" w:sz="2" w:space="0" w:color="B9C6D9"/>
            </w:tcBorders>
            <w:shd w:val="clear" w:color="auto" w:fill="EEF3FA"/>
          </w:tcPr>
          <w:p w14:paraId="06EF6B88" w14:textId="77777777" w:rsidR="00274775" w:rsidRDefault="00000000">
            <w:proofErr w:type="spellStart"/>
            <w:r>
              <w:rPr>
                <w:rFonts w:ascii="Calibri" w:hAnsi="Calibri"/>
                <w:sz w:val="21"/>
              </w:rPr>
              <w:t>dbt</w:t>
            </w:r>
            <w:proofErr w:type="spellEnd"/>
            <w:r>
              <w:rPr>
                <w:rFonts w:ascii="Calibri" w:hAnsi="Calibri"/>
                <w:sz w:val="21"/>
              </w:rPr>
              <w:t xml:space="preserve"> (Redshift profile). Discovered the real schema lives in </w:t>
            </w:r>
            <w:proofErr w:type="spellStart"/>
            <w:r>
              <w:rPr>
                <w:rFonts w:ascii="Calibri" w:hAnsi="Calibri"/>
                <w:sz w:val="21"/>
              </w:rPr>
              <w:t>fitness_dw</w:t>
            </w:r>
            <w:proofErr w:type="spellEnd"/>
            <w:r>
              <w:rPr>
                <w:rFonts w:ascii="Calibri" w:hAnsi="Calibri"/>
                <w:sz w:val="21"/>
              </w:rPr>
              <w:t xml:space="preserve">, not the default dev database, via macro introspection. Built staging/marts/tests/macros. Found and fixed the </w:t>
            </w:r>
            <w:proofErr w:type="spellStart"/>
            <w:r>
              <w:rPr>
                <w:rFonts w:ascii="Calibri" w:hAnsi="Calibri"/>
                <w:sz w:val="21"/>
              </w:rPr>
              <w:t>dim_</w:t>
            </w:r>
            <w:proofErr w:type="gramStart"/>
            <w:r>
              <w:rPr>
                <w:rFonts w:ascii="Calibri" w:hAnsi="Calibri"/>
                <w:sz w:val="21"/>
              </w:rPr>
              <w:t>user.effective</w:t>
            </w:r>
            <w:proofErr w:type="gramEnd"/>
            <w:r>
              <w:rPr>
                <w:rFonts w:ascii="Calibri" w:hAnsi="Calibri"/>
                <w:sz w:val="21"/>
              </w:rPr>
              <w:t>_date</w:t>
            </w:r>
            <w:proofErr w:type="spellEnd"/>
            <w:r>
              <w:rPr>
                <w:rFonts w:ascii="Calibri" w:hAnsi="Calibri"/>
                <w:sz w:val="21"/>
              </w:rPr>
              <w:t xml:space="preserve"> SCD2 bug (see §2 above) via a manual row-count check after a 100%-green test suite missed it entirely. Exported the live schema to </w:t>
            </w:r>
            <w:proofErr w:type="spellStart"/>
            <w:r>
              <w:rPr>
                <w:rFonts w:ascii="Calibri" w:hAnsi="Calibri"/>
                <w:sz w:val="21"/>
              </w:rPr>
              <w:t>version_aws</w:t>
            </w:r>
            <w:proofErr w:type="spellEnd"/>
            <w:r>
              <w:rPr>
                <w:rFonts w:ascii="Calibri" w:hAnsi="Calibri"/>
                <w:sz w:val="21"/>
              </w:rPr>
              <w:t>/redshift/</w:t>
            </w:r>
            <w:proofErr w:type="spellStart"/>
            <w:r>
              <w:rPr>
                <w:rFonts w:ascii="Calibri" w:hAnsi="Calibri"/>
                <w:sz w:val="21"/>
              </w:rPr>
              <w:t>schema.sql</w:t>
            </w:r>
            <w:proofErr w:type="spellEnd"/>
            <w:r>
              <w:rPr>
                <w:rFonts w:ascii="Calibri" w:hAnsi="Calibri"/>
                <w:sz w:val="21"/>
              </w:rPr>
              <w:t>, closing a previously-flagged gap.</w:t>
            </w:r>
          </w:p>
        </w:tc>
      </w:tr>
    </w:tbl>
    <w:p w14:paraId="6B1614E3" w14:textId="77777777" w:rsidR="00274775" w:rsidRDefault="00274775">
      <w:pPr>
        <w:spacing w:before="200"/>
      </w:pPr>
    </w:p>
    <w:p w14:paraId="492C42AC" w14:textId="77777777" w:rsidR="00274775" w:rsidRDefault="00000000">
      <w:pPr>
        <w:spacing w:before="560" w:after="280"/>
      </w:pPr>
      <w:r>
        <w:rPr>
          <w:rFonts w:ascii="Calibri" w:hAnsi="Calibri"/>
          <w:b/>
          <w:color w:val="2E75B6"/>
          <w:sz w:val="52"/>
        </w:rPr>
        <w:t>3.3 Databricks track (DB-1 through DB-5)</w:t>
      </w:r>
    </w:p>
    <w:tbl>
      <w:tblPr>
        <w:tblW w:w="0" w:type="auto"/>
        <w:jc w:val="center"/>
        <w:tblLook w:val="04A0" w:firstRow="1" w:lastRow="0" w:firstColumn="1" w:lastColumn="0" w:noHBand="0" w:noVBand="1"/>
      </w:tblPr>
      <w:tblGrid>
        <w:gridCol w:w="1100"/>
        <w:gridCol w:w="8260"/>
      </w:tblGrid>
      <w:tr w:rsidR="00274775" w14:paraId="2C2E989C" w14:textId="77777777">
        <w:trPr>
          <w:jc w:val="center"/>
        </w:trPr>
        <w:tc>
          <w:tcPr>
            <w:tcW w:w="1100" w:type="dxa"/>
            <w:tcBorders>
              <w:top w:val="single" w:sz="2" w:space="0" w:color="B9C6D9"/>
              <w:left w:val="single" w:sz="2" w:space="0" w:color="B9C6D9"/>
              <w:bottom w:val="single" w:sz="2" w:space="0" w:color="B9C6D9"/>
              <w:right w:val="single" w:sz="2" w:space="0" w:color="B9C6D9"/>
            </w:tcBorders>
            <w:shd w:val="clear" w:color="auto" w:fill="1F3864"/>
          </w:tcPr>
          <w:p w14:paraId="4206A437" w14:textId="77777777" w:rsidR="00274775" w:rsidRDefault="00000000">
            <w:r>
              <w:rPr>
                <w:rFonts w:ascii="Calibri" w:hAnsi="Calibri"/>
                <w:b/>
                <w:color w:val="FFFFFF"/>
                <w:sz w:val="21"/>
              </w:rPr>
              <w:t>Stage</w:t>
            </w:r>
          </w:p>
        </w:tc>
        <w:tc>
          <w:tcPr>
            <w:tcW w:w="8260" w:type="dxa"/>
            <w:tcBorders>
              <w:top w:val="single" w:sz="2" w:space="0" w:color="B9C6D9"/>
              <w:left w:val="single" w:sz="2" w:space="0" w:color="B9C6D9"/>
              <w:bottom w:val="single" w:sz="2" w:space="0" w:color="B9C6D9"/>
              <w:right w:val="single" w:sz="2" w:space="0" w:color="B9C6D9"/>
            </w:tcBorders>
            <w:shd w:val="clear" w:color="auto" w:fill="1F3864"/>
          </w:tcPr>
          <w:p w14:paraId="13D6A2C2" w14:textId="77777777" w:rsidR="00274775" w:rsidRDefault="00000000">
            <w:r>
              <w:rPr>
                <w:rFonts w:ascii="Calibri" w:hAnsi="Calibri"/>
                <w:b/>
                <w:color w:val="FFFFFF"/>
                <w:sz w:val="21"/>
              </w:rPr>
              <w:t>What was built</w:t>
            </w:r>
          </w:p>
        </w:tc>
      </w:tr>
      <w:tr w:rsidR="00274775" w14:paraId="22F2477F" w14:textId="77777777">
        <w:trPr>
          <w:jc w:val="center"/>
        </w:trPr>
        <w:tc>
          <w:tcPr>
            <w:tcW w:w="1100" w:type="dxa"/>
            <w:tcBorders>
              <w:top w:val="single" w:sz="2" w:space="0" w:color="B9C6D9"/>
              <w:left w:val="single" w:sz="2" w:space="0" w:color="B9C6D9"/>
              <w:bottom w:val="single" w:sz="2" w:space="0" w:color="B9C6D9"/>
              <w:right w:val="single" w:sz="2" w:space="0" w:color="B9C6D9"/>
            </w:tcBorders>
          </w:tcPr>
          <w:p w14:paraId="12A171FD" w14:textId="77777777" w:rsidR="00274775" w:rsidRDefault="00000000">
            <w:r>
              <w:rPr>
                <w:rFonts w:ascii="Calibri" w:hAnsi="Calibri"/>
                <w:sz w:val="21"/>
              </w:rPr>
              <w:t>DB-1</w:t>
            </w:r>
          </w:p>
        </w:tc>
        <w:tc>
          <w:tcPr>
            <w:tcW w:w="8260" w:type="dxa"/>
            <w:tcBorders>
              <w:top w:val="single" w:sz="2" w:space="0" w:color="B9C6D9"/>
              <w:left w:val="single" w:sz="2" w:space="0" w:color="B9C6D9"/>
              <w:bottom w:val="single" w:sz="2" w:space="0" w:color="B9C6D9"/>
              <w:right w:val="single" w:sz="2" w:space="0" w:color="B9C6D9"/>
            </w:tcBorders>
          </w:tcPr>
          <w:p w14:paraId="569EBE2A" w14:textId="77777777" w:rsidR="00274775" w:rsidRDefault="00000000">
            <w:r>
              <w:rPr>
                <w:rFonts w:ascii="Calibri" w:hAnsi="Calibri"/>
                <w:sz w:val="21"/>
              </w:rPr>
              <w:t xml:space="preserve">Unity Catalog: catalog </w:t>
            </w:r>
            <w:proofErr w:type="spellStart"/>
            <w:r>
              <w:rPr>
                <w:rFonts w:ascii="Calibri" w:hAnsi="Calibri"/>
                <w:sz w:val="21"/>
              </w:rPr>
              <w:t>fitness_streaming</w:t>
            </w:r>
            <w:proofErr w:type="spellEnd"/>
            <w:r>
              <w:rPr>
                <w:rFonts w:ascii="Calibri" w:hAnsi="Calibri"/>
                <w:sz w:val="21"/>
              </w:rPr>
              <w:t xml:space="preserve">, schemas bronze/silver/gold/reference, Volume </w:t>
            </w:r>
            <w:proofErr w:type="spellStart"/>
            <w:r>
              <w:rPr>
                <w:rFonts w:ascii="Calibri" w:hAnsi="Calibri"/>
                <w:sz w:val="21"/>
              </w:rPr>
              <w:t>fitness_streaming.bronze.raw_events</w:t>
            </w:r>
            <w:proofErr w:type="spellEnd"/>
            <w:r>
              <w:rPr>
                <w:rFonts w:ascii="Calibri" w:hAnsi="Calibri"/>
                <w:sz w:val="21"/>
              </w:rPr>
              <w:t xml:space="preserve">. Learned that a Volume is a registered Unity Catalog object — </w:t>
            </w:r>
            <w:proofErr w:type="spellStart"/>
            <w:proofErr w:type="gramStart"/>
            <w:r>
              <w:rPr>
                <w:rFonts w:ascii="Calibri" w:hAnsi="Calibri"/>
                <w:sz w:val="21"/>
              </w:rPr>
              <w:t>os.makedirs</w:t>
            </w:r>
            <w:proofErr w:type="spellEnd"/>
            <w:proofErr w:type="gramEnd"/>
            <w:r>
              <w:rPr>
                <w:rFonts w:ascii="Calibri" w:hAnsi="Calibri"/>
                <w:sz w:val="21"/>
              </w:rPr>
              <w:t>() can create subfolders inside one, but not register a new top-level Volume.</w:t>
            </w:r>
          </w:p>
        </w:tc>
      </w:tr>
      <w:tr w:rsidR="00274775" w14:paraId="4A2957F0" w14:textId="77777777">
        <w:trPr>
          <w:jc w:val="center"/>
        </w:trPr>
        <w:tc>
          <w:tcPr>
            <w:tcW w:w="1100" w:type="dxa"/>
            <w:tcBorders>
              <w:top w:val="single" w:sz="2" w:space="0" w:color="B9C6D9"/>
              <w:left w:val="single" w:sz="2" w:space="0" w:color="B9C6D9"/>
              <w:bottom w:val="single" w:sz="2" w:space="0" w:color="B9C6D9"/>
              <w:right w:val="single" w:sz="2" w:space="0" w:color="B9C6D9"/>
            </w:tcBorders>
            <w:shd w:val="clear" w:color="auto" w:fill="EEF3FA"/>
          </w:tcPr>
          <w:p w14:paraId="43AD9EBD" w14:textId="77777777" w:rsidR="00274775" w:rsidRDefault="00000000">
            <w:r>
              <w:rPr>
                <w:rFonts w:ascii="Calibri" w:hAnsi="Calibri"/>
                <w:sz w:val="21"/>
              </w:rPr>
              <w:t>DB-2</w:t>
            </w:r>
          </w:p>
        </w:tc>
        <w:tc>
          <w:tcPr>
            <w:tcW w:w="8260" w:type="dxa"/>
            <w:tcBorders>
              <w:top w:val="single" w:sz="2" w:space="0" w:color="B9C6D9"/>
              <w:left w:val="single" w:sz="2" w:space="0" w:color="B9C6D9"/>
              <w:bottom w:val="single" w:sz="2" w:space="0" w:color="B9C6D9"/>
              <w:right w:val="single" w:sz="2" w:space="0" w:color="B9C6D9"/>
            </w:tcBorders>
            <w:shd w:val="clear" w:color="auto" w:fill="EEF3FA"/>
          </w:tcPr>
          <w:p w14:paraId="76AF9D10" w14:textId="77777777" w:rsidR="00274775" w:rsidRDefault="00000000">
            <w:r>
              <w:rPr>
                <w:rFonts w:ascii="Calibri" w:hAnsi="Calibri"/>
                <w:sz w:val="21"/>
              </w:rPr>
              <w:t xml:space="preserve">Live producer (reuses Local's generate_*() functions unchanged) writing into the Volume; Auto Loader (5 independent </w:t>
            </w:r>
            <w:proofErr w:type="spellStart"/>
            <w:r>
              <w:rPr>
                <w:rFonts w:ascii="Calibri" w:hAnsi="Calibri"/>
                <w:sz w:val="21"/>
              </w:rPr>
              <w:t>cloudFiles</w:t>
            </w:r>
            <w:proofErr w:type="spellEnd"/>
            <w:r>
              <w:rPr>
                <w:rFonts w:ascii="Calibri" w:hAnsi="Calibri"/>
                <w:sz w:val="21"/>
              </w:rPr>
              <w:t xml:space="preserve"> streams, trigger(</w:t>
            </w:r>
            <w:proofErr w:type="spellStart"/>
            <w:r>
              <w:rPr>
                <w:rFonts w:ascii="Calibri" w:hAnsi="Calibri"/>
                <w:sz w:val="21"/>
              </w:rPr>
              <w:t>availableNow</w:t>
            </w:r>
            <w:proofErr w:type="spellEnd"/>
            <w:r>
              <w:rPr>
                <w:rFonts w:ascii="Calibri" w:hAnsi="Calibri"/>
                <w:sz w:val="21"/>
              </w:rPr>
              <w:t>=True)) ingesting into Bronze Delta tables. Verified 450/450 rows landed with zero loss/duplication — exact match to producer output.</w:t>
            </w:r>
          </w:p>
        </w:tc>
      </w:tr>
      <w:tr w:rsidR="00274775" w14:paraId="4E79721E" w14:textId="77777777">
        <w:trPr>
          <w:jc w:val="center"/>
        </w:trPr>
        <w:tc>
          <w:tcPr>
            <w:tcW w:w="1100" w:type="dxa"/>
            <w:tcBorders>
              <w:top w:val="single" w:sz="2" w:space="0" w:color="B9C6D9"/>
              <w:left w:val="single" w:sz="2" w:space="0" w:color="B9C6D9"/>
              <w:bottom w:val="single" w:sz="2" w:space="0" w:color="B9C6D9"/>
              <w:right w:val="single" w:sz="2" w:space="0" w:color="B9C6D9"/>
            </w:tcBorders>
          </w:tcPr>
          <w:p w14:paraId="2F1F6609" w14:textId="77777777" w:rsidR="00274775" w:rsidRDefault="00000000">
            <w:r>
              <w:rPr>
                <w:rFonts w:ascii="Calibri" w:hAnsi="Calibri"/>
                <w:sz w:val="21"/>
              </w:rPr>
              <w:t>DB-3</w:t>
            </w:r>
          </w:p>
        </w:tc>
        <w:tc>
          <w:tcPr>
            <w:tcW w:w="8260" w:type="dxa"/>
            <w:tcBorders>
              <w:top w:val="single" w:sz="2" w:space="0" w:color="B9C6D9"/>
              <w:left w:val="single" w:sz="2" w:space="0" w:color="B9C6D9"/>
              <w:bottom w:val="single" w:sz="2" w:space="0" w:color="B9C6D9"/>
              <w:right w:val="single" w:sz="2" w:space="0" w:color="B9C6D9"/>
            </w:tcBorders>
          </w:tcPr>
          <w:p w14:paraId="629A248F" w14:textId="77777777" w:rsidR="00274775" w:rsidRDefault="00000000">
            <w:r>
              <w:rPr>
                <w:rFonts w:ascii="Calibri" w:hAnsi="Calibri"/>
                <w:sz w:val="21"/>
              </w:rPr>
              <w:t xml:space="preserve">Bronze → Silver, one notebook per record type. </w:t>
            </w:r>
            <w:proofErr w:type="spellStart"/>
            <w:r>
              <w:rPr>
                <w:rFonts w:ascii="Calibri" w:hAnsi="Calibri"/>
                <w:sz w:val="21"/>
              </w:rPr>
              <w:t>user_profile</w:t>
            </w:r>
            <w:proofErr w:type="spellEnd"/>
            <w:r>
              <w:rPr>
                <w:rFonts w:ascii="Calibri" w:hAnsi="Calibri"/>
                <w:sz w:val="21"/>
              </w:rPr>
              <w:t xml:space="preserve"> uses MERGE INTO (idempotency proven by a second no-op run); the other four use append + </w:t>
            </w:r>
            <w:proofErr w:type="spellStart"/>
            <w:r>
              <w:rPr>
                <w:rFonts w:ascii="Calibri" w:hAnsi="Calibri"/>
                <w:sz w:val="21"/>
              </w:rPr>
              <w:t>dedup</w:t>
            </w:r>
            <w:proofErr w:type="spellEnd"/>
            <w:r>
              <w:rPr>
                <w:rFonts w:ascii="Calibri" w:hAnsi="Calibri"/>
                <w:sz w:val="21"/>
              </w:rPr>
              <w:t>-on</w:t>
            </w:r>
            <w:proofErr w:type="gramStart"/>
            <w:r>
              <w:rPr>
                <w:rFonts w:ascii="Calibri" w:hAnsi="Calibri"/>
                <w:sz w:val="21"/>
              </w:rPr>
              <w:t>-(</w:t>
            </w:r>
            <w:proofErr w:type="spellStart"/>
            <w:proofErr w:type="gramEnd"/>
            <w:r>
              <w:rPr>
                <w:rFonts w:ascii="Calibri" w:hAnsi="Calibri"/>
                <w:sz w:val="21"/>
              </w:rPr>
              <w:t>user_id</w:t>
            </w:r>
            <w:proofErr w:type="spellEnd"/>
            <w:r>
              <w:rPr>
                <w:rFonts w:ascii="Calibri" w:hAnsi="Calibri"/>
                <w:sz w:val="21"/>
              </w:rPr>
              <w:t xml:space="preserve">, timestamp). </w:t>
            </w:r>
            <w:proofErr w:type="spellStart"/>
            <w:r>
              <w:rPr>
                <w:rFonts w:ascii="Calibri" w:hAnsi="Calibri"/>
                <w:sz w:val="21"/>
              </w:rPr>
              <w:t>wearable_event's</w:t>
            </w:r>
            <w:proofErr w:type="spellEnd"/>
            <w:r>
              <w:rPr>
                <w:rFonts w:ascii="Calibri" w:hAnsi="Calibri"/>
                <w:sz w:val="21"/>
              </w:rPr>
              <w:t xml:space="preserve"> quarantine table confirmed non-empty, matching the intentional 5% bad-data injection.</w:t>
            </w:r>
          </w:p>
        </w:tc>
      </w:tr>
      <w:tr w:rsidR="00274775" w14:paraId="249532F9" w14:textId="77777777">
        <w:trPr>
          <w:jc w:val="center"/>
        </w:trPr>
        <w:tc>
          <w:tcPr>
            <w:tcW w:w="1100" w:type="dxa"/>
            <w:tcBorders>
              <w:top w:val="single" w:sz="2" w:space="0" w:color="B9C6D9"/>
              <w:left w:val="single" w:sz="2" w:space="0" w:color="B9C6D9"/>
              <w:bottom w:val="single" w:sz="2" w:space="0" w:color="B9C6D9"/>
              <w:right w:val="single" w:sz="2" w:space="0" w:color="B9C6D9"/>
            </w:tcBorders>
            <w:shd w:val="clear" w:color="auto" w:fill="EEF3FA"/>
          </w:tcPr>
          <w:p w14:paraId="241BBF84" w14:textId="77777777" w:rsidR="00274775" w:rsidRDefault="00000000">
            <w:r>
              <w:rPr>
                <w:rFonts w:ascii="Calibri" w:hAnsi="Calibri"/>
                <w:sz w:val="21"/>
              </w:rPr>
              <w:t>DB-4</w:t>
            </w:r>
          </w:p>
        </w:tc>
        <w:tc>
          <w:tcPr>
            <w:tcW w:w="8260" w:type="dxa"/>
            <w:tcBorders>
              <w:top w:val="single" w:sz="2" w:space="0" w:color="B9C6D9"/>
              <w:left w:val="single" w:sz="2" w:space="0" w:color="B9C6D9"/>
              <w:bottom w:val="single" w:sz="2" w:space="0" w:color="B9C6D9"/>
              <w:right w:val="single" w:sz="2" w:space="0" w:color="B9C6D9"/>
            </w:tcBorders>
            <w:shd w:val="clear" w:color="auto" w:fill="EEF3FA"/>
          </w:tcPr>
          <w:p w14:paraId="578F03E4" w14:textId="77777777" w:rsidR="00274775" w:rsidRDefault="00000000">
            <w:r>
              <w:rPr>
                <w:rFonts w:ascii="Calibri" w:hAnsi="Calibri"/>
                <w:sz w:val="21"/>
              </w:rPr>
              <w:t>Silver → Gold, all 4 tables. Found and fixed the same reference-enrichment gap three separate times (</w:t>
            </w:r>
            <w:proofErr w:type="spellStart"/>
            <w:r>
              <w:rPr>
                <w:rFonts w:ascii="Calibri" w:hAnsi="Calibri"/>
                <w:sz w:val="21"/>
              </w:rPr>
              <w:t>medical_risk_modifier</w:t>
            </w:r>
            <w:proofErr w:type="spellEnd"/>
            <w:r>
              <w:rPr>
                <w:rFonts w:ascii="Calibri" w:hAnsi="Calibri"/>
                <w:sz w:val="21"/>
              </w:rPr>
              <w:t>/</w:t>
            </w:r>
            <w:proofErr w:type="spellStart"/>
            <w:r>
              <w:rPr>
                <w:rFonts w:ascii="Calibri" w:hAnsi="Calibri"/>
                <w:sz w:val="21"/>
              </w:rPr>
              <w:t>gym_type</w:t>
            </w:r>
            <w:proofErr w:type="spellEnd"/>
            <w:r>
              <w:rPr>
                <w:rFonts w:ascii="Calibri" w:hAnsi="Calibri"/>
                <w:sz w:val="21"/>
              </w:rPr>
              <w:t xml:space="preserve"> missing from </w:t>
            </w:r>
            <w:proofErr w:type="spellStart"/>
            <w:r>
              <w:rPr>
                <w:rFonts w:ascii="Calibri" w:hAnsi="Calibri"/>
                <w:sz w:val="21"/>
              </w:rPr>
              <w:t>user_profile</w:t>
            </w:r>
            <w:proofErr w:type="spellEnd"/>
            <w:r>
              <w:rPr>
                <w:rFonts w:ascii="Calibri" w:hAnsi="Calibri"/>
                <w:sz w:val="21"/>
              </w:rPr>
              <w:t xml:space="preserve">; statement-scoped MERGE WITH SCHEMA EVOLUTION needed since Serverless rejects session-wide </w:t>
            </w:r>
            <w:proofErr w:type="spellStart"/>
            <w:r>
              <w:rPr>
                <w:rFonts w:ascii="Calibri" w:hAnsi="Calibri"/>
                <w:sz w:val="21"/>
              </w:rPr>
              <w:t>spark.conf.set</w:t>
            </w:r>
            <w:proofErr w:type="spellEnd"/>
            <w:r>
              <w:rPr>
                <w:rFonts w:ascii="Calibri" w:hAnsi="Calibri"/>
                <w:sz w:val="21"/>
              </w:rPr>
              <w:t xml:space="preserve">; </w:t>
            </w:r>
            <w:proofErr w:type="spellStart"/>
            <w:r>
              <w:rPr>
                <w:rFonts w:ascii="Calibri" w:hAnsi="Calibri"/>
                <w:sz w:val="21"/>
              </w:rPr>
              <w:t>muscle_groups</w:t>
            </w:r>
            <w:proofErr w:type="spellEnd"/>
            <w:r>
              <w:rPr>
                <w:rFonts w:ascii="Calibri" w:hAnsi="Calibri"/>
                <w:sz w:val="21"/>
              </w:rPr>
              <w:t xml:space="preserve"> array serialized as Spark's non-JSON bracket format, needing </w:t>
            </w:r>
            <w:proofErr w:type="spellStart"/>
            <w:r>
              <w:rPr>
                <w:rFonts w:ascii="Calibri" w:hAnsi="Calibri"/>
                <w:sz w:val="21"/>
              </w:rPr>
              <w:lastRenderedPageBreak/>
              <w:t>regexp_replace</w:t>
            </w:r>
            <w:proofErr w:type="spellEnd"/>
            <w:r>
              <w:rPr>
                <w:rFonts w:ascii="Calibri" w:hAnsi="Calibri"/>
                <w:sz w:val="21"/>
              </w:rPr>
              <w:t xml:space="preserve"> + split instead of Local's quote-swap + </w:t>
            </w:r>
            <w:proofErr w:type="spellStart"/>
            <w:r>
              <w:rPr>
                <w:rFonts w:ascii="Calibri" w:hAnsi="Calibri"/>
                <w:sz w:val="21"/>
              </w:rPr>
              <w:t>from_json</w:t>
            </w:r>
            <w:proofErr w:type="spellEnd"/>
            <w:r>
              <w:rPr>
                <w:rFonts w:ascii="Calibri" w:hAnsi="Calibri"/>
                <w:sz w:val="21"/>
              </w:rPr>
              <w:t xml:space="preserve">). Closed the </w:t>
            </w:r>
            <w:proofErr w:type="spellStart"/>
            <w:r>
              <w:rPr>
                <w:rFonts w:ascii="Calibri" w:hAnsi="Calibri"/>
                <w:sz w:val="21"/>
              </w:rPr>
              <w:t>gold_community_analytics</w:t>
            </w:r>
            <w:proofErr w:type="spellEnd"/>
            <w:r>
              <w:rPr>
                <w:rFonts w:ascii="Calibri" w:hAnsi="Calibri"/>
                <w:sz w:val="21"/>
              </w:rPr>
              <w:t xml:space="preserve"> null-cohort open item </w:t>
            </w:r>
            <w:proofErr w:type="gramStart"/>
            <w:r>
              <w:rPr>
                <w:rFonts w:ascii="Calibri" w:hAnsi="Calibri"/>
                <w:sz w:val="21"/>
              </w:rPr>
              <w:t>with .</w:t>
            </w:r>
            <w:proofErr w:type="spellStart"/>
            <w:r>
              <w:rPr>
                <w:rFonts w:ascii="Calibri" w:hAnsi="Calibri"/>
                <w:sz w:val="21"/>
              </w:rPr>
              <w:t>fillna</w:t>
            </w:r>
            <w:proofErr w:type="spellEnd"/>
            <w:proofErr w:type="gramEnd"/>
            <w:r>
              <w:rPr>
                <w:rFonts w:ascii="Calibri" w:hAnsi="Calibri"/>
                <w:sz w:val="21"/>
              </w:rPr>
              <w:t>("Unprofiled").</w:t>
            </w:r>
          </w:p>
        </w:tc>
      </w:tr>
      <w:tr w:rsidR="00274775" w14:paraId="5E5ACD00" w14:textId="77777777">
        <w:trPr>
          <w:jc w:val="center"/>
        </w:trPr>
        <w:tc>
          <w:tcPr>
            <w:tcW w:w="1100" w:type="dxa"/>
            <w:tcBorders>
              <w:top w:val="single" w:sz="2" w:space="0" w:color="B9C6D9"/>
              <w:left w:val="single" w:sz="2" w:space="0" w:color="B9C6D9"/>
              <w:bottom w:val="single" w:sz="2" w:space="0" w:color="B9C6D9"/>
              <w:right w:val="single" w:sz="2" w:space="0" w:color="B9C6D9"/>
            </w:tcBorders>
          </w:tcPr>
          <w:p w14:paraId="0AD13893" w14:textId="77777777" w:rsidR="00274775" w:rsidRDefault="00000000">
            <w:r>
              <w:rPr>
                <w:rFonts w:ascii="Calibri" w:hAnsi="Calibri"/>
                <w:sz w:val="21"/>
              </w:rPr>
              <w:lastRenderedPageBreak/>
              <w:t>DB-5</w:t>
            </w:r>
          </w:p>
        </w:tc>
        <w:tc>
          <w:tcPr>
            <w:tcW w:w="8260" w:type="dxa"/>
            <w:tcBorders>
              <w:top w:val="single" w:sz="2" w:space="0" w:color="B9C6D9"/>
              <w:left w:val="single" w:sz="2" w:space="0" w:color="B9C6D9"/>
              <w:bottom w:val="single" w:sz="2" w:space="0" w:color="B9C6D9"/>
              <w:right w:val="single" w:sz="2" w:space="0" w:color="B9C6D9"/>
            </w:tcBorders>
          </w:tcPr>
          <w:p w14:paraId="17742922" w14:textId="77777777" w:rsidR="00274775" w:rsidRDefault="00000000">
            <w:r>
              <w:rPr>
                <w:rFonts w:ascii="Calibri" w:hAnsi="Calibri"/>
                <w:sz w:val="21"/>
              </w:rPr>
              <w:t xml:space="preserve">Databricks Workflows — 11-task DAG (producer → ingestion → 5 parallel Silver → coarse barrier → 4 parallel Gold), retries split by failure class (2 for transient infra, 0 for deterministic logic). Caught and removed a duplicate </w:t>
            </w:r>
            <w:proofErr w:type="spellStart"/>
            <w:r>
              <w:rPr>
                <w:rFonts w:ascii="Calibri" w:hAnsi="Calibri"/>
                <w:sz w:val="21"/>
              </w:rPr>
              <w:t>run_</w:t>
            </w:r>
            <w:proofErr w:type="gramStart"/>
            <w:r>
              <w:rPr>
                <w:rFonts w:ascii="Calibri" w:hAnsi="Calibri"/>
                <w:sz w:val="21"/>
              </w:rPr>
              <w:t>producer</w:t>
            </w:r>
            <w:proofErr w:type="spellEnd"/>
            <w:r>
              <w:rPr>
                <w:rFonts w:ascii="Calibri" w:hAnsi="Calibri"/>
                <w:sz w:val="21"/>
              </w:rPr>
              <w:t>(</w:t>
            </w:r>
            <w:proofErr w:type="gramEnd"/>
            <w:r>
              <w:rPr>
                <w:rFonts w:ascii="Calibri" w:hAnsi="Calibri"/>
                <w:sz w:val="21"/>
              </w:rPr>
              <w:t>) call before the first run that would have silently doubled data volume on every execution. First full run: SUCCEEDED, 5m19s, all 11 tasks green, verified via real row-count output.</w:t>
            </w:r>
          </w:p>
        </w:tc>
      </w:tr>
    </w:tbl>
    <w:p w14:paraId="5C77560F" w14:textId="77777777" w:rsidR="00274775" w:rsidRDefault="00274775">
      <w:pPr>
        <w:spacing w:before="200"/>
      </w:pPr>
    </w:p>
    <w:p w14:paraId="692D6E37" w14:textId="77777777" w:rsidR="00274775" w:rsidRDefault="00000000">
      <w:pPr>
        <w:spacing w:before="560" w:after="280"/>
      </w:pPr>
      <w:r>
        <w:rPr>
          <w:rFonts w:ascii="Calibri" w:hAnsi="Calibri"/>
          <w:b/>
          <w:color w:val="2E75B6"/>
          <w:sz w:val="52"/>
        </w:rPr>
        <w:t>3.4 The single strongest verification story in the project</w:t>
      </w:r>
    </w:p>
    <w:p w14:paraId="0EEA1BFC" w14:textId="77777777" w:rsidR="00274775" w:rsidRDefault="00000000">
      <w:pPr>
        <w:spacing w:after="160"/>
      </w:pPr>
      <w:r>
        <w:rPr>
          <w:rFonts w:ascii="Calibri" w:hAnsi="Calibri"/>
          <w:color w:val="1A1A1A"/>
        </w:rPr>
        <w:t xml:space="preserve">During AWS Phase 7, </w:t>
      </w:r>
      <w:proofErr w:type="spellStart"/>
      <w:r>
        <w:rPr>
          <w:rFonts w:ascii="Calibri" w:hAnsi="Calibri"/>
          <w:color w:val="1A1A1A"/>
        </w:rPr>
        <w:t>dbt</w:t>
      </w:r>
      <w:proofErr w:type="spellEnd"/>
      <w:r>
        <w:rPr>
          <w:rFonts w:ascii="Calibri" w:hAnsi="Calibri"/>
          <w:color w:val="1A1A1A"/>
        </w:rPr>
        <w:t xml:space="preserve"> run reported 7/7 models successful and </w:t>
      </w:r>
      <w:proofErr w:type="spellStart"/>
      <w:r>
        <w:rPr>
          <w:rFonts w:ascii="Calibri" w:hAnsi="Calibri"/>
          <w:color w:val="1A1A1A"/>
        </w:rPr>
        <w:t>dbt</w:t>
      </w:r>
      <w:proofErr w:type="spellEnd"/>
      <w:r>
        <w:rPr>
          <w:rFonts w:ascii="Calibri" w:hAnsi="Calibri"/>
          <w:color w:val="1A1A1A"/>
        </w:rPr>
        <w:t xml:space="preserve"> test reported 31/31 tests passing — a completely clean run. A manual row-count check anyway (10 raw fact rows vs. 0 mart rows) revealed </w:t>
      </w:r>
      <w:proofErr w:type="spellStart"/>
      <w:r>
        <w:rPr>
          <w:rFonts w:ascii="Calibri" w:hAnsi="Calibri"/>
          <w:color w:val="1A1A1A"/>
        </w:rPr>
        <w:t>mart_user_health_score</w:t>
      </w:r>
      <w:proofErr w:type="spellEnd"/>
      <w:r>
        <w:rPr>
          <w:rFonts w:ascii="Calibri" w:hAnsi="Calibri"/>
          <w:color w:val="1A1A1A"/>
        </w:rPr>
        <w:t xml:space="preserve"> was entirely empty. The root cause — every </w:t>
      </w:r>
      <w:proofErr w:type="spellStart"/>
      <w:r>
        <w:rPr>
          <w:rFonts w:ascii="Calibri" w:hAnsi="Calibri"/>
          <w:color w:val="1A1A1A"/>
        </w:rPr>
        <w:t>dim_user</w:t>
      </w:r>
      <w:proofErr w:type="spellEnd"/>
      <w:r>
        <w:rPr>
          <w:rFonts w:ascii="Calibri" w:hAnsi="Calibri"/>
          <w:color w:val="1A1A1A"/>
        </w:rPr>
        <w:t xml:space="preserve"> row carrying an identical, literal load timestamp as its </w:t>
      </w:r>
      <w:proofErr w:type="spellStart"/>
      <w:r>
        <w:rPr>
          <w:rFonts w:ascii="Calibri" w:hAnsi="Calibri"/>
          <w:color w:val="1A1A1A"/>
        </w:rPr>
        <w:t>effective_date</w:t>
      </w:r>
      <w:proofErr w:type="spellEnd"/>
      <w:r>
        <w:rPr>
          <w:rFonts w:ascii="Calibri" w:hAnsi="Calibri"/>
          <w:color w:val="1A1A1A"/>
        </w:rPr>
        <w:t>, so even same-day fact rows failed the SCD2 join — was invisible to every test that had been written, because no test had been written to check for it. A permanent regression test (</w:t>
      </w:r>
      <w:proofErr w:type="spellStart"/>
      <w:r>
        <w:rPr>
          <w:rFonts w:ascii="Calibri" w:hAnsi="Calibri"/>
          <w:color w:val="1A1A1A"/>
        </w:rPr>
        <w:t>assert_health_score_no_dropped_rows</w:t>
      </w:r>
      <w:proofErr w:type="spellEnd"/>
      <w:r>
        <w:rPr>
          <w:rFonts w:ascii="Calibri" w:hAnsi="Calibri"/>
          <w:color w:val="1A1A1A"/>
        </w:rPr>
        <w:t>) was added afterward specifically so this exact failure mode would be caught automatically in the future.</w:t>
      </w:r>
    </w:p>
    <w:p w14:paraId="46404A85" w14:textId="77777777" w:rsidR="00274775" w:rsidRDefault="00000000">
      <w:pPr>
        <w:pBdr>
          <w:left w:val="single" w:sz="18" w:space="8" w:color="2E75B6"/>
        </w:pBdr>
        <w:spacing w:before="240" w:after="400"/>
        <w:ind w:left="360"/>
      </w:pPr>
      <w:r>
        <w:rPr>
          <w:rFonts w:ascii="Calibri" w:hAnsi="Calibri"/>
          <w:color w:val="333333"/>
        </w:rPr>
        <w:t>A green test suite is necessary, not sufficient. This is the headline interview story for the whole project: the discipline of checking real output caught a 100%-empty mart table that 31 passing tests did not.</w:t>
      </w:r>
    </w:p>
    <w:p w14:paraId="2B779E18" w14:textId="77777777" w:rsidR="00274775" w:rsidRDefault="00000000">
      <w:r>
        <w:br w:type="page"/>
      </w:r>
    </w:p>
    <w:p w14:paraId="26F8C707" w14:textId="77777777" w:rsidR="00274775" w:rsidRDefault="00000000">
      <w:pPr>
        <w:pBdr>
          <w:bottom w:val="single" w:sz="8" w:space="4" w:color="2E75B6"/>
        </w:pBdr>
        <w:spacing w:before="240" w:after="480"/>
      </w:pPr>
      <w:r>
        <w:rPr>
          <w:rFonts w:ascii="Calibri" w:hAnsi="Calibri"/>
          <w:b/>
          <w:color w:val="1F3864"/>
          <w:sz w:val="64"/>
        </w:rPr>
        <w:lastRenderedPageBreak/>
        <w:t>4. Extended Architecture — Endpoints Beyond Redshift and Delta</w:t>
      </w:r>
    </w:p>
    <w:p w14:paraId="30F815E2" w14:textId="77777777" w:rsidR="00274775" w:rsidRDefault="00000000">
      <w:pPr>
        <w:spacing w:after="160"/>
      </w:pPr>
      <w:r>
        <w:rPr>
          <w:rFonts w:ascii="Calibri" w:hAnsi="Calibri"/>
          <w:color w:val="1A1A1A"/>
        </w:rPr>
        <w:t>Redshift Serverless (AWS) and Unity Catalog Delta tables (Databricks) are this project's only built endpoints. Neither is the only possible one. This chapter documents the realistic alternatives that were reasoned through but deliberately not built — because knowing what else could sit downstream, where it would physically live, and when you would not reach for it, is itself the kind of judgment this project exists to demonstrate. Full source reasoning: decisions.md §6.</w:t>
      </w:r>
    </w:p>
    <w:p w14:paraId="386C5DBD" w14:textId="77777777" w:rsidR="00274775" w:rsidRDefault="00000000">
      <w:pPr>
        <w:spacing w:before="560" w:after="280"/>
      </w:pPr>
      <w:r>
        <w:rPr>
          <w:rFonts w:ascii="Calibri" w:hAnsi="Calibri"/>
          <w:b/>
          <w:color w:val="2E75B6"/>
          <w:sz w:val="52"/>
        </w:rPr>
        <w:t>4.1 AWS side — Snowflake as an alternative to Redshift, not an extension of it</w:t>
      </w:r>
    </w:p>
    <w:p w14:paraId="3054DEF2" w14:textId="77777777" w:rsidR="00274775" w:rsidRDefault="00000000">
      <w:pPr>
        <w:spacing w:after="160"/>
      </w:pPr>
      <w:r>
        <w:rPr>
          <w:rFonts w:ascii="Calibri" w:hAnsi="Calibri"/>
          <w:color w:val="1A1A1A"/>
        </w:rPr>
        <w:t>Snowflake would sit completely outside the AWS account — a separate vendor account, separate billing, separate IAM/RBAC, with no shared identity with account 811821010882. The only connective tissue is a storage integration: an IAM role in the AWS account that Snowflake is granted permission to assume, so its own COPY INTO can read Parquet directly from the S3 Gold prefix. No AWS compute is involved in that read at all — Snowflake's own "virtual warehouse" compute does the work entirely outside the AWS boundary.</w:t>
      </w:r>
    </w:p>
    <w:tbl>
      <w:tblPr>
        <w:tblW w:w="0" w:type="auto"/>
        <w:jc w:val="center"/>
        <w:tblLook w:val="04A0" w:firstRow="1" w:lastRow="0" w:firstColumn="1" w:lastColumn="0" w:noHBand="0" w:noVBand="1"/>
      </w:tblPr>
      <w:tblGrid>
        <w:gridCol w:w="3200"/>
        <w:gridCol w:w="6160"/>
      </w:tblGrid>
      <w:tr w:rsidR="00274775" w14:paraId="1F67BA12" w14:textId="77777777">
        <w:trPr>
          <w:jc w:val="center"/>
        </w:trPr>
        <w:tc>
          <w:tcPr>
            <w:tcW w:w="3200" w:type="dxa"/>
            <w:tcBorders>
              <w:top w:val="single" w:sz="2" w:space="0" w:color="B9C6D9"/>
              <w:left w:val="single" w:sz="2" w:space="0" w:color="B9C6D9"/>
              <w:bottom w:val="single" w:sz="2" w:space="0" w:color="B9C6D9"/>
              <w:right w:val="single" w:sz="2" w:space="0" w:color="B9C6D9"/>
            </w:tcBorders>
            <w:shd w:val="clear" w:color="auto" w:fill="1F3864"/>
          </w:tcPr>
          <w:p w14:paraId="42F9C819" w14:textId="77777777" w:rsidR="00274775" w:rsidRDefault="00000000">
            <w:r>
              <w:rPr>
                <w:rFonts w:ascii="Calibri" w:hAnsi="Calibri"/>
                <w:b/>
                <w:color w:val="FFFFFF"/>
                <w:sz w:val="21"/>
              </w:rPr>
              <w:t>When Snowflake is the right call</w:t>
            </w:r>
          </w:p>
        </w:tc>
        <w:tc>
          <w:tcPr>
            <w:tcW w:w="6160" w:type="dxa"/>
            <w:tcBorders>
              <w:top w:val="single" w:sz="2" w:space="0" w:color="B9C6D9"/>
              <w:left w:val="single" w:sz="2" w:space="0" w:color="B9C6D9"/>
              <w:bottom w:val="single" w:sz="2" w:space="0" w:color="B9C6D9"/>
              <w:right w:val="single" w:sz="2" w:space="0" w:color="B9C6D9"/>
            </w:tcBorders>
            <w:shd w:val="clear" w:color="auto" w:fill="1F3864"/>
          </w:tcPr>
          <w:p w14:paraId="037E4D4A" w14:textId="77777777" w:rsidR="00274775" w:rsidRDefault="00000000">
            <w:r>
              <w:rPr>
                <w:rFonts w:ascii="Calibri" w:hAnsi="Calibri"/>
                <w:b/>
                <w:color w:val="FFFFFF"/>
                <w:sz w:val="21"/>
              </w:rPr>
              <w:t>Why</w:t>
            </w:r>
          </w:p>
        </w:tc>
      </w:tr>
      <w:tr w:rsidR="00274775" w14:paraId="3FB11341" w14:textId="77777777">
        <w:trPr>
          <w:jc w:val="center"/>
        </w:trPr>
        <w:tc>
          <w:tcPr>
            <w:tcW w:w="3200" w:type="dxa"/>
            <w:tcBorders>
              <w:top w:val="single" w:sz="2" w:space="0" w:color="B9C6D9"/>
              <w:left w:val="single" w:sz="2" w:space="0" w:color="B9C6D9"/>
              <w:bottom w:val="single" w:sz="2" w:space="0" w:color="B9C6D9"/>
              <w:right w:val="single" w:sz="2" w:space="0" w:color="B9C6D9"/>
            </w:tcBorders>
          </w:tcPr>
          <w:p w14:paraId="695A0221" w14:textId="77777777" w:rsidR="00274775" w:rsidRDefault="00000000">
            <w:r>
              <w:rPr>
                <w:rFonts w:ascii="Calibri" w:hAnsi="Calibri"/>
                <w:sz w:val="21"/>
              </w:rPr>
              <w:t>Multi-cloud requirement, or BI/finance already standardized on Snowflake</w:t>
            </w:r>
          </w:p>
        </w:tc>
        <w:tc>
          <w:tcPr>
            <w:tcW w:w="6160" w:type="dxa"/>
            <w:tcBorders>
              <w:top w:val="single" w:sz="2" w:space="0" w:color="B9C6D9"/>
              <w:left w:val="single" w:sz="2" w:space="0" w:color="B9C6D9"/>
              <w:bottom w:val="single" w:sz="2" w:space="0" w:color="B9C6D9"/>
              <w:right w:val="single" w:sz="2" w:space="0" w:color="B9C6D9"/>
            </w:tcBorders>
          </w:tcPr>
          <w:p w14:paraId="3D1091AB" w14:textId="77777777" w:rsidR="00274775" w:rsidRDefault="00000000">
            <w:r>
              <w:rPr>
                <w:rFonts w:ascii="Calibri" w:hAnsi="Calibri"/>
                <w:sz w:val="21"/>
              </w:rPr>
              <w:t>Very common in practice — the data engineering team builds on AWS/Databricks while the rest of the org already pays for Snowflake for unrelated historical reasons.</w:t>
            </w:r>
          </w:p>
        </w:tc>
      </w:tr>
      <w:tr w:rsidR="00274775" w14:paraId="3C6EC914" w14:textId="77777777">
        <w:trPr>
          <w:jc w:val="center"/>
        </w:trPr>
        <w:tc>
          <w:tcPr>
            <w:tcW w:w="3200" w:type="dxa"/>
            <w:tcBorders>
              <w:top w:val="single" w:sz="2" w:space="0" w:color="B9C6D9"/>
              <w:left w:val="single" w:sz="2" w:space="0" w:color="B9C6D9"/>
              <w:bottom w:val="single" w:sz="2" w:space="0" w:color="B9C6D9"/>
              <w:right w:val="single" w:sz="2" w:space="0" w:color="B9C6D9"/>
            </w:tcBorders>
            <w:shd w:val="clear" w:color="auto" w:fill="EEF3FA"/>
          </w:tcPr>
          <w:p w14:paraId="073C7F0E" w14:textId="77777777" w:rsidR="00274775" w:rsidRDefault="00000000">
            <w:r>
              <w:rPr>
                <w:rFonts w:ascii="Calibri" w:hAnsi="Calibri"/>
                <w:sz w:val="21"/>
              </w:rPr>
              <w:t>Independent compute scaling, not just storage scaling</w:t>
            </w:r>
          </w:p>
        </w:tc>
        <w:tc>
          <w:tcPr>
            <w:tcW w:w="6160" w:type="dxa"/>
            <w:tcBorders>
              <w:top w:val="single" w:sz="2" w:space="0" w:color="B9C6D9"/>
              <w:left w:val="single" w:sz="2" w:space="0" w:color="B9C6D9"/>
              <w:bottom w:val="single" w:sz="2" w:space="0" w:color="B9C6D9"/>
              <w:right w:val="single" w:sz="2" w:space="0" w:color="B9C6D9"/>
            </w:tcBorders>
            <w:shd w:val="clear" w:color="auto" w:fill="EEF3FA"/>
          </w:tcPr>
          <w:p w14:paraId="36E2F8C7" w14:textId="77777777" w:rsidR="00274775" w:rsidRDefault="00000000">
            <w:r>
              <w:rPr>
                <w:rFonts w:ascii="Calibri" w:hAnsi="Calibri"/>
                <w:sz w:val="21"/>
              </w:rPr>
              <w:t>Snowflake's separate virtual warehouses let a heavy BI workload and a heavy batch-transform workload run on two pools that never contend — Redshift Serverless is a single compute pool per workgroup.</w:t>
            </w:r>
          </w:p>
        </w:tc>
      </w:tr>
      <w:tr w:rsidR="00274775" w14:paraId="27444DA6" w14:textId="77777777">
        <w:trPr>
          <w:jc w:val="center"/>
        </w:trPr>
        <w:tc>
          <w:tcPr>
            <w:tcW w:w="3200" w:type="dxa"/>
            <w:tcBorders>
              <w:top w:val="single" w:sz="2" w:space="0" w:color="B9C6D9"/>
              <w:left w:val="single" w:sz="2" w:space="0" w:color="B9C6D9"/>
              <w:bottom w:val="single" w:sz="2" w:space="0" w:color="B9C6D9"/>
              <w:right w:val="single" w:sz="2" w:space="0" w:color="B9C6D9"/>
            </w:tcBorders>
          </w:tcPr>
          <w:p w14:paraId="0124D57E" w14:textId="77777777" w:rsidR="00274775" w:rsidRDefault="00000000">
            <w:r>
              <w:rPr>
                <w:rFonts w:ascii="Calibri" w:hAnsi="Calibri"/>
                <w:sz w:val="21"/>
              </w:rPr>
              <w:t>Lower operational overhead</w:t>
            </w:r>
          </w:p>
        </w:tc>
        <w:tc>
          <w:tcPr>
            <w:tcW w:w="6160" w:type="dxa"/>
            <w:tcBorders>
              <w:top w:val="single" w:sz="2" w:space="0" w:color="B9C6D9"/>
              <w:left w:val="single" w:sz="2" w:space="0" w:color="B9C6D9"/>
              <w:bottom w:val="single" w:sz="2" w:space="0" w:color="B9C6D9"/>
              <w:right w:val="single" w:sz="2" w:space="0" w:color="B9C6D9"/>
            </w:tcBorders>
          </w:tcPr>
          <w:p w14:paraId="7D1EF259" w14:textId="77777777" w:rsidR="00274775" w:rsidRDefault="00000000">
            <w:r>
              <w:rPr>
                <w:rFonts w:ascii="Calibri" w:hAnsi="Calibri"/>
                <w:sz w:val="21"/>
              </w:rPr>
              <w:t>No distribution keys, sort keys, VACUUM/ANALYZE, or security-group/</w:t>
            </w:r>
            <w:proofErr w:type="spellStart"/>
            <w:r>
              <w:rPr>
                <w:rFonts w:ascii="Calibri" w:hAnsi="Calibri"/>
                <w:sz w:val="21"/>
              </w:rPr>
              <w:t>publiclyAccessible</w:t>
            </w:r>
            <w:proofErr w:type="spellEnd"/>
            <w:r>
              <w:rPr>
                <w:rFonts w:ascii="Calibri" w:hAnsi="Calibri"/>
                <w:sz w:val="21"/>
              </w:rPr>
              <w:t xml:space="preserve"> networking — the exact friction this project hit directly needing to open a security group for every local </w:t>
            </w:r>
            <w:proofErr w:type="spellStart"/>
            <w:r>
              <w:rPr>
                <w:rFonts w:ascii="Calibri" w:hAnsi="Calibri"/>
                <w:sz w:val="21"/>
              </w:rPr>
              <w:t>dbt</w:t>
            </w:r>
            <w:proofErr w:type="spellEnd"/>
            <w:r>
              <w:rPr>
                <w:rFonts w:ascii="Calibri" w:hAnsi="Calibri"/>
                <w:sz w:val="21"/>
              </w:rPr>
              <w:t xml:space="preserve"> session (decisions.md §3.10).</w:t>
            </w:r>
          </w:p>
        </w:tc>
      </w:tr>
      <w:tr w:rsidR="00274775" w14:paraId="215F0CED" w14:textId="77777777">
        <w:trPr>
          <w:jc w:val="center"/>
        </w:trPr>
        <w:tc>
          <w:tcPr>
            <w:tcW w:w="3200" w:type="dxa"/>
            <w:tcBorders>
              <w:top w:val="single" w:sz="2" w:space="0" w:color="B9C6D9"/>
              <w:left w:val="single" w:sz="2" w:space="0" w:color="B9C6D9"/>
              <w:bottom w:val="single" w:sz="2" w:space="0" w:color="B9C6D9"/>
              <w:right w:val="single" w:sz="2" w:space="0" w:color="B9C6D9"/>
            </w:tcBorders>
            <w:shd w:val="clear" w:color="auto" w:fill="EEF3FA"/>
          </w:tcPr>
          <w:p w14:paraId="0263AE5A" w14:textId="77777777" w:rsidR="00274775" w:rsidRDefault="00000000">
            <w:r>
              <w:rPr>
                <w:rFonts w:ascii="Calibri" w:hAnsi="Calibri"/>
                <w:sz w:val="21"/>
              </w:rPr>
              <w:lastRenderedPageBreak/>
              <w:t>Cross-org data sharing</w:t>
            </w:r>
          </w:p>
        </w:tc>
        <w:tc>
          <w:tcPr>
            <w:tcW w:w="6160" w:type="dxa"/>
            <w:tcBorders>
              <w:top w:val="single" w:sz="2" w:space="0" w:color="B9C6D9"/>
              <w:left w:val="single" w:sz="2" w:space="0" w:color="B9C6D9"/>
              <w:bottom w:val="single" w:sz="2" w:space="0" w:color="B9C6D9"/>
              <w:right w:val="single" w:sz="2" w:space="0" w:color="B9C6D9"/>
            </w:tcBorders>
            <w:shd w:val="clear" w:color="auto" w:fill="EEF3FA"/>
          </w:tcPr>
          <w:p w14:paraId="45246C64" w14:textId="77777777" w:rsidR="00274775" w:rsidRDefault="00000000">
            <w:r>
              <w:rPr>
                <w:rFonts w:ascii="Calibri" w:hAnsi="Calibri"/>
                <w:sz w:val="21"/>
              </w:rPr>
              <w:t xml:space="preserve">Snowflake Secure Data Sharing if </w:t>
            </w:r>
            <w:proofErr w:type="gramStart"/>
            <w:r>
              <w:rPr>
                <w:rFonts w:ascii="Calibri" w:hAnsi="Calibri"/>
                <w:sz w:val="21"/>
              </w:rPr>
              <w:t>Gold</w:t>
            </w:r>
            <w:proofErr w:type="gramEnd"/>
            <w:r>
              <w:rPr>
                <w:rFonts w:ascii="Calibri" w:hAnsi="Calibri"/>
                <w:sz w:val="21"/>
              </w:rPr>
              <w:t xml:space="preserve"> data ever needed to reach an external partner without copying it.</w:t>
            </w:r>
          </w:p>
        </w:tc>
      </w:tr>
    </w:tbl>
    <w:p w14:paraId="567FAD59" w14:textId="77777777" w:rsidR="00274775" w:rsidRDefault="00274775">
      <w:pPr>
        <w:spacing w:before="200"/>
      </w:pPr>
    </w:p>
    <w:p w14:paraId="7B2A1395" w14:textId="77777777" w:rsidR="00274775" w:rsidRDefault="00000000">
      <w:pPr>
        <w:spacing w:after="160"/>
      </w:pPr>
      <w:r>
        <w:rPr>
          <w:rFonts w:ascii="Calibri" w:hAnsi="Calibri"/>
          <w:color w:val="1A1A1A"/>
        </w:rPr>
        <w:t>Redshift remains the right call here specifically because the whole pipeline already lives in one AWS account end to end — IAM, S3, Glue, and Redshift share one identity and billing boundary, and the Data API authenticating directly off retail-pipeline-dev's IAM identity (no separate password store) is a genuine advantage that a second vendor account would dilute for no corresponding gain at this project's scale.</w:t>
      </w:r>
    </w:p>
    <w:p w14:paraId="183E3CAF" w14:textId="77777777" w:rsidR="00274775" w:rsidRDefault="00000000">
      <w:pPr>
        <w:spacing w:before="560" w:after="280"/>
      </w:pPr>
      <w:r>
        <w:rPr>
          <w:rFonts w:ascii="Calibri" w:hAnsi="Calibri"/>
          <w:b/>
          <w:color w:val="2E75B6"/>
          <w:sz w:val="52"/>
        </w:rPr>
        <w:t>4.2 AWS side — BI/visualization layer, and where each tool actually lives</w:t>
      </w:r>
    </w:p>
    <w:tbl>
      <w:tblPr>
        <w:tblW w:w="0" w:type="auto"/>
        <w:jc w:val="center"/>
        <w:tblLook w:val="04A0" w:firstRow="1" w:lastRow="0" w:firstColumn="1" w:lastColumn="0" w:noHBand="0" w:noVBand="1"/>
      </w:tblPr>
      <w:tblGrid>
        <w:gridCol w:w="1500"/>
        <w:gridCol w:w="2700"/>
        <w:gridCol w:w="2580"/>
        <w:gridCol w:w="2580"/>
      </w:tblGrid>
      <w:tr w:rsidR="00274775" w14:paraId="0925BA55" w14:textId="77777777">
        <w:trPr>
          <w:jc w:val="center"/>
        </w:trPr>
        <w:tc>
          <w:tcPr>
            <w:tcW w:w="1500" w:type="dxa"/>
            <w:tcBorders>
              <w:top w:val="single" w:sz="2" w:space="0" w:color="B9C6D9"/>
              <w:left w:val="single" w:sz="2" w:space="0" w:color="B9C6D9"/>
              <w:bottom w:val="single" w:sz="2" w:space="0" w:color="B9C6D9"/>
              <w:right w:val="single" w:sz="2" w:space="0" w:color="B9C6D9"/>
            </w:tcBorders>
            <w:shd w:val="clear" w:color="auto" w:fill="1F3864"/>
          </w:tcPr>
          <w:p w14:paraId="26AABB4D" w14:textId="77777777" w:rsidR="00274775" w:rsidRDefault="00000000">
            <w:r>
              <w:rPr>
                <w:rFonts w:ascii="Calibri" w:hAnsi="Calibri"/>
                <w:b/>
                <w:color w:val="FFFFFF"/>
                <w:sz w:val="21"/>
              </w:rPr>
              <w:t>Tool</w:t>
            </w:r>
          </w:p>
        </w:tc>
        <w:tc>
          <w:tcPr>
            <w:tcW w:w="2700" w:type="dxa"/>
            <w:tcBorders>
              <w:top w:val="single" w:sz="2" w:space="0" w:color="B9C6D9"/>
              <w:left w:val="single" w:sz="2" w:space="0" w:color="B9C6D9"/>
              <w:bottom w:val="single" w:sz="2" w:space="0" w:color="B9C6D9"/>
              <w:right w:val="single" w:sz="2" w:space="0" w:color="B9C6D9"/>
            </w:tcBorders>
            <w:shd w:val="clear" w:color="auto" w:fill="1F3864"/>
          </w:tcPr>
          <w:p w14:paraId="7EE03583" w14:textId="77777777" w:rsidR="00274775" w:rsidRDefault="00000000">
            <w:r>
              <w:rPr>
                <w:rFonts w:ascii="Calibri" w:hAnsi="Calibri"/>
                <w:b/>
                <w:color w:val="FFFFFF"/>
                <w:sz w:val="21"/>
              </w:rPr>
              <w:t>Where it lives</w:t>
            </w:r>
          </w:p>
        </w:tc>
        <w:tc>
          <w:tcPr>
            <w:tcW w:w="2580" w:type="dxa"/>
            <w:tcBorders>
              <w:top w:val="single" w:sz="2" w:space="0" w:color="B9C6D9"/>
              <w:left w:val="single" w:sz="2" w:space="0" w:color="B9C6D9"/>
              <w:bottom w:val="single" w:sz="2" w:space="0" w:color="B9C6D9"/>
              <w:right w:val="single" w:sz="2" w:space="0" w:color="B9C6D9"/>
            </w:tcBorders>
            <w:shd w:val="clear" w:color="auto" w:fill="1F3864"/>
          </w:tcPr>
          <w:p w14:paraId="7A71D9CC" w14:textId="77777777" w:rsidR="00274775" w:rsidRDefault="00000000">
            <w:r>
              <w:rPr>
                <w:rFonts w:ascii="Calibri" w:hAnsi="Calibri"/>
                <w:b/>
                <w:color w:val="FFFFFF"/>
                <w:sz w:val="21"/>
              </w:rPr>
              <w:t>How it connects</w:t>
            </w:r>
          </w:p>
        </w:tc>
        <w:tc>
          <w:tcPr>
            <w:tcW w:w="2580" w:type="dxa"/>
            <w:tcBorders>
              <w:top w:val="single" w:sz="2" w:space="0" w:color="B9C6D9"/>
              <w:left w:val="single" w:sz="2" w:space="0" w:color="B9C6D9"/>
              <w:bottom w:val="single" w:sz="2" w:space="0" w:color="B9C6D9"/>
              <w:right w:val="single" w:sz="2" w:space="0" w:color="B9C6D9"/>
            </w:tcBorders>
            <w:shd w:val="clear" w:color="auto" w:fill="1F3864"/>
          </w:tcPr>
          <w:p w14:paraId="7CBD6702" w14:textId="77777777" w:rsidR="00274775" w:rsidRDefault="00000000">
            <w:r>
              <w:rPr>
                <w:rFonts w:ascii="Calibri" w:hAnsi="Calibri"/>
                <w:b/>
                <w:color w:val="FFFFFF"/>
                <w:sz w:val="21"/>
              </w:rPr>
              <w:t>Operational note</w:t>
            </w:r>
          </w:p>
        </w:tc>
      </w:tr>
      <w:tr w:rsidR="00274775" w14:paraId="0D8738B8" w14:textId="77777777">
        <w:trPr>
          <w:jc w:val="center"/>
        </w:trPr>
        <w:tc>
          <w:tcPr>
            <w:tcW w:w="1500" w:type="dxa"/>
            <w:tcBorders>
              <w:top w:val="single" w:sz="2" w:space="0" w:color="B9C6D9"/>
              <w:left w:val="single" w:sz="2" w:space="0" w:color="B9C6D9"/>
              <w:bottom w:val="single" w:sz="2" w:space="0" w:color="B9C6D9"/>
              <w:right w:val="single" w:sz="2" w:space="0" w:color="B9C6D9"/>
            </w:tcBorders>
          </w:tcPr>
          <w:p w14:paraId="0769F313" w14:textId="77777777" w:rsidR="00274775" w:rsidRDefault="00000000">
            <w:r>
              <w:rPr>
                <w:rFonts w:ascii="Calibri" w:hAnsi="Calibri"/>
                <w:sz w:val="21"/>
              </w:rPr>
              <w:t xml:space="preserve">Amazon </w:t>
            </w:r>
            <w:proofErr w:type="spellStart"/>
            <w:r>
              <w:rPr>
                <w:rFonts w:ascii="Calibri" w:hAnsi="Calibri"/>
                <w:sz w:val="21"/>
              </w:rPr>
              <w:t>QuickSight</w:t>
            </w:r>
            <w:proofErr w:type="spellEnd"/>
          </w:p>
        </w:tc>
        <w:tc>
          <w:tcPr>
            <w:tcW w:w="2700" w:type="dxa"/>
            <w:tcBorders>
              <w:top w:val="single" w:sz="2" w:space="0" w:color="B9C6D9"/>
              <w:left w:val="single" w:sz="2" w:space="0" w:color="B9C6D9"/>
              <w:bottom w:val="single" w:sz="2" w:space="0" w:color="B9C6D9"/>
              <w:right w:val="single" w:sz="2" w:space="0" w:color="B9C6D9"/>
            </w:tcBorders>
          </w:tcPr>
          <w:p w14:paraId="069EC91E" w14:textId="77777777" w:rsidR="00274775" w:rsidRDefault="00000000">
            <w:r>
              <w:rPr>
                <w:rFonts w:ascii="Calibri" w:hAnsi="Calibri"/>
                <w:sz w:val="21"/>
              </w:rPr>
              <w:t>Inside the AWS account — a managed AWS service on the same bill, same region</w:t>
            </w:r>
          </w:p>
        </w:tc>
        <w:tc>
          <w:tcPr>
            <w:tcW w:w="2580" w:type="dxa"/>
            <w:tcBorders>
              <w:top w:val="single" w:sz="2" w:space="0" w:color="B9C6D9"/>
              <w:left w:val="single" w:sz="2" w:space="0" w:color="B9C6D9"/>
              <w:bottom w:val="single" w:sz="2" w:space="0" w:color="B9C6D9"/>
              <w:right w:val="single" w:sz="2" w:space="0" w:color="B9C6D9"/>
            </w:tcBorders>
          </w:tcPr>
          <w:p w14:paraId="149633A1" w14:textId="77777777" w:rsidR="00274775" w:rsidRDefault="00000000">
            <w:r>
              <w:rPr>
                <w:rFonts w:ascii="Calibri" w:hAnsi="Calibri"/>
                <w:sz w:val="21"/>
              </w:rPr>
              <w:t>Native Redshift/Athena/S3 connector, IAM-based access — no separate credential store</w:t>
            </w:r>
          </w:p>
        </w:tc>
        <w:tc>
          <w:tcPr>
            <w:tcW w:w="2580" w:type="dxa"/>
            <w:tcBorders>
              <w:top w:val="single" w:sz="2" w:space="0" w:color="B9C6D9"/>
              <w:left w:val="single" w:sz="2" w:space="0" w:color="B9C6D9"/>
              <w:bottom w:val="single" w:sz="2" w:space="0" w:color="B9C6D9"/>
              <w:right w:val="single" w:sz="2" w:space="0" w:color="B9C6D9"/>
            </w:tcBorders>
          </w:tcPr>
          <w:p w14:paraId="61477603" w14:textId="77777777" w:rsidR="00274775" w:rsidRDefault="00000000">
            <w:r>
              <w:rPr>
                <w:rFonts w:ascii="Calibri" w:hAnsi="Calibri"/>
                <w:sz w:val="21"/>
              </w:rPr>
              <w:t>Lowest friction precisely because it never leaves the AWS network boundary</w:t>
            </w:r>
          </w:p>
        </w:tc>
      </w:tr>
      <w:tr w:rsidR="00274775" w14:paraId="4C499220" w14:textId="77777777">
        <w:trPr>
          <w:jc w:val="center"/>
        </w:trPr>
        <w:tc>
          <w:tcPr>
            <w:tcW w:w="1500" w:type="dxa"/>
            <w:tcBorders>
              <w:top w:val="single" w:sz="2" w:space="0" w:color="B9C6D9"/>
              <w:left w:val="single" w:sz="2" w:space="0" w:color="B9C6D9"/>
              <w:bottom w:val="single" w:sz="2" w:space="0" w:color="B9C6D9"/>
              <w:right w:val="single" w:sz="2" w:space="0" w:color="B9C6D9"/>
            </w:tcBorders>
            <w:shd w:val="clear" w:color="auto" w:fill="EEF3FA"/>
          </w:tcPr>
          <w:p w14:paraId="1797A657" w14:textId="77777777" w:rsidR="00274775" w:rsidRDefault="00000000">
            <w:r>
              <w:rPr>
                <w:rFonts w:ascii="Calibri" w:hAnsi="Calibri"/>
                <w:sz w:val="21"/>
              </w:rPr>
              <w:t>Tableau</w:t>
            </w:r>
          </w:p>
        </w:tc>
        <w:tc>
          <w:tcPr>
            <w:tcW w:w="2700" w:type="dxa"/>
            <w:tcBorders>
              <w:top w:val="single" w:sz="2" w:space="0" w:color="B9C6D9"/>
              <w:left w:val="single" w:sz="2" w:space="0" w:color="B9C6D9"/>
              <w:bottom w:val="single" w:sz="2" w:space="0" w:color="B9C6D9"/>
              <w:right w:val="single" w:sz="2" w:space="0" w:color="B9C6D9"/>
            </w:tcBorders>
            <w:shd w:val="clear" w:color="auto" w:fill="EEF3FA"/>
          </w:tcPr>
          <w:p w14:paraId="2FD513A0" w14:textId="77777777" w:rsidR="00274775" w:rsidRDefault="00000000">
            <w:r>
              <w:rPr>
                <w:rFonts w:ascii="Calibri" w:hAnsi="Calibri"/>
                <w:sz w:val="21"/>
              </w:rPr>
              <w:t>Separate vendor entity by default (Tableau Cloud = pure SaaS, zero AWS footprint); Tableau Server can be self-hosted on EC2 inside the account but is still a separately licensed product</w:t>
            </w:r>
          </w:p>
        </w:tc>
        <w:tc>
          <w:tcPr>
            <w:tcW w:w="2580" w:type="dxa"/>
            <w:tcBorders>
              <w:top w:val="single" w:sz="2" w:space="0" w:color="B9C6D9"/>
              <w:left w:val="single" w:sz="2" w:space="0" w:color="B9C6D9"/>
              <w:bottom w:val="single" w:sz="2" w:space="0" w:color="B9C6D9"/>
              <w:right w:val="single" w:sz="2" w:space="0" w:color="B9C6D9"/>
            </w:tcBorders>
            <w:shd w:val="clear" w:color="auto" w:fill="EEF3FA"/>
          </w:tcPr>
          <w:p w14:paraId="1C5EA78F" w14:textId="77777777" w:rsidR="00274775" w:rsidRDefault="00000000">
            <w:r>
              <w:rPr>
                <w:rFonts w:ascii="Calibri" w:hAnsi="Calibri"/>
                <w:sz w:val="21"/>
              </w:rPr>
              <w:t>JDBC/ODBC Redshift driver, live connection or scheduled extract</w:t>
            </w:r>
          </w:p>
        </w:tc>
        <w:tc>
          <w:tcPr>
            <w:tcW w:w="2580" w:type="dxa"/>
            <w:tcBorders>
              <w:top w:val="single" w:sz="2" w:space="0" w:color="B9C6D9"/>
              <w:left w:val="single" w:sz="2" w:space="0" w:color="B9C6D9"/>
              <w:bottom w:val="single" w:sz="2" w:space="0" w:color="B9C6D9"/>
              <w:right w:val="single" w:sz="2" w:space="0" w:color="B9C6D9"/>
            </w:tcBorders>
            <w:shd w:val="clear" w:color="auto" w:fill="EEF3FA"/>
          </w:tcPr>
          <w:p w14:paraId="764EE8E5" w14:textId="77777777" w:rsidR="00274775" w:rsidRDefault="00000000">
            <w:r>
              <w:rPr>
                <w:rFonts w:ascii="Calibri" w:hAnsi="Calibri"/>
                <w:sz w:val="21"/>
              </w:rPr>
              <w:t xml:space="preserve">Hits the same "Redshift Serverless not publicly accessible by default" friction as local </w:t>
            </w:r>
            <w:proofErr w:type="spellStart"/>
            <w:r>
              <w:rPr>
                <w:rFonts w:ascii="Calibri" w:hAnsi="Calibri"/>
                <w:sz w:val="21"/>
              </w:rPr>
              <w:t>dbt</w:t>
            </w:r>
            <w:proofErr w:type="spellEnd"/>
            <w:r>
              <w:rPr>
                <w:rFonts w:ascii="Calibri" w:hAnsi="Calibri"/>
                <w:sz w:val="21"/>
              </w:rPr>
              <w:t xml:space="preserve"> sessions — needs a permanent (not dev-IP-scoped) security group rule or a self-hosted Bridge/Server</w:t>
            </w:r>
          </w:p>
        </w:tc>
      </w:tr>
      <w:tr w:rsidR="00274775" w14:paraId="104D7853" w14:textId="77777777">
        <w:trPr>
          <w:jc w:val="center"/>
        </w:trPr>
        <w:tc>
          <w:tcPr>
            <w:tcW w:w="1500" w:type="dxa"/>
            <w:tcBorders>
              <w:top w:val="single" w:sz="2" w:space="0" w:color="B9C6D9"/>
              <w:left w:val="single" w:sz="2" w:space="0" w:color="B9C6D9"/>
              <w:bottom w:val="single" w:sz="2" w:space="0" w:color="B9C6D9"/>
              <w:right w:val="single" w:sz="2" w:space="0" w:color="B9C6D9"/>
            </w:tcBorders>
          </w:tcPr>
          <w:p w14:paraId="3D77B60F" w14:textId="77777777" w:rsidR="00274775" w:rsidRDefault="00000000">
            <w:r>
              <w:rPr>
                <w:rFonts w:ascii="Calibri" w:hAnsi="Calibri"/>
                <w:sz w:val="21"/>
              </w:rPr>
              <w:t>Power BI</w:t>
            </w:r>
          </w:p>
        </w:tc>
        <w:tc>
          <w:tcPr>
            <w:tcW w:w="2700" w:type="dxa"/>
            <w:tcBorders>
              <w:top w:val="single" w:sz="2" w:space="0" w:color="B9C6D9"/>
              <w:left w:val="single" w:sz="2" w:space="0" w:color="B9C6D9"/>
              <w:bottom w:val="single" w:sz="2" w:space="0" w:color="B9C6D9"/>
              <w:right w:val="single" w:sz="2" w:space="0" w:color="B9C6D9"/>
            </w:tcBorders>
          </w:tcPr>
          <w:p w14:paraId="34902E86" w14:textId="77777777" w:rsidR="00274775" w:rsidRDefault="00000000">
            <w:r>
              <w:rPr>
                <w:rFonts w:ascii="Calibri" w:hAnsi="Calibri"/>
                <w:sz w:val="21"/>
              </w:rPr>
              <w:t>Microsoft SaaS, entirely outside the AWS account</w:t>
            </w:r>
          </w:p>
        </w:tc>
        <w:tc>
          <w:tcPr>
            <w:tcW w:w="2580" w:type="dxa"/>
            <w:tcBorders>
              <w:top w:val="single" w:sz="2" w:space="0" w:color="B9C6D9"/>
              <w:left w:val="single" w:sz="2" w:space="0" w:color="B9C6D9"/>
              <w:bottom w:val="single" w:sz="2" w:space="0" w:color="B9C6D9"/>
              <w:right w:val="single" w:sz="2" w:space="0" w:color="B9C6D9"/>
            </w:tcBorders>
          </w:tcPr>
          <w:p w14:paraId="1A5592B0" w14:textId="77777777" w:rsidR="00274775" w:rsidRDefault="00000000">
            <w:r>
              <w:rPr>
                <w:rFonts w:ascii="Calibri" w:hAnsi="Calibri"/>
                <w:sz w:val="21"/>
              </w:rPr>
              <w:t>Power BI's Redshift connector + an on-prem data gateway if Redshift stays private</w:t>
            </w:r>
          </w:p>
        </w:tc>
        <w:tc>
          <w:tcPr>
            <w:tcW w:w="2580" w:type="dxa"/>
            <w:tcBorders>
              <w:top w:val="single" w:sz="2" w:space="0" w:color="B9C6D9"/>
              <w:left w:val="single" w:sz="2" w:space="0" w:color="B9C6D9"/>
              <w:bottom w:val="single" w:sz="2" w:space="0" w:color="B9C6D9"/>
              <w:right w:val="single" w:sz="2" w:space="0" w:color="B9C6D9"/>
            </w:tcBorders>
          </w:tcPr>
          <w:p w14:paraId="5FE932C4" w14:textId="77777777" w:rsidR="00274775" w:rsidRDefault="00000000">
            <w:r>
              <w:rPr>
                <w:rFonts w:ascii="Calibri" w:hAnsi="Calibri"/>
                <w:sz w:val="21"/>
              </w:rPr>
              <w:t>Same security-group friction as Tableau; gateway pattern mirrors Tableau Bridge</w:t>
            </w:r>
          </w:p>
        </w:tc>
      </w:tr>
    </w:tbl>
    <w:p w14:paraId="070DC9F1" w14:textId="77777777" w:rsidR="00274775" w:rsidRDefault="00274775">
      <w:pPr>
        <w:spacing w:before="200"/>
      </w:pPr>
    </w:p>
    <w:p w14:paraId="3708E876" w14:textId="77777777" w:rsidR="00274775" w:rsidRDefault="00000000">
      <w:pPr>
        <w:spacing w:before="560" w:after="280"/>
      </w:pPr>
      <w:r>
        <w:rPr>
          <w:rFonts w:ascii="Calibri" w:hAnsi="Calibri"/>
          <w:b/>
          <w:color w:val="2E75B6"/>
          <w:sz w:val="52"/>
        </w:rPr>
        <w:lastRenderedPageBreak/>
        <w:t>4.3 AWS side — when this project would actually use SageMaker</w:t>
      </w:r>
    </w:p>
    <w:p w14:paraId="6BCABC66" w14:textId="77777777" w:rsidR="00274775" w:rsidRDefault="00000000">
      <w:pPr>
        <w:spacing w:after="160"/>
      </w:pPr>
      <w:r>
        <w:rPr>
          <w:rFonts w:ascii="Calibri" w:hAnsi="Calibri"/>
          <w:color w:val="1A1A1A"/>
        </w:rPr>
        <w:t>SageMaker is not a warehouse or BI replacement — it is a parallel branch reading from Silver/Gold, not a further step after Redshift. It would sit inside the AWS account, training against S3 Parquet or via Athena/Redshift Data API, and serving predictions through a real-time endpoint or a batch transform job.</w:t>
      </w:r>
    </w:p>
    <w:p w14:paraId="5BAA8479" w14:textId="77777777" w:rsidR="00274775" w:rsidRDefault="00000000">
      <w:pPr>
        <w:pStyle w:val="ListBullet"/>
        <w:spacing w:after="80"/>
      </w:pPr>
      <w:r>
        <w:rPr>
          <w:rFonts w:ascii="Calibri" w:hAnsi="Calibri"/>
          <w:b/>
        </w:rPr>
        <w:t xml:space="preserve">Predictive overtraining risk: </w:t>
      </w:r>
      <w:r>
        <w:rPr>
          <w:rFonts w:ascii="Calibri" w:hAnsi="Calibri"/>
        </w:rPr>
        <w:t xml:space="preserve">the current </w:t>
      </w:r>
      <w:proofErr w:type="spellStart"/>
      <w:r>
        <w:rPr>
          <w:rFonts w:ascii="Calibri" w:hAnsi="Calibri"/>
        </w:rPr>
        <w:t>overtraining_flag</w:t>
      </w:r>
      <w:proofErr w:type="spellEnd"/>
      <w:r>
        <w:rPr>
          <w:rFonts w:ascii="Calibri" w:hAnsi="Calibri"/>
        </w:rPr>
        <w:t xml:space="preserve"> is a same-day, reactive, deterministic rule. A model trained on rolling 7–</w:t>
      </w:r>
      <w:proofErr w:type="gramStart"/>
      <w:r>
        <w:rPr>
          <w:rFonts w:ascii="Calibri" w:hAnsi="Calibri"/>
        </w:rPr>
        <w:t>14 day</w:t>
      </w:r>
      <w:proofErr w:type="gramEnd"/>
      <w:r>
        <w:rPr>
          <w:rFonts w:ascii="Calibri" w:hAnsi="Calibri"/>
        </w:rPr>
        <w:t xml:space="preserve"> HRV trend, sleep-debt trajectory, and training load could predict risk before the threshold is crossed, by learning non-linear interactions the additive formula can't capture. This is the single most defensible "ML adds real value here" answer for this dataset.</w:t>
      </w:r>
    </w:p>
    <w:p w14:paraId="37A8F3B1" w14:textId="77777777" w:rsidR="00274775" w:rsidRDefault="00000000">
      <w:pPr>
        <w:pStyle w:val="ListBullet"/>
        <w:spacing w:after="80"/>
      </w:pPr>
      <w:r>
        <w:rPr>
          <w:rFonts w:ascii="Calibri" w:hAnsi="Calibri"/>
          <w:b/>
        </w:rPr>
        <w:t xml:space="preserve">PT-client churn risk: </w:t>
      </w:r>
      <w:r>
        <w:rPr>
          <w:rFonts w:ascii="Calibri" w:hAnsi="Calibri"/>
        </w:rPr>
        <w:t xml:space="preserve">declining </w:t>
      </w:r>
      <w:proofErr w:type="spellStart"/>
      <w:r>
        <w:rPr>
          <w:rFonts w:ascii="Calibri" w:hAnsi="Calibri"/>
        </w:rPr>
        <w:t>workout_consistency</w:t>
      </w:r>
      <w:proofErr w:type="spellEnd"/>
      <w:r>
        <w:rPr>
          <w:rFonts w:ascii="Calibri" w:hAnsi="Calibri"/>
        </w:rPr>
        <w:t xml:space="preserve"> is a leading indicator for a client about to drop a coaching program — ties the technical pipeline directly to the actual personal-training business this data models.</w:t>
      </w:r>
    </w:p>
    <w:p w14:paraId="6799B00E" w14:textId="77777777" w:rsidR="00274775" w:rsidRDefault="00000000">
      <w:pPr>
        <w:pStyle w:val="ListBullet"/>
        <w:spacing w:after="80"/>
      </w:pPr>
      <w:r>
        <w:rPr>
          <w:rFonts w:ascii="Calibri" w:hAnsi="Calibri"/>
          <w:b/>
        </w:rPr>
        <w:t xml:space="preserve">Unsupervised cohort discovery: </w:t>
      </w:r>
      <w:r>
        <w:rPr>
          <w:rFonts w:ascii="Calibri" w:hAnsi="Calibri"/>
        </w:rPr>
        <w:t>clustering on fatigue/recovery/consistency feature vectors could surface cohorts beyond the two explicit dimensions (</w:t>
      </w:r>
      <w:proofErr w:type="spellStart"/>
      <w:r>
        <w:rPr>
          <w:rFonts w:ascii="Calibri" w:hAnsi="Calibri"/>
        </w:rPr>
        <w:t>job_type</w:t>
      </w:r>
      <w:proofErr w:type="spellEnd"/>
      <w:r>
        <w:rPr>
          <w:rFonts w:ascii="Calibri" w:hAnsi="Calibri"/>
        </w:rPr>
        <w:t xml:space="preserve">, </w:t>
      </w:r>
      <w:proofErr w:type="spellStart"/>
      <w:r>
        <w:rPr>
          <w:rFonts w:ascii="Calibri" w:hAnsi="Calibri"/>
        </w:rPr>
        <w:t>fitness_goal</w:t>
      </w:r>
      <w:proofErr w:type="spellEnd"/>
      <w:r>
        <w:rPr>
          <w:rFonts w:ascii="Calibri" w:hAnsi="Calibri"/>
        </w:rPr>
        <w:t>) already in Gold.</w:t>
      </w:r>
    </w:p>
    <w:p w14:paraId="0E03F25D" w14:textId="77777777" w:rsidR="00274775" w:rsidRDefault="00000000">
      <w:pPr>
        <w:spacing w:after="160"/>
      </w:pPr>
      <w:r>
        <w:rPr>
          <w:rFonts w:ascii="Calibri" w:hAnsi="Calibri"/>
          <w:color w:val="1A1A1A"/>
        </w:rPr>
        <w:t>Cost discipline note: a deployed real-time SageMaker endpoint bills continuously while running — the same always-on category this project has avoided everywhere else (Kinesis deleted after use, Redshift auto-idling, Glue/Lambda triggered-not-continuous). A training job or batch transform fits the existing discipline; a permanently-deployed endpoint would need the same cost conversation already had about EC2.</w:t>
      </w:r>
    </w:p>
    <w:p w14:paraId="48759521" w14:textId="77777777" w:rsidR="00274775" w:rsidRDefault="00000000">
      <w:pPr>
        <w:pBdr>
          <w:left w:val="single" w:sz="18" w:space="8" w:color="2E75B6"/>
        </w:pBdr>
        <w:spacing w:before="240" w:after="400"/>
        <w:ind w:left="360"/>
      </w:pPr>
      <w:r>
        <w:rPr>
          <w:rFonts w:ascii="Calibri" w:hAnsi="Calibri"/>
          <w:color w:val="333333"/>
        </w:rPr>
        <w:t>Why it isn't built: the current fatigue/recovery scoring is interpretable and explicitly grounded in cited physiological research. In a health/wellness context, that interpretability has real value — a user or coach can be told exactly why a score is what it is. Recognizing that not every scoring problem benefits from ML, and being able to say specifically why for this dataset, is a more senior answer than defaulting to "and then I'd add a model."</w:t>
      </w:r>
    </w:p>
    <w:p w14:paraId="61E6E76E" w14:textId="77777777" w:rsidR="00274775" w:rsidRDefault="00000000">
      <w:pPr>
        <w:spacing w:before="560" w:after="280"/>
      </w:pPr>
      <w:r>
        <w:rPr>
          <w:rFonts w:ascii="Calibri" w:hAnsi="Calibri"/>
          <w:b/>
          <w:color w:val="2E75B6"/>
          <w:sz w:val="52"/>
        </w:rPr>
        <w:t>4.4 Databricks side — building a dashboard directly off the Gold Delta endpoint</w:t>
      </w:r>
    </w:p>
    <w:tbl>
      <w:tblPr>
        <w:tblW w:w="0" w:type="auto"/>
        <w:jc w:val="center"/>
        <w:tblLook w:val="04A0" w:firstRow="1" w:lastRow="0" w:firstColumn="1" w:lastColumn="0" w:noHBand="0" w:noVBand="1"/>
      </w:tblPr>
      <w:tblGrid>
        <w:gridCol w:w="2900"/>
        <w:gridCol w:w="6460"/>
      </w:tblGrid>
      <w:tr w:rsidR="00274775" w14:paraId="5DFAED37" w14:textId="77777777">
        <w:trPr>
          <w:jc w:val="center"/>
        </w:trPr>
        <w:tc>
          <w:tcPr>
            <w:tcW w:w="2900" w:type="dxa"/>
            <w:tcBorders>
              <w:top w:val="single" w:sz="2" w:space="0" w:color="B9C6D9"/>
              <w:left w:val="single" w:sz="2" w:space="0" w:color="B9C6D9"/>
              <w:bottom w:val="single" w:sz="2" w:space="0" w:color="B9C6D9"/>
              <w:right w:val="single" w:sz="2" w:space="0" w:color="B9C6D9"/>
            </w:tcBorders>
            <w:shd w:val="clear" w:color="auto" w:fill="1F3864"/>
          </w:tcPr>
          <w:p w14:paraId="72495BFF" w14:textId="77777777" w:rsidR="00274775" w:rsidRDefault="00000000">
            <w:r>
              <w:rPr>
                <w:rFonts w:ascii="Calibri" w:hAnsi="Calibri"/>
                <w:b/>
                <w:color w:val="FFFFFF"/>
                <w:sz w:val="21"/>
              </w:rPr>
              <w:t>Option</w:t>
            </w:r>
          </w:p>
        </w:tc>
        <w:tc>
          <w:tcPr>
            <w:tcW w:w="6460" w:type="dxa"/>
            <w:tcBorders>
              <w:top w:val="single" w:sz="2" w:space="0" w:color="B9C6D9"/>
              <w:left w:val="single" w:sz="2" w:space="0" w:color="B9C6D9"/>
              <w:bottom w:val="single" w:sz="2" w:space="0" w:color="B9C6D9"/>
              <w:right w:val="single" w:sz="2" w:space="0" w:color="B9C6D9"/>
            </w:tcBorders>
            <w:shd w:val="clear" w:color="auto" w:fill="1F3864"/>
          </w:tcPr>
          <w:p w14:paraId="035B3B34" w14:textId="77777777" w:rsidR="00274775" w:rsidRDefault="00000000">
            <w:r>
              <w:rPr>
                <w:rFonts w:ascii="Calibri" w:hAnsi="Calibri"/>
                <w:b/>
                <w:color w:val="FFFFFF"/>
                <w:sz w:val="21"/>
              </w:rPr>
              <w:t>Why / how</w:t>
            </w:r>
          </w:p>
        </w:tc>
      </w:tr>
      <w:tr w:rsidR="00274775" w14:paraId="3B66AE1B" w14:textId="77777777">
        <w:trPr>
          <w:jc w:val="center"/>
        </w:trPr>
        <w:tc>
          <w:tcPr>
            <w:tcW w:w="2900" w:type="dxa"/>
            <w:tcBorders>
              <w:top w:val="single" w:sz="2" w:space="0" w:color="B9C6D9"/>
              <w:left w:val="single" w:sz="2" w:space="0" w:color="B9C6D9"/>
              <w:bottom w:val="single" w:sz="2" w:space="0" w:color="B9C6D9"/>
              <w:right w:val="single" w:sz="2" w:space="0" w:color="B9C6D9"/>
            </w:tcBorders>
          </w:tcPr>
          <w:p w14:paraId="7E6B4113" w14:textId="77777777" w:rsidR="00274775" w:rsidRDefault="00000000">
            <w:r>
              <w:rPr>
                <w:rFonts w:ascii="Calibri" w:hAnsi="Calibri"/>
                <w:sz w:val="21"/>
              </w:rPr>
              <w:t>Databricks SQL + Lakeview dashboards</w:t>
            </w:r>
          </w:p>
        </w:tc>
        <w:tc>
          <w:tcPr>
            <w:tcW w:w="6460" w:type="dxa"/>
            <w:tcBorders>
              <w:top w:val="single" w:sz="2" w:space="0" w:color="B9C6D9"/>
              <w:left w:val="single" w:sz="2" w:space="0" w:color="B9C6D9"/>
              <w:bottom w:val="single" w:sz="2" w:space="0" w:color="B9C6D9"/>
              <w:right w:val="single" w:sz="2" w:space="0" w:color="B9C6D9"/>
            </w:tcBorders>
          </w:tcPr>
          <w:p w14:paraId="73AC7DE5" w14:textId="77777777" w:rsidR="00274775" w:rsidRDefault="00000000">
            <w:r>
              <w:rPr>
                <w:rFonts w:ascii="Calibri" w:hAnsi="Calibri"/>
                <w:sz w:val="21"/>
              </w:rPr>
              <w:t>Most native option. Built on a serverless SQL Warehouse, queries Gold Delta tables directly through the same Unity Catalog permissions already governing everything else, zero data movement, inherits automatic lineage for free. The natural next step (DB-6).</w:t>
            </w:r>
          </w:p>
        </w:tc>
      </w:tr>
      <w:tr w:rsidR="00274775" w14:paraId="6F6FD05B" w14:textId="77777777">
        <w:trPr>
          <w:jc w:val="center"/>
        </w:trPr>
        <w:tc>
          <w:tcPr>
            <w:tcW w:w="2900" w:type="dxa"/>
            <w:tcBorders>
              <w:top w:val="single" w:sz="2" w:space="0" w:color="B9C6D9"/>
              <w:left w:val="single" w:sz="2" w:space="0" w:color="B9C6D9"/>
              <w:bottom w:val="single" w:sz="2" w:space="0" w:color="B9C6D9"/>
              <w:right w:val="single" w:sz="2" w:space="0" w:color="B9C6D9"/>
            </w:tcBorders>
            <w:shd w:val="clear" w:color="auto" w:fill="EEF3FA"/>
          </w:tcPr>
          <w:p w14:paraId="6D321BA5" w14:textId="77777777" w:rsidR="00274775" w:rsidRDefault="00000000">
            <w:r>
              <w:rPr>
                <w:rFonts w:ascii="Calibri" w:hAnsi="Calibri"/>
                <w:sz w:val="21"/>
              </w:rPr>
              <w:t>Databricks Apps (</w:t>
            </w:r>
            <w:proofErr w:type="spellStart"/>
            <w:r>
              <w:rPr>
                <w:rFonts w:ascii="Calibri" w:hAnsi="Calibri"/>
                <w:sz w:val="21"/>
              </w:rPr>
              <w:t>Streamlit</w:t>
            </w:r>
            <w:proofErr w:type="spellEnd"/>
            <w:r>
              <w:rPr>
                <w:rFonts w:ascii="Calibri" w:hAnsi="Calibri"/>
                <w:sz w:val="21"/>
              </w:rPr>
              <w:t xml:space="preserve">, </w:t>
            </w:r>
            <w:r>
              <w:rPr>
                <w:rFonts w:ascii="Calibri" w:hAnsi="Calibri"/>
                <w:sz w:val="21"/>
              </w:rPr>
              <w:lastRenderedPageBreak/>
              <w:t>natively hosted)</w:t>
            </w:r>
          </w:p>
        </w:tc>
        <w:tc>
          <w:tcPr>
            <w:tcW w:w="6460" w:type="dxa"/>
            <w:tcBorders>
              <w:top w:val="single" w:sz="2" w:space="0" w:color="B9C6D9"/>
              <w:left w:val="single" w:sz="2" w:space="0" w:color="B9C6D9"/>
              <w:bottom w:val="single" w:sz="2" w:space="0" w:color="B9C6D9"/>
              <w:right w:val="single" w:sz="2" w:space="0" w:color="B9C6D9"/>
            </w:tcBorders>
            <w:shd w:val="clear" w:color="auto" w:fill="EEF3FA"/>
          </w:tcPr>
          <w:p w14:paraId="365B80FA" w14:textId="77777777" w:rsidR="00274775" w:rsidRDefault="00000000">
            <w:proofErr w:type="spellStart"/>
            <w:proofErr w:type="gramStart"/>
            <w:r>
              <w:rPr>
                <w:rFonts w:ascii="Calibri" w:hAnsi="Calibri"/>
                <w:sz w:val="21"/>
              </w:rPr>
              <w:lastRenderedPageBreak/>
              <w:t>Lets</w:t>
            </w:r>
            <w:proofErr w:type="spellEnd"/>
            <w:proofErr w:type="gramEnd"/>
            <w:r>
              <w:rPr>
                <w:rFonts w:ascii="Calibri" w:hAnsi="Calibri"/>
                <w:sz w:val="21"/>
              </w:rPr>
              <w:t xml:space="preserve"> the </w:t>
            </w:r>
            <w:proofErr w:type="spellStart"/>
            <w:r>
              <w:rPr>
                <w:rFonts w:ascii="Calibri" w:hAnsi="Calibri"/>
                <w:sz w:val="21"/>
              </w:rPr>
              <w:t>Streamlit</w:t>
            </w:r>
            <w:proofErr w:type="spellEnd"/>
            <w:r>
              <w:rPr>
                <w:rFonts w:ascii="Calibri" w:hAnsi="Calibri"/>
                <w:sz w:val="21"/>
              </w:rPr>
              <w:t xml:space="preserve"> dashboard originally scoped for Local's abandoned </w:t>
            </w:r>
            <w:r>
              <w:rPr>
                <w:rFonts w:ascii="Calibri" w:hAnsi="Calibri"/>
                <w:sz w:val="21"/>
              </w:rPr>
              <w:lastRenderedPageBreak/>
              <w:t xml:space="preserve">Phase 8 be reused rather than rebuilt — the same codebase pointed at </w:t>
            </w:r>
            <w:proofErr w:type="spellStart"/>
            <w:r>
              <w:rPr>
                <w:rFonts w:ascii="Calibri" w:hAnsi="Calibri"/>
                <w:sz w:val="21"/>
              </w:rPr>
              <w:t>DuckDB</w:t>
            </w:r>
            <w:proofErr w:type="spellEnd"/>
            <w:r>
              <w:rPr>
                <w:rFonts w:ascii="Calibri" w:hAnsi="Calibri"/>
                <w:sz w:val="21"/>
              </w:rPr>
              <w:t xml:space="preserve"> locally and at a Databricks SQL Warehouse here, with only the connection string differing.</w:t>
            </w:r>
          </w:p>
        </w:tc>
      </w:tr>
      <w:tr w:rsidR="00274775" w14:paraId="387FD5D5" w14:textId="77777777">
        <w:trPr>
          <w:jc w:val="center"/>
        </w:trPr>
        <w:tc>
          <w:tcPr>
            <w:tcW w:w="2900" w:type="dxa"/>
            <w:tcBorders>
              <w:top w:val="single" w:sz="2" w:space="0" w:color="B9C6D9"/>
              <w:left w:val="single" w:sz="2" w:space="0" w:color="B9C6D9"/>
              <w:bottom w:val="single" w:sz="2" w:space="0" w:color="B9C6D9"/>
              <w:right w:val="single" w:sz="2" w:space="0" w:color="B9C6D9"/>
            </w:tcBorders>
          </w:tcPr>
          <w:p w14:paraId="2F993596" w14:textId="77777777" w:rsidR="00274775" w:rsidRDefault="00000000">
            <w:r>
              <w:rPr>
                <w:rFonts w:ascii="Calibri" w:hAnsi="Calibri"/>
                <w:sz w:val="21"/>
              </w:rPr>
              <w:lastRenderedPageBreak/>
              <w:t>Power BI / Tableau via Partner Connect</w:t>
            </w:r>
          </w:p>
        </w:tc>
        <w:tc>
          <w:tcPr>
            <w:tcW w:w="6460" w:type="dxa"/>
            <w:tcBorders>
              <w:top w:val="single" w:sz="2" w:space="0" w:color="B9C6D9"/>
              <w:left w:val="single" w:sz="2" w:space="0" w:color="B9C6D9"/>
              <w:bottom w:val="single" w:sz="2" w:space="0" w:color="B9C6D9"/>
              <w:right w:val="single" w:sz="2" w:space="0" w:color="B9C6D9"/>
            </w:tcBorders>
          </w:tcPr>
          <w:p w14:paraId="23A97F28" w14:textId="77777777" w:rsidR="00274775" w:rsidRDefault="00000000">
            <w:proofErr w:type="spellStart"/>
            <w:r>
              <w:rPr>
                <w:rFonts w:ascii="Calibri" w:hAnsi="Calibri"/>
                <w:sz w:val="21"/>
              </w:rPr>
              <w:t>Databricks's</w:t>
            </w:r>
            <w:proofErr w:type="spellEnd"/>
            <w:r>
              <w:rPr>
                <w:rFonts w:ascii="Calibri" w:hAnsi="Calibri"/>
                <w:sz w:val="21"/>
              </w:rPr>
              <w:t xml:space="preserve"> direct equivalent of "Tableau connects to Redshift" — same external-vendor-account caveat, but the connection is HTTPS/token-based rather than raw Postgres-over-a-security-group, meaningfully less networking friction than the Redshift-side experience.</w:t>
            </w:r>
          </w:p>
        </w:tc>
      </w:tr>
    </w:tbl>
    <w:p w14:paraId="1B3B1DFA" w14:textId="77777777" w:rsidR="00274775" w:rsidRDefault="00274775">
      <w:pPr>
        <w:spacing w:before="200"/>
      </w:pPr>
    </w:p>
    <w:p w14:paraId="45F9D23E" w14:textId="77777777" w:rsidR="00274775" w:rsidRDefault="00000000">
      <w:pPr>
        <w:spacing w:before="560" w:after="280"/>
      </w:pPr>
      <w:r>
        <w:rPr>
          <w:rFonts w:ascii="Calibri" w:hAnsi="Calibri"/>
          <w:b/>
          <w:color w:val="2E75B6"/>
          <w:sz w:val="52"/>
        </w:rPr>
        <w:t>4.5 Databricks side — can the endpoint become Snowflake too?</w:t>
      </w:r>
    </w:p>
    <w:p w14:paraId="1C0366DF" w14:textId="77777777" w:rsidR="00274775" w:rsidRDefault="00000000">
      <w:pPr>
        <w:spacing w:after="160"/>
      </w:pPr>
      <w:r>
        <w:rPr>
          <w:rFonts w:ascii="Calibri" w:hAnsi="Calibri"/>
          <w:color w:val="1A1A1A"/>
        </w:rPr>
        <w:t>Yes, via three genuinely different mechanisms:</w:t>
      </w:r>
    </w:p>
    <w:p w14:paraId="498E4464" w14:textId="77777777" w:rsidR="00274775" w:rsidRDefault="00000000">
      <w:pPr>
        <w:pStyle w:val="ListBullet"/>
        <w:spacing w:after="80"/>
      </w:pPr>
      <w:r>
        <w:rPr>
          <w:rFonts w:ascii="Calibri" w:hAnsi="Calibri"/>
          <w:b/>
        </w:rPr>
        <w:t xml:space="preserve">Delta Sharing: </w:t>
      </w:r>
      <w:proofErr w:type="spellStart"/>
      <w:r>
        <w:rPr>
          <w:rFonts w:ascii="Calibri" w:hAnsi="Calibri"/>
        </w:rPr>
        <w:t>Databricks's</w:t>
      </w:r>
      <w:proofErr w:type="spellEnd"/>
      <w:r>
        <w:rPr>
          <w:rFonts w:ascii="Calibri" w:hAnsi="Calibri"/>
        </w:rPr>
        <w:t xml:space="preserve"> open, vendor-agnostic protocol for sharing live Delta tables across organizations without copying data. Snowflake has native Delta Sharing support — Gold Delta tables could be shared directly into a Snowflake account, governed entirely from Unity Catalog, with no ETL hop and no format conversion. The cleanest mechanism, and the one worth leading with, since it's an open standard rather than a Databricks-only trick.</w:t>
      </w:r>
    </w:p>
    <w:p w14:paraId="71E27FD3" w14:textId="77777777" w:rsidR="00274775" w:rsidRDefault="00000000">
      <w:pPr>
        <w:pStyle w:val="ListBullet"/>
        <w:spacing w:after="80"/>
      </w:pPr>
      <w:r>
        <w:rPr>
          <w:rFonts w:ascii="Calibri" w:hAnsi="Calibri"/>
          <w:b/>
        </w:rPr>
        <w:t xml:space="preserve">Unity Catalog Lakehouse Federation: </w:t>
      </w:r>
      <w:r>
        <w:rPr>
          <w:rFonts w:ascii="Calibri" w:hAnsi="Calibri"/>
        </w:rPr>
        <w:t>the reverse direction — Databricks queries a live Snowflake table without copying it in, useful when Snowflake is the system of record for some other part of the org.</w:t>
      </w:r>
    </w:p>
    <w:p w14:paraId="194EB725" w14:textId="77777777" w:rsidR="00274775" w:rsidRDefault="00000000">
      <w:pPr>
        <w:pStyle w:val="ListBullet"/>
        <w:spacing w:after="80"/>
      </w:pPr>
      <w:r>
        <w:rPr>
          <w:rFonts w:ascii="Calibri" w:hAnsi="Calibri"/>
          <w:b/>
        </w:rPr>
        <w:t xml:space="preserve">Plain export/COPY: </w:t>
      </w:r>
      <w:r>
        <w:rPr>
          <w:rFonts w:ascii="Calibri" w:hAnsi="Calibri"/>
        </w:rPr>
        <w:t>write Gold as Parquet to cloud storage and let Snowflake's own COPY INTO ingest it — structurally identical to the AWS-side Snowflake option in §4.1, just sourced from Databricks instead of Glue.</w:t>
      </w:r>
    </w:p>
    <w:p w14:paraId="7BD4B2B9" w14:textId="77777777" w:rsidR="00274775" w:rsidRDefault="00000000">
      <w:pPr>
        <w:spacing w:after="160"/>
      </w:pPr>
      <w:r>
        <w:rPr>
          <w:rFonts w:ascii="Calibri" w:hAnsi="Calibri"/>
          <w:color w:val="1A1A1A"/>
        </w:rPr>
        <w:t>This matters as a real-world pattern, not a hypothetical: it's extremely common for a data/ML team to standardize on Databricks while the rest of an org's BI consumers already run on Snowflake for unrelated historical reasons. Delta Sharing exists specifically to make that split organizationally survivable without forcing either team to migrate.</w:t>
      </w:r>
    </w:p>
    <w:p w14:paraId="29D94A76" w14:textId="77777777" w:rsidR="00274775" w:rsidRDefault="00000000">
      <w:r>
        <w:br w:type="page"/>
      </w:r>
    </w:p>
    <w:p w14:paraId="100A5009" w14:textId="77777777" w:rsidR="00274775" w:rsidRDefault="00000000">
      <w:pPr>
        <w:pBdr>
          <w:bottom w:val="single" w:sz="8" w:space="4" w:color="2E75B6"/>
        </w:pBdr>
        <w:spacing w:before="240" w:after="480"/>
      </w:pPr>
      <w:r>
        <w:rPr>
          <w:rFonts w:ascii="Calibri" w:hAnsi="Calibri"/>
          <w:b/>
          <w:color w:val="1F3864"/>
          <w:sz w:val="64"/>
        </w:rPr>
        <w:lastRenderedPageBreak/>
        <w:t>5. Interview Scenarios</w:t>
      </w:r>
    </w:p>
    <w:p w14:paraId="76AD2176" w14:textId="77777777" w:rsidR="00274775" w:rsidRDefault="00000000">
      <w:pPr>
        <w:spacing w:after="160"/>
      </w:pPr>
      <w:r>
        <w:rPr>
          <w:rFonts w:ascii="Calibri" w:hAnsi="Calibri"/>
          <w:color w:val="1A1A1A"/>
        </w:rPr>
        <w:t>A curated set of the highest-value questions this project should be able to answer under pressure. The full 50+ entry bank lives in docs/interview_qa.md — this is the distilled version.</w:t>
      </w:r>
    </w:p>
    <w:p w14:paraId="6AE9B4E9" w14:textId="77777777" w:rsidR="00274775" w:rsidRDefault="00000000">
      <w:pPr>
        <w:spacing w:before="560" w:after="280"/>
      </w:pPr>
      <w:r>
        <w:rPr>
          <w:rFonts w:ascii="Calibri" w:hAnsi="Calibri"/>
          <w:b/>
          <w:color w:val="2E75B6"/>
          <w:sz w:val="52"/>
        </w:rPr>
        <w:t>5.1 Framing &amp; motivation</w:t>
      </w:r>
    </w:p>
    <w:p w14:paraId="22CE3107" w14:textId="77777777" w:rsidR="00274775" w:rsidRDefault="00000000">
      <w:pPr>
        <w:spacing w:before="160" w:after="60"/>
      </w:pPr>
      <w:r>
        <w:rPr>
          <w:rFonts w:ascii="Calibri" w:hAnsi="Calibri"/>
          <w:b/>
          <w:color w:val="1F3864"/>
        </w:rPr>
        <w:t>Q: Why build the same pipeline three times instead of going deep on one stack?</w:t>
      </w:r>
    </w:p>
    <w:p w14:paraId="5B3BA00D" w14:textId="77777777" w:rsidR="00274775" w:rsidRDefault="00000000">
      <w:pPr>
        <w:spacing w:after="100"/>
      </w:pPr>
      <w:r>
        <w:rPr>
          <w:rFonts w:ascii="Calibri" w:hAnsi="Calibri"/>
        </w:rPr>
        <w:t xml:space="preserve">A: Most candidates can show one pipeline on one stack. Building the same </w:t>
      </w:r>
      <w:proofErr w:type="spellStart"/>
      <w:r>
        <w:rPr>
          <w:rFonts w:ascii="Calibri" w:hAnsi="Calibri"/>
        </w:rPr>
        <w:t>Bronze→Silver→Gold</w:t>
      </w:r>
      <w:proofErr w:type="spellEnd"/>
      <w:r>
        <w:rPr>
          <w:rFonts w:ascii="Calibri" w:hAnsi="Calibri"/>
        </w:rPr>
        <w:t xml:space="preserve"> logic on a hand-rolled local stack, on AWS managed services, and on Databricks lets me talk about why each platform makes a given decision differently, not just that I used the platform. It's a comparison engine, not three disconnected demos.</w:t>
      </w:r>
    </w:p>
    <w:p w14:paraId="1977E9A4" w14:textId="77777777" w:rsidR="00274775" w:rsidRDefault="00000000">
      <w:pPr>
        <w:spacing w:before="160" w:after="60"/>
      </w:pPr>
      <w:r>
        <w:rPr>
          <w:rFonts w:ascii="Calibri" w:hAnsi="Calibri"/>
          <w:b/>
          <w:color w:val="1F3864"/>
        </w:rPr>
        <w:t>Q: What's the single biggest differentiator versus a typical bootcamp pipeline project?</w:t>
      </w:r>
    </w:p>
    <w:p w14:paraId="284B0708" w14:textId="77777777" w:rsidR="00274775" w:rsidRDefault="00000000">
      <w:pPr>
        <w:spacing w:after="100"/>
      </w:pPr>
      <w:r>
        <w:rPr>
          <w:rFonts w:ascii="Calibri" w:hAnsi="Calibri"/>
        </w:rPr>
        <w:t xml:space="preserve">A: The decision log behind it. Anyone can follow a tutorial. Being able to say "Silver uses MERGE INTO because rows have stable identity, Gold uses full overwrite because aggregates don't — and here's why that's true in </w:t>
      </w:r>
      <w:proofErr w:type="spellStart"/>
      <w:r>
        <w:rPr>
          <w:rFonts w:ascii="Calibri" w:hAnsi="Calibri"/>
        </w:rPr>
        <w:t>PySpark</w:t>
      </w:r>
      <w:proofErr w:type="spellEnd"/>
      <w:r>
        <w:rPr>
          <w:rFonts w:ascii="Calibri" w:hAnsi="Calibri"/>
        </w:rPr>
        <w:t>, in Glue, and in Databricks" shows the reasoning transfers across tools.</w:t>
      </w:r>
    </w:p>
    <w:p w14:paraId="61597833" w14:textId="77777777" w:rsidR="00274775" w:rsidRDefault="00000000">
      <w:pPr>
        <w:spacing w:before="560" w:after="280"/>
      </w:pPr>
      <w:r>
        <w:rPr>
          <w:rFonts w:ascii="Calibri" w:hAnsi="Calibri"/>
          <w:b/>
          <w:color w:val="2E75B6"/>
          <w:sz w:val="52"/>
        </w:rPr>
        <w:t>5.2 Architecture trade-offs</w:t>
      </w:r>
    </w:p>
    <w:p w14:paraId="40652281" w14:textId="77777777" w:rsidR="00274775" w:rsidRDefault="00000000">
      <w:pPr>
        <w:spacing w:before="160" w:after="60"/>
      </w:pPr>
      <w:r>
        <w:rPr>
          <w:rFonts w:ascii="Calibri" w:hAnsi="Calibri"/>
          <w:b/>
          <w:color w:val="1F3864"/>
        </w:rPr>
        <w:t>Q: Why does Silver use MERGE INTO and Gold use full overwrite? Isn't that inconsistent?</w:t>
      </w:r>
    </w:p>
    <w:p w14:paraId="02E990E0" w14:textId="77777777" w:rsidR="00274775" w:rsidRDefault="00000000">
      <w:pPr>
        <w:spacing w:after="100"/>
      </w:pPr>
      <w:r>
        <w:rPr>
          <w:rFonts w:ascii="Calibri" w:hAnsi="Calibri"/>
        </w:rPr>
        <w:t>A: It looks inconsistent until you look at the grain. Silver rows have stable identity — a user, a workout session — so there's a real merge key. Gold rows are aggregates with no natural row-level key. Inventing a synthetic key just to use MERGE INTO would be solving a problem that doesn't exist.</w:t>
      </w:r>
    </w:p>
    <w:p w14:paraId="556784F7" w14:textId="77777777" w:rsidR="00274775" w:rsidRDefault="00000000">
      <w:pPr>
        <w:spacing w:before="160" w:after="60"/>
      </w:pPr>
      <w:r>
        <w:rPr>
          <w:rFonts w:ascii="Calibri" w:hAnsi="Calibri"/>
          <w:b/>
          <w:color w:val="1F3864"/>
        </w:rPr>
        <w:t>Q: Why Kinesis/Lambda/Glue on AWS instead of EC2 or EMR?</w:t>
      </w:r>
    </w:p>
    <w:p w14:paraId="7F64DC48" w14:textId="77777777" w:rsidR="00274775" w:rsidRDefault="00000000">
      <w:pPr>
        <w:spacing w:after="100"/>
      </w:pPr>
      <w:r>
        <w:rPr>
          <w:rFonts w:ascii="Calibri" w:hAnsi="Calibri"/>
        </w:rPr>
        <w:t>A: EC2/EMR would make the AWS leg look like "Local stack on bigger hardware," which loses the comparative point of the project. Kinesis/Lambda/Glue represents the managed-primitives, low-ops posture AWS is actually good at, contrasting meaningfully with both Local (self-managed) and Databricks (managed platform).</w:t>
      </w:r>
    </w:p>
    <w:p w14:paraId="5B63C438" w14:textId="77777777" w:rsidR="00274775" w:rsidRDefault="00000000">
      <w:pPr>
        <w:spacing w:before="160" w:after="60"/>
      </w:pPr>
      <w:r>
        <w:rPr>
          <w:rFonts w:ascii="Calibri" w:hAnsi="Calibri"/>
          <w:b/>
          <w:color w:val="1F3864"/>
        </w:rPr>
        <w:t>Q: Why didn't you put a data warehouse in front of the Databricks Gold tables, the way you did with Redshift on AWS?</w:t>
      </w:r>
    </w:p>
    <w:p w14:paraId="1D6B812C" w14:textId="77777777" w:rsidR="00274775" w:rsidRDefault="00000000">
      <w:pPr>
        <w:spacing w:after="100"/>
      </w:pPr>
      <w:r>
        <w:rPr>
          <w:rFonts w:ascii="Calibri" w:hAnsi="Calibri"/>
        </w:rPr>
        <w:t>A: Because Databricks doesn't need that hop. Unity Catalog + Delta Lake already provide ACID transactions, governance, and SQL-</w:t>
      </w:r>
      <w:proofErr w:type="spellStart"/>
      <w:r>
        <w:rPr>
          <w:rFonts w:ascii="Calibri" w:hAnsi="Calibri"/>
        </w:rPr>
        <w:t>queryable</w:t>
      </w:r>
      <w:proofErr w:type="spellEnd"/>
      <w:r>
        <w:rPr>
          <w:rFonts w:ascii="Calibri" w:hAnsi="Calibri"/>
        </w:rPr>
        <w:t xml:space="preserve"> access on the same files the pipeline writes — there's no second system to load into. A Databricks SQL Warehouse is compute, not a second copy of the data. Needing Redshift on </w:t>
      </w:r>
      <w:r>
        <w:rPr>
          <w:rFonts w:ascii="Calibri" w:hAnsi="Calibri"/>
        </w:rPr>
        <w:lastRenderedPageBreak/>
        <w:t>AWS and not needing an equivalent on Databricks is itself one of the cleanest structural contrasts in the whole project.</w:t>
      </w:r>
    </w:p>
    <w:p w14:paraId="40472CE2" w14:textId="77777777" w:rsidR="00274775" w:rsidRDefault="00000000">
      <w:pPr>
        <w:spacing w:before="560" w:after="280"/>
      </w:pPr>
      <w:r>
        <w:rPr>
          <w:rFonts w:ascii="Calibri" w:hAnsi="Calibri"/>
          <w:b/>
          <w:color w:val="2E75B6"/>
          <w:sz w:val="52"/>
        </w:rPr>
        <w:t>5.3 The extended-architecture questions (likely follow-ups once the build is presented)</w:t>
      </w:r>
    </w:p>
    <w:p w14:paraId="0591A0EA" w14:textId="77777777" w:rsidR="00274775" w:rsidRDefault="00000000">
      <w:pPr>
        <w:spacing w:before="160" w:after="60"/>
      </w:pPr>
      <w:r>
        <w:rPr>
          <w:rFonts w:ascii="Calibri" w:hAnsi="Calibri"/>
          <w:b/>
          <w:color w:val="1F3864"/>
        </w:rPr>
        <w:t>Q: If Redshift turned out to be the wrong long-term choice, what would you actually do?</w:t>
      </w:r>
    </w:p>
    <w:p w14:paraId="3ED6D712" w14:textId="77777777" w:rsidR="00274775" w:rsidRDefault="00000000">
      <w:pPr>
        <w:spacing w:after="100"/>
      </w:pPr>
      <w:r>
        <w:rPr>
          <w:rFonts w:ascii="Calibri" w:hAnsi="Calibri"/>
        </w:rPr>
        <w:t xml:space="preserve">A: Snowflake via a storage integration reading Parquet directly from the existing S3 Gold prefix — no Lambda or Glue involved in that read. I'd reach for it specifically if BI consumers already standardized on Snowflake elsewhere in the org, or if I needed independently-scaling compute pools rather than Redshift </w:t>
      </w:r>
      <w:proofErr w:type="spellStart"/>
      <w:r>
        <w:rPr>
          <w:rFonts w:ascii="Calibri" w:hAnsi="Calibri"/>
        </w:rPr>
        <w:t>Serverless's</w:t>
      </w:r>
      <w:proofErr w:type="spellEnd"/>
      <w:r>
        <w:rPr>
          <w:rFonts w:ascii="Calibri" w:hAnsi="Calibri"/>
        </w:rPr>
        <w:t xml:space="preserve"> single workgroup pool. I wouldn't reach for it just because it's popular — staying in one AWS account with one IAM identity has real, current value for this project.</w:t>
      </w:r>
    </w:p>
    <w:p w14:paraId="5305B1DE" w14:textId="77777777" w:rsidR="00274775" w:rsidRDefault="00000000">
      <w:pPr>
        <w:spacing w:before="160" w:after="60"/>
      </w:pPr>
      <w:r>
        <w:rPr>
          <w:rFonts w:ascii="Calibri" w:hAnsi="Calibri"/>
          <w:b/>
          <w:color w:val="1F3864"/>
        </w:rPr>
        <w:t>Q: How would you put a BI tool in front of this without breaking your cost/networking discipline?</w:t>
      </w:r>
    </w:p>
    <w:p w14:paraId="1C8573CF" w14:textId="77777777" w:rsidR="00274775" w:rsidRDefault="00000000">
      <w:pPr>
        <w:spacing w:after="100"/>
      </w:pPr>
      <w:r>
        <w:rPr>
          <w:rFonts w:ascii="Calibri" w:hAnsi="Calibri"/>
        </w:rPr>
        <w:t xml:space="preserve">A: </w:t>
      </w:r>
      <w:proofErr w:type="spellStart"/>
      <w:r>
        <w:rPr>
          <w:rFonts w:ascii="Calibri" w:hAnsi="Calibri"/>
        </w:rPr>
        <w:t>QuickSight</w:t>
      </w:r>
      <w:proofErr w:type="spellEnd"/>
      <w:r>
        <w:rPr>
          <w:rFonts w:ascii="Calibri" w:hAnsi="Calibri"/>
        </w:rPr>
        <w:t xml:space="preserve"> first, because it's a managed AWS service on the same bill and never leaves the AWS network boundary — no security-group exposure at all, unlike Tableau or Power BI, which would hit the exact same "Redshift Serverless isn't publicly accessible by default" friction I already documented for local </w:t>
      </w:r>
      <w:proofErr w:type="spellStart"/>
      <w:r>
        <w:rPr>
          <w:rFonts w:ascii="Calibri" w:hAnsi="Calibri"/>
        </w:rPr>
        <w:t>dbt</w:t>
      </w:r>
      <w:proofErr w:type="spellEnd"/>
      <w:r>
        <w:rPr>
          <w:rFonts w:ascii="Calibri" w:hAnsi="Calibri"/>
        </w:rPr>
        <w:t xml:space="preserve"> sessions.</w:t>
      </w:r>
    </w:p>
    <w:p w14:paraId="46B87DBA" w14:textId="77777777" w:rsidR="00274775" w:rsidRDefault="00000000">
      <w:pPr>
        <w:spacing w:before="160" w:after="60"/>
      </w:pPr>
      <w:r>
        <w:rPr>
          <w:rFonts w:ascii="Calibri" w:hAnsi="Calibri"/>
          <w:b/>
          <w:color w:val="1F3864"/>
        </w:rPr>
        <w:t>Q: Where would you actually use SageMaker on this project, and where would you deliberately not?</w:t>
      </w:r>
    </w:p>
    <w:p w14:paraId="2EBC24E2" w14:textId="77777777" w:rsidR="00274775" w:rsidRDefault="00000000">
      <w:pPr>
        <w:spacing w:after="100"/>
      </w:pPr>
      <w:r>
        <w:rPr>
          <w:rFonts w:ascii="Calibri" w:hAnsi="Calibri"/>
        </w:rPr>
        <w:t>A: Predicting overtraining risk before the threshold is crossed, using rolling HRV/sleep/training-load trends — that's a place a model could learn interactions a hand-tuned additive formula can't. I would not replace the existing fatigue/recovery scoring outright, because it's interpretable and grounded in cited research; in a health context that explainability is worth more than an unproven accuracy gain.</w:t>
      </w:r>
    </w:p>
    <w:p w14:paraId="02DFC38D" w14:textId="77777777" w:rsidR="00274775" w:rsidRDefault="00000000">
      <w:pPr>
        <w:spacing w:before="160" w:after="60"/>
      </w:pPr>
      <w:r>
        <w:rPr>
          <w:rFonts w:ascii="Calibri" w:hAnsi="Calibri"/>
          <w:b/>
          <w:color w:val="1F3864"/>
        </w:rPr>
        <w:t>Q: Can the Databricks Gold tables feed Snowflake without rebuilding the pipeline?</w:t>
      </w:r>
    </w:p>
    <w:p w14:paraId="5D5DBCB5" w14:textId="77777777" w:rsidR="00274775" w:rsidRDefault="00000000">
      <w:pPr>
        <w:spacing w:after="100"/>
      </w:pPr>
      <w:r>
        <w:rPr>
          <w:rFonts w:ascii="Calibri" w:hAnsi="Calibri"/>
        </w:rPr>
        <w:t>A: Yes — Delta Sharing, an open protocol Snowflake natively supports, lets me share the live Delta tables into a Snowflake account with no copy and no format conversion, governed from Unity Catalog. That's the real answer to "what if the rest of the org is on Snowflake" without forcing a platform migration.</w:t>
      </w:r>
    </w:p>
    <w:p w14:paraId="701D4658" w14:textId="77777777" w:rsidR="00274775" w:rsidRDefault="00000000">
      <w:pPr>
        <w:spacing w:before="560" w:after="280"/>
      </w:pPr>
      <w:r>
        <w:rPr>
          <w:rFonts w:ascii="Calibri" w:hAnsi="Calibri"/>
          <w:b/>
          <w:color w:val="2E75B6"/>
          <w:sz w:val="52"/>
        </w:rPr>
        <w:t>5.4 The hardest question: "What would you do differently?"</w:t>
      </w:r>
    </w:p>
    <w:p w14:paraId="2E207F9A" w14:textId="77777777" w:rsidR="00274775" w:rsidRDefault="00000000">
      <w:pPr>
        <w:spacing w:after="160"/>
      </w:pPr>
      <w:r>
        <w:rPr>
          <w:rFonts w:ascii="Calibri" w:hAnsi="Calibri"/>
          <w:color w:val="1A1A1A"/>
        </w:rPr>
        <w:t xml:space="preserve">A strong, specific answer rather than a vague one: "I'd write the </w:t>
      </w:r>
      <w:proofErr w:type="spellStart"/>
      <w:r>
        <w:rPr>
          <w:rFonts w:ascii="Calibri" w:hAnsi="Calibri"/>
          <w:color w:val="1A1A1A"/>
        </w:rPr>
        <w:t>dim_</w:t>
      </w:r>
      <w:proofErr w:type="gramStart"/>
      <w:r>
        <w:rPr>
          <w:rFonts w:ascii="Calibri" w:hAnsi="Calibri"/>
          <w:color w:val="1A1A1A"/>
        </w:rPr>
        <w:t>user.effective</w:t>
      </w:r>
      <w:proofErr w:type="gramEnd"/>
      <w:r>
        <w:rPr>
          <w:rFonts w:ascii="Calibri" w:hAnsi="Calibri"/>
          <w:color w:val="1A1A1A"/>
        </w:rPr>
        <w:t>_date</w:t>
      </w:r>
      <w:proofErr w:type="spellEnd"/>
      <w:r>
        <w:rPr>
          <w:rFonts w:ascii="Calibri" w:hAnsi="Calibri"/>
          <w:color w:val="1A1A1A"/>
        </w:rPr>
        <w:t xml:space="preserve"> regression test (</w:t>
      </w:r>
      <w:proofErr w:type="spellStart"/>
      <w:r>
        <w:rPr>
          <w:rFonts w:ascii="Calibri" w:hAnsi="Calibri"/>
          <w:color w:val="1A1A1A"/>
        </w:rPr>
        <w:t>assert_health_score_no_dropped_rows</w:t>
      </w:r>
      <w:proofErr w:type="spellEnd"/>
      <w:r>
        <w:rPr>
          <w:rFonts w:ascii="Calibri" w:hAnsi="Calibri"/>
          <w:color w:val="1A1A1A"/>
        </w:rPr>
        <w:t xml:space="preserve">) before the bug, not after — and more generally, I'd treat 'no test </w:t>
      </w:r>
      <w:r>
        <w:rPr>
          <w:rFonts w:ascii="Calibri" w:hAnsi="Calibri"/>
          <w:color w:val="1A1A1A"/>
        </w:rPr>
        <w:lastRenderedPageBreak/>
        <w:t>exists for this failure mode yet' as its own category of risk, separate from 'all existing tests pass.' I'd also port the Databricks reference-enrichment gap fix back to AWS proactively once I found it the second time on Databricks, rather than waiting to discover whether the same gap existed on the AWS Glue side too."</w:t>
      </w:r>
    </w:p>
    <w:p w14:paraId="2FCC047F" w14:textId="77777777" w:rsidR="00274775" w:rsidRDefault="00000000">
      <w:r>
        <w:br w:type="page"/>
      </w:r>
    </w:p>
    <w:p w14:paraId="40D555E7" w14:textId="77777777" w:rsidR="00274775" w:rsidRDefault="00000000">
      <w:pPr>
        <w:pBdr>
          <w:bottom w:val="single" w:sz="8" w:space="4" w:color="2E75B6"/>
        </w:pBdr>
        <w:spacing w:before="240" w:after="480"/>
      </w:pPr>
      <w:r>
        <w:rPr>
          <w:rFonts w:ascii="Calibri" w:hAnsi="Calibri"/>
          <w:b/>
          <w:color w:val="1F3864"/>
          <w:sz w:val="64"/>
        </w:rPr>
        <w:lastRenderedPageBreak/>
        <w:t>6. Scaling Scenarios</w:t>
      </w:r>
    </w:p>
    <w:p w14:paraId="534D499F" w14:textId="77777777" w:rsidR="00274775" w:rsidRDefault="00000000">
      <w:pPr>
        <w:spacing w:after="160"/>
      </w:pPr>
      <w:r>
        <w:rPr>
          <w:rFonts w:ascii="Calibri" w:hAnsi="Calibri"/>
          <w:color w:val="1A1A1A"/>
        </w:rPr>
        <w:t>How each stack's current design would (or would not) hold up under materially higher load — a standard senior-level interview probe.</w:t>
      </w:r>
    </w:p>
    <w:p w14:paraId="570E3645" w14:textId="77777777" w:rsidR="00274775" w:rsidRDefault="00000000">
      <w:pPr>
        <w:spacing w:before="560" w:after="280"/>
      </w:pPr>
      <w:r>
        <w:rPr>
          <w:rFonts w:ascii="Calibri" w:hAnsi="Calibri"/>
          <w:b/>
          <w:color w:val="2E75B6"/>
          <w:sz w:val="52"/>
        </w:rPr>
        <w:t>6.1 10x more users / wearable events per second</w:t>
      </w:r>
    </w:p>
    <w:tbl>
      <w:tblPr>
        <w:tblW w:w="0" w:type="auto"/>
        <w:jc w:val="center"/>
        <w:tblLook w:val="04A0" w:firstRow="1" w:lastRow="0" w:firstColumn="1" w:lastColumn="0" w:noHBand="0" w:noVBand="1"/>
      </w:tblPr>
      <w:tblGrid>
        <w:gridCol w:w="1500"/>
        <w:gridCol w:w="7860"/>
      </w:tblGrid>
      <w:tr w:rsidR="00274775" w14:paraId="2F85E28B" w14:textId="77777777">
        <w:trPr>
          <w:jc w:val="center"/>
        </w:trPr>
        <w:tc>
          <w:tcPr>
            <w:tcW w:w="1500" w:type="dxa"/>
            <w:tcBorders>
              <w:top w:val="single" w:sz="2" w:space="0" w:color="B9C6D9"/>
              <w:left w:val="single" w:sz="2" w:space="0" w:color="B9C6D9"/>
              <w:bottom w:val="single" w:sz="2" w:space="0" w:color="B9C6D9"/>
              <w:right w:val="single" w:sz="2" w:space="0" w:color="B9C6D9"/>
            </w:tcBorders>
            <w:shd w:val="clear" w:color="auto" w:fill="1F3864"/>
          </w:tcPr>
          <w:p w14:paraId="5744E947" w14:textId="77777777" w:rsidR="00274775" w:rsidRDefault="00000000">
            <w:r>
              <w:rPr>
                <w:rFonts w:ascii="Calibri" w:hAnsi="Calibri"/>
                <w:b/>
                <w:color w:val="FFFFFF"/>
                <w:sz w:val="21"/>
              </w:rPr>
              <w:t>Stack</w:t>
            </w:r>
          </w:p>
        </w:tc>
        <w:tc>
          <w:tcPr>
            <w:tcW w:w="7860" w:type="dxa"/>
            <w:tcBorders>
              <w:top w:val="single" w:sz="2" w:space="0" w:color="B9C6D9"/>
              <w:left w:val="single" w:sz="2" w:space="0" w:color="B9C6D9"/>
              <w:bottom w:val="single" w:sz="2" w:space="0" w:color="B9C6D9"/>
              <w:right w:val="single" w:sz="2" w:space="0" w:color="B9C6D9"/>
            </w:tcBorders>
            <w:shd w:val="clear" w:color="auto" w:fill="1F3864"/>
          </w:tcPr>
          <w:p w14:paraId="09B63E6F" w14:textId="77777777" w:rsidR="00274775" w:rsidRDefault="00000000">
            <w:r>
              <w:rPr>
                <w:rFonts w:ascii="Calibri" w:hAnsi="Calibri"/>
                <w:b/>
                <w:color w:val="FFFFFF"/>
                <w:sz w:val="21"/>
              </w:rPr>
              <w:t>What changes</w:t>
            </w:r>
          </w:p>
        </w:tc>
      </w:tr>
      <w:tr w:rsidR="00274775" w14:paraId="464DE0DA" w14:textId="77777777">
        <w:trPr>
          <w:jc w:val="center"/>
        </w:trPr>
        <w:tc>
          <w:tcPr>
            <w:tcW w:w="1500" w:type="dxa"/>
            <w:tcBorders>
              <w:top w:val="single" w:sz="2" w:space="0" w:color="B9C6D9"/>
              <w:left w:val="single" w:sz="2" w:space="0" w:color="B9C6D9"/>
              <w:bottom w:val="single" w:sz="2" w:space="0" w:color="B9C6D9"/>
              <w:right w:val="single" w:sz="2" w:space="0" w:color="B9C6D9"/>
            </w:tcBorders>
          </w:tcPr>
          <w:p w14:paraId="3E50CD81" w14:textId="77777777" w:rsidR="00274775" w:rsidRDefault="00000000">
            <w:r>
              <w:rPr>
                <w:rFonts w:ascii="Calibri" w:hAnsi="Calibri"/>
                <w:sz w:val="21"/>
              </w:rPr>
              <w:t>Local</w:t>
            </w:r>
          </w:p>
        </w:tc>
        <w:tc>
          <w:tcPr>
            <w:tcW w:w="7860" w:type="dxa"/>
            <w:tcBorders>
              <w:top w:val="single" w:sz="2" w:space="0" w:color="B9C6D9"/>
              <w:left w:val="single" w:sz="2" w:space="0" w:color="B9C6D9"/>
              <w:bottom w:val="single" w:sz="2" w:space="0" w:color="B9C6D9"/>
              <w:right w:val="single" w:sz="2" w:space="0" w:color="B9C6D9"/>
            </w:tcBorders>
          </w:tcPr>
          <w:p w14:paraId="3CE8B3FE" w14:textId="77777777" w:rsidR="00274775" w:rsidRDefault="00000000">
            <w:r>
              <w:rPr>
                <w:rFonts w:ascii="Calibri" w:hAnsi="Calibri"/>
                <w:sz w:val="21"/>
              </w:rPr>
              <w:t xml:space="preserve">Breaks down structurally — single-process </w:t>
            </w:r>
            <w:proofErr w:type="spellStart"/>
            <w:r>
              <w:rPr>
                <w:rFonts w:ascii="Calibri" w:hAnsi="Calibri"/>
                <w:sz w:val="21"/>
              </w:rPr>
              <w:t>StreamBus</w:t>
            </w:r>
            <w:proofErr w:type="spellEnd"/>
            <w:r>
              <w:rPr>
                <w:rFonts w:ascii="Calibri" w:hAnsi="Calibri"/>
                <w:sz w:val="21"/>
              </w:rPr>
              <w:t xml:space="preserve"> and </w:t>
            </w:r>
            <w:proofErr w:type="spellStart"/>
            <w:r>
              <w:rPr>
                <w:rFonts w:ascii="Calibri" w:hAnsi="Calibri"/>
                <w:sz w:val="21"/>
              </w:rPr>
              <w:t>PySpark</w:t>
            </w:r>
            <w:proofErr w:type="spellEnd"/>
            <w:r>
              <w:rPr>
                <w:rFonts w:ascii="Calibri" w:hAnsi="Calibri"/>
                <w:sz w:val="21"/>
              </w:rPr>
              <w:t xml:space="preserve"> on a laptop have no horizontal scaling story. This is exactly why Local is capped at Phase 4 and never positioned as a deployment target.</w:t>
            </w:r>
          </w:p>
        </w:tc>
      </w:tr>
      <w:tr w:rsidR="00274775" w14:paraId="65489D2A" w14:textId="77777777">
        <w:trPr>
          <w:jc w:val="center"/>
        </w:trPr>
        <w:tc>
          <w:tcPr>
            <w:tcW w:w="1500" w:type="dxa"/>
            <w:tcBorders>
              <w:top w:val="single" w:sz="2" w:space="0" w:color="B9C6D9"/>
              <w:left w:val="single" w:sz="2" w:space="0" w:color="B9C6D9"/>
              <w:bottom w:val="single" w:sz="2" w:space="0" w:color="B9C6D9"/>
              <w:right w:val="single" w:sz="2" w:space="0" w:color="B9C6D9"/>
            </w:tcBorders>
            <w:shd w:val="clear" w:color="auto" w:fill="EEF3FA"/>
          </w:tcPr>
          <w:p w14:paraId="34B7F346" w14:textId="77777777" w:rsidR="00274775" w:rsidRDefault="00000000">
            <w:r>
              <w:rPr>
                <w:rFonts w:ascii="Calibri" w:hAnsi="Calibri"/>
                <w:sz w:val="21"/>
              </w:rPr>
              <w:t>AWS</w:t>
            </w:r>
          </w:p>
        </w:tc>
        <w:tc>
          <w:tcPr>
            <w:tcW w:w="7860" w:type="dxa"/>
            <w:tcBorders>
              <w:top w:val="single" w:sz="2" w:space="0" w:color="B9C6D9"/>
              <w:left w:val="single" w:sz="2" w:space="0" w:color="B9C6D9"/>
              <w:bottom w:val="single" w:sz="2" w:space="0" w:color="B9C6D9"/>
              <w:right w:val="single" w:sz="2" w:space="0" w:color="B9C6D9"/>
            </w:tcBorders>
            <w:shd w:val="clear" w:color="auto" w:fill="EEF3FA"/>
          </w:tcPr>
          <w:p w14:paraId="0FFC835F" w14:textId="77777777" w:rsidR="00274775" w:rsidRDefault="00000000">
            <w:r>
              <w:rPr>
                <w:rFonts w:ascii="Calibri" w:hAnsi="Calibri"/>
                <w:sz w:val="21"/>
              </w:rPr>
              <w:t xml:space="preserve">Increase Kinesis shard count (each shard handles ~1MB/s in or 1,000 records/s); Lambda scales concurrency automatically per </w:t>
            </w:r>
            <w:proofErr w:type="spellStart"/>
            <w:r>
              <w:rPr>
                <w:rFonts w:ascii="Calibri" w:hAnsi="Calibri"/>
                <w:sz w:val="21"/>
              </w:rPr>
              <w:t>shard</w:t>
            </w:r>
            <w:proofErr w:type="spellEnd"/>
            <w:r>
              <w:rPr>
                <w:rFonts w:ascii="Calibri" w:hAnsi="Calibri"/>
                <w:sz w:val="21"/>
              </w:rPr>
              <w:t xml:space="preserve"> via the event source mapping, up to account concurrency limits; Glue ETL scales by increasing DPUs/worker count. The architecture doesn't change shape — it adds capacity at each existing layer.</w:t>
            </w:r>
          </w:p>
        </w:tc>
      </w:tr>
      <w:tr w:rsidR="00274775" w14:paraId="68D1428F" w14:textId="77777777">
        <w:trPr>
          <w:jc w:val="center"/>
        </w:trPr>
        <w:tc>
          <w:tcPr>
            <w:tcW w:w="1500" w:type="dxa"/>
            <w:tcBorders>
              <w:top w:val="single" w:sz="2" w:space="0" w:color="B9C6D9"/>
              <w:left w:val="single" w:sz="2" w:space="0" w:color="B9C6D9"/>
              <w:bottom w:val="single" w:sz="2" w:space="0" w:color="B9C6D9"/>
              <w:right w:val="single" w:sz="2" w:space="0" w:color="B9C6D9"/>
            </w:tcBorders>
          </w:tcPr>
          <w:p w14:paraId="2DC2434E" w14:textId="77777777" w:rsidR="00274775" w:rsidRDefault="00000000">
            <w:r>
              <w:rPr>
                <w:rFonts w:ascii="Calibri" w:hAnsi="Calibri"/>
                <w:sz w:val="21"/>
              </w:rPr>
              <w:t>Databricks</w:t>
            </w:r>
          </w:p>
        </w:tc>
        <w:tc>
          <w:tcPr>
            <w:tcW w:w="7860" w:type="dxa"/>
            <w:tcBorders>
              <w:top w:val="single" w:sz="2" w:space="0" w:color="B9C6D9"/>
              <w:left w:val="single" w:sz="2" w:space="0" w:color="B9C6D9"/>
              <w:bottom w:val="single" w:sz="2" w:space="0" w:color="B9C6D9"/>
              <w:right w:val="single" w:sz="2" w:space="0" w:color="B9C6D9"/>
            </w:tcBorders>
          </w:tcPr>
          <w:p w14:paraId="109CC228" w14:textId="77777777" w:rsidR="00274775" w:rsidRDefault="00000000">
            <w:r>
              <w:rPr>
                <w:rFonts w:ascii="Calibri" w:hAnsi="Calibri"/>
                <w:sz w:val="21"/>
              </w:rPr>
              <w:t>Auto Loader scales by increasing the SQL/cluster size behind the streams or splitting record types across more parallel streams; trigger(</w:t>
            </w:r>
            <w:proofErr w:type="spellStart"/>
            <w:r>
              <w:rPr>
                <w:rFonts w:ascii="Calibri" w:hAnsi="Calibri"/>
                <w:sz w:val="21"/>
              </w:rPr>
              <w:t>availableNow</w:t>
            </w:r>
            <w:proofErr w:type="spellEnd"/>
            <w:r>
              <w:rPr>
                <w:rFonts w:ascii="Calibri" w:hAnsi="Calibri"/>
                <w:sz w:val="21"/>
              </w:rPr>
              <w:t>=True) batch-style ingestion would likely need to move toward continuous triggering at high enough velocity, since waiting for "available now" batches stops being efficient once arrival is truly continuous.</w:t>
            </w:r>
          </w:p>
        </w:tc>
      </w:tr>
    </w:tbl>
    <w:p w14:paraId="3EF35379" w14:textId="77777777" w:rsidR="00274775" w:rsidRDefault="00274775">
      <w:pPr>
        <w:spacing w:before="200"/>
      </w:pPr>
    </w:p>
    <w:p w14:paraId="17D61589" w14:textId="77777777" w:rsidR="00274775" w:rsidRDefault="00000000">
      <w:pPr>
        <w:spacing w:before="560" w:after="280"/>
      </w:pPr>
      <w:r>
        <w:rPr>
          <w:rFonts w:ascii="Calibri" w:hAnsi="Calibri"/>
          <w:b/>
          <w:color w:val="2E75B6"/>
          <w:sz w:val="52"/>
        </w:rPr>
        <w:t>6.2 10x more historical data in Gold / the warehouse</w:t>
      </w:r>
    </w:p>
    <w:p w14:paraId="0B04F4AD" w14:textId="77777777" w:rsidR="00274775" w:rsidRDefault="00000000">
      <w:pPr>
        <w:pStyle w:val="ListBullet"/>
        <w:spacing w:after="80"/>
      </w:pPr>
      <w:r>
        <w:rPr>
          <w:rFonts w:ascii="Calibri" w:hAnsi="Calibri"/>
        </w:rPr>
        <w:t>AWS: Redshift Serverless scales RPU allocation automatically within configured limits; sort/distribution key choices on the fact tables start to matter more at this volume — currently not tuned, since data volume has been small (10s of rows). Worth naming as a real, currently-deferred optimization rather than claiming it's already handled.</w:t>
      </w:r>
    </w:p>
    <w:p w14:paraId="582B4466" w14:textId="77777777" w:rsidR="00274775" w:rsidRDefault="00000000">
      <w:pPr>
        <w:pStyle w:val="ListBullet"/>
        <w:spacing w:after="80"/>
      </w:pPr>
      <w:r>
        <w:rPr>
          <w:rFonts w:ascii="Calibri" w:hAnsi="Calibri"/>
        </w:rPr>
        <w:lastRenderedPageBreak/>
        <w:t>Databricks: Delta's file-compaction (OPTIMIZE, Z-ORDER) becomes relevant for query performance at scale — not needed yet at current volumes, but a known, named lever rather than an unknown one.</w:t>
      </w:r>
    </w:p>
    <w:p w14:paraId="0EEBD5B3" w14:textId="77777777" w:rsidR="00274775" w:rsidRDefault="00000000">
      <w:pPr>
        <w:spacing w:before="560" w:after="280"/>
      </w:pPr>
      <w:r>
        <w:rPr>
          <w:rFonts w:ascii="Calibri" w:hAnsi="Calibri"/>
          <w:b/>
          <w:color w:val="2E75B6"/>
          <w:sz w:val="52"/>
        </w:rPr>
        <w:t>6.3 Real-time SLA requirements (sub-second freshness)</w:t>
      </w:r>
    </w:p>
    <w:p w14:paraId="0871E2F0" w14:textId="77777777" w:rsidR="00274775" w:rsidRDefault="00000000">
      <w:pPr>
        <w:spacing w:after="160"/>
      </w:pPr>
      <w:r>
        <w:rPr>
          <w:rFonts w:ascii="Calibri" w:hAnsi="Calibri"/>
          <w:color w:val="1A1A1A"/>
        </w:rPr>
        <w:t xml:space="preserve">Both AWS and </w:t>
      </w:r>
      <w:proofErr w:type="spellStart"/>
      <w:r>
        <w:rPr>
          <w:rFonts w:ascii="Calibri" w:hAnsi="Calibri"/>
          <w:color w:val="1A1A1A"/>
        </w:rPr>
        <w:t>Databricks's</w:t>
      </w:r>
      <w:proofErr w:type="spellEnd"/>
      <w:r>
        <w:rPr>
          <w:rFonts w:ascii="Calibri" w:hAnsi="Calibri"/>
          <w:color w:val="1A1A1A"/>
        </w:rPr>
        <w:t xml:space="preserve"> current designs are intentionally batch-triggered (Glue runs per session; Auto Loader uses </w:t>
      </w:r>
      <w:proofErr w:type="spellStart"/>
      <w:r>
        <w:rPr>
          <w:rFonts w:ascii="Calibri" w:hAnsi="Calibri"/>
          <w:color w:val="1A1A1A"/>
        </w:rPr>
        <w:t>availableNow</w:t>
      </w:r>
      <w:proofErr w:type="spellEnd"/>
      <w:r>
        <w:rPr>
          <w:rFonts w:ascii="Calibri" w:hAnsi="Calibri"/>
          <w:color w:val="1A1A1A"/>
        </w:rPr>
        <w:t xml:space="preserve">=True), which is correct for this project's actual requirements but would need to change under a true real-time SLA: on AWS, Lambda's per-record processing already is near-real-time at the Bronze layer, but Glue's Silver/Gold steps would need to move toward Kinesis Data Analytics / Spark Structured Streaming with continuous triggers instead of scheduled batch runs. On Databricks, Auto Loader would drop </w:t>
      </w:r>
      <w:proofErr w:type="spellStart"/>
      <w:r>
        <w:rPr>
          <w:rFonts w:ascii="Calibri" w:hAnsi="Calibri"/>
          <w:color w:val="1A1A1A"/>
        </w:rPr>
        <w:t>availableNow</w:t>
      </w:r>
      <w:proofErr w:type="spellEnd"/>
      <w:r>
        <w:rPr>
          <w:rFonts w:ascii="Calibri" w:hAnsi="Calibri"/>
          <w:color w:val="1A1A1A"/>
        </w:rPr>
        <w:t xml:space="preserve">=True for continuous triggering, and </w:t>
      </w:r>
      <w:proofErr w:type="gramStart"/>
      <w:r>
        <w:rPr>
          <w:rFonts w:ascii="Calibri" w:hAnsi="Calibri"/>
          <w:color w:val="1A1A1A"/>
        </w:rPr>
        <w:t>Gold</w:t>
      </w:r>
      <w:proofErr w:type="gramEnd"/>
      <w:r>
        <w:rPr>
          <w:rFonts w:ascii="Calibri" w:hAnsi="Calibri"/>
          <w:color w:val="1A1A1A"/>
        </w:rPr>
        <w:t xml:space="preserve"> aggregates would need to move from full-recompute-on-batch toward incremental/streaming aggregation — a materially different engineering problem, not just a config flag.</w:t>
      </w:r>
    </w:p>
    <w:p w14:paraId="141BB96D" w14:textId="77777777" w:rsidR="00274775" w:rsidRDefault="00000000">
      <w:pPr>
        <w:spacing w:before="560" w:after="280"/>
      </w:pPr>
      <w:r>
        <w:rPr>
          <w:rFonts w:ascii="Calibri" w:hAnsi="Calibri"/>
          <w:b/>
          <w:color w:val="2E75B6"/>
          <w:sz w:val="52"/>
        </w:rPr>
        <w:t>6.4 Multiple teams / multi-tenant access</w:t>
      </w:r>
    </w:p>
    <w:p w14:paraId="06A552D5" w14:textId="77777777" w:rsidR="00274775" w:rsidRDefault="00000000">
      <w:pPr>
        <w:spacing w:after="160"/>
      </w:pPr>
      <w:r>
        <w:rPr>
          <w:rFonts w:ascii="Calibri" w:hAnsi="Calibri"/>
          <w:color w:val="1A1A1A"/>
        </w:rPr>
        <w:t xml:space="preserve">This is where </w:t>
      </w:r>
      <w:proofErr w:type="spellStart"/>
      <w:r>
        <w:rPr>
          <w:rFonts w:ascii="Calibri" w:hAnsi="Calibri"/>
          <w:color w:val="1A1A1A"/>
        </w:rPr>
        <w:t>Databricks's</w:t>
      </w:r>
      <w:proofErr w:type="spellEnd"/>
      <w:r>
        <w:rPr>
          <w:rFonts w:ascii="Calibri" w:hAnsi="Calibri"/>
          <w:color w:val="1A1A1A"/>
        </w:rPr>
        <w:t xml:space="preserve"> Unity Catalog and AWS's Glue Data Catalog + IAM diverge most under scale: Unity Catalog gives column- and row-level access control plus automatic lineage natively across catalogs/schemas, which is exactly what a multi-team org needs without bolting on a separate governance tool. On AWS, equivalent fine-grained governance would mean adding Lake Formation on top of Glue/S3/Redshift — a real additional component, not something Glue alone provides.</w:t>
      </w:r>
    </w:p>
    <w:p w14:paraId="0F676CC1" w14:textId="77777777" w:rsidR="00274775" w:rsidRDefault="00000000">
      <w:r>
        <w:br w:type="page"/>
      </w:r>
    </w:p>
    <w:p w14:paraId="0DC3E482" w14:textId="77777777" w:rsidR="00274775" w:rsidRDefault="00000000">
      <w:pPr>
        <w:pBdr>
          <w:bottom w:val="single" w:sz="8" w:space="4" w:color="2E75B6"/>
        </w:pBdr>
        <w:spacing w:before="240" w:after="480"/>
      </w:pPr>
      <w:r>
        <w:rPr>
          <w:rFonts w:ascii="Calibri" w:hAnsi="Calibri"/>
          <w:b/>
          <w:color w:val="1F3864"/>
          <w:sz w:val="64"/>
        </w:rPr>
        <w:lastRenderedPageBreak/>
        <w:t>7. Failure Scenarios</w:t>
      </w:r>
    </w:p>
    <w:p w14:paraId="2F221224" w14:textId="77777777" w:rsidR="00274775" w:rsidRDefault="00000000">
      <w:pPr>
        <w:spacing w:after="160"/>
      </w:pPr>
      <w:r>
        <w:rPr>
          <w:rFonts w:ascii="Calibri" w:hAnsi="Calibri"/>
          <w:color w:val="1A1A1A"/>
        </w:rPr>
        <w:t>What happens — and what the recovery path is — when each layer fails. This project's quarantine-not-drop and Bronze-immutability principles make most of these answers concrete rather than hypothetical.</w:t>
      </w:r>
    </w:p>
    <w:tbl>
      <w:tblPr>
        <w:tblW w:w="0" w:type="auto"/>
        <w:jc w:val="center"/>
        <w:tblLook w:val="04A0" w:firstRow="1" w:lastRow="0" w:firstColumn="1" w:lastColumn="0" w:noHBand="0" w:noVBand="1"/>
      </w:tblPr>
      <w:tblGrid>
        <w:gridCol w:w="2700"/>
        <w:gridCol w:w="1115"/>
        <w:gridCol w:w="5560"/>
      </w:tblGrid>
      <w:tr w:rsidR="00274775" w14:paraId="301C3DAA" w14:textId="77777777">
        <w:trPr>
          <w:jc w:val="center"/>
        </w:trPr>
        <w:tc>
          <w:tcPr>
            <w:tcW w:w="2700" w:type="dxa"/>
            <w:tcBorders>
              <w:top w:val="single" w:sz="2" w:space="0" w:color="B9C6D9"/>
              <w:left w:val="single" w:sz="2" w:space="0" w:color="B9C6D9"/>
              <w:bottom w:val="single" w:sz="2" w:space="0" w:color="B9C6D9"/>
              <w:right w:val="single" w:sz="2" w:space="0" w:color="B9C6D9"/>
            </w:tcBorders>
            <w:shd w:val="clear" w:color="auto" w:fill="1F3864"/>
          </w:tcPr>
          <w:p w14:paraId="491EAA6C" w14:textId="77777777" w:rsidR="00274775" w:rsidRDefault="00000000">
            <w:r>
              <w:rPr>
                <w:rFonts w:ascii="Calibri" w:hAnsi="Calibri"/>
                <w:b/>
                <w:color w:val="FFFFFF"/>
                <w:sz w:val="21"/>
              </w:rPr>
              <w:t>Failure</w:t>
            </w:r>
          </w:p>
        </w:tc>
        <w:tc>
          <w:tcPr>
            <w:tcW w:w="1100" w:type="dxa"/>
            <w:tcBorders>
              <w:top w:val="single" w:sz="2" w:space="0" w:color="B9C6D9"/>
              <w:left w:val="single" w:sz="2" w:space="0" w:color="B9C6D9"/>
              <w:bottom w:val="single" w:sz="2" w:space="0" w:color="B9C6D9"/>
              <w:right w:val="single" w:sz="2" w:space="0" w:color="B9C6D9"/>
            </w:tcBorders>
            <w:shd w:val="clear" w:color="auto" w:fill="1F3864"/>
          </w:tcPr>
          <w:p w14:paraId="387CC5AE" w14:textId="77777777" w:rsidR="00274775" w:rsidRDefault="00000000">
            <w:r>
              <w:rPr>
                <w:rFonts w:ascii="Calibri" w:hAnsi="Calibri"/>
                <w:b/>
                <w:color w:val="FFFFFF"/>
                <w:sz w:val="21"/>
              </w:rPr>
              <w:t>Stack</w:t>
            </w:r>
          </w:p>
        </w:tc>
        <w:tc>
          <w:tcPr>
            <w:tcW w:w="5560" w:type="dxa"/>
            <w:tcBorders>
              <w:top w:val="single" w:sz="2" w:space="0" w:color="B9C6D9"/>
              <w:left w:val="single" w:sz="2" w:space="0" w:color="B9C6D9"/>
              <w:bottom w:val="single" w:sz="2" w:space="0" w:color="B9C6D9"/>
              <w:right w:val="single" w:sz="2" w:space="0" w:color="B9C6D9"/>
            </w:tcBorders>
            <w:shd w:val="clear" w:color="auto" w:fill="1F3864"/>
          </w:tcPr>
          <w:p w14:paraId="25B872E3" w14:textId="77777777" w:rsidR="00274775" w:rsidRDefault="00000000">
            <w:r>
              <w:rPr>
                <w:rFonts w:ascii="Calibri" w:hAnsi="Calibri"/>
                <w:b/>
                <w:color w:val="FFFFFF"/>
                <w:sz w:val="21"/>
              </w:rPr>
              <w:t>What happens / recovery path</w:t>
            </w:r>
          </w:p>
        </w:tc>
      </w:tr>
      <w:tr w:rsidR="00274775" w14:paraId="1C0B41FC" w14:textId="77777777">
        <w:trPr>
          <w:jc w:val="center"/>
        </w:trPr>
        <w:tc>
          <w:tcPr>
            <w:tcW w:w="2700" w:type="dxa"/>
            <w:tcBorders>
              <w:top w:val="single" w:sz="2" w:space="0" w:color="B9C6D9"/>
              <w:left w:val="single" w:sz="2" w:space="0" w:color="B9C6D9"/>
              <w:bottom w:val="single" w:sz="2" w:space="0" w:color="B9C6D9"/>
              <w:right w:val="single" w:sz="2" w:space="0" w:color="B9C6D9"/>
            </w:tcBorders>
          </w:tcPr>
          <w:p w14:paraId="46767C5F" w14:textId="77777777" w:rsidR="00274775" w:rsidRDefault="00000000">
            <w:r>
              <w:rPr>
                <w:rFonts w:ascii="Calibri" w:hAnsi="Calibri"/>
                <w:sz w:val="21"/>
              </w:rPr>
              <w:t>Kinesis shard throttled / records rejected</w:t>
            </w:r>
          </w:p>
        </w:tc>
        <w:tc>
          <w:tcPr>
            <w:tcW w:w="1100" w:type="dxa"/>
            <w:tcBorders>
              <w:top w:val="single" w:sz="2" w:space="0" w:color="B9C6D9"/>
              <w:left w:val="single" w:sz="2" w:space="0" w:color="B9C6D9"/>
              <w:bottom w:val="single" w:sz="2" w:space="0" w:color="B9C6D9"/>
              <w:right w:val="single" w:sz="2" w:space="0" w:color="B9C6D9"/>
            </w:tcBorders>
          </w:tcPr>
          <w:p w14:paraId="4A8E2BA4" w14:textId="77777777" w:rsidR="00274775" w:rsidRDefault="00000000">
            <w:r>
              <w:rPr>
                <w:rFonts w:ascii="Calibri" w:hAnsi="Calibri"/>
                <w:sz w:val="21"/>
              </w:rPr>
              <w:t>AWS</w:t>
            </w:r>
          </w:p>
        </w:tc>
        <w:tc>
          <w:tcPr>
            <w:tcW w:w="5560" w:type="dxa"/>
            <w:tcBorders>
              <w:top w:val="single" w:sz="2" w:space="0" w:color="B9C6D9"/>
              <w:left w:val="single" w:sz="2" w:space="0" w:color="B9C6D9"/>
              <w:bottom w:val="single" w:sz="2" w:space="0" w:color="B9C6D9"/>
              <w:right w:val="single" w:sz="2" w:space="0" w:color="B9C6D9"/>
            </w:tcBorders>
          </w:tcPr>
          <w:p w14:paraId="4B2D1855" w14:textId="77777777" w:rsidR="00274775" w:rsidRDefault="00000000">
            <w:r>
              <w:rPr>
                <w:rFonts w:ascii="Calibri" w:hAnsi="Calibri"/>
                <w:sz w:val="21"/>
              </w:rPr>
              <w:t>Lambda's event source mapping retries automatically; Kinesis itself retains records for 7 days, so a transient Lambda failure doesn't lose data — it delays processing. Recovery: investigate Lambda concurrency/throttle limits, no data loss to recover from.</w:t>
            </w:r>
          </w:p>
        </w:tc>
      </w:tr>
      <w:tr w:rsidR="00274775" w14:paraId="1E6F760F" w14:textId="77777777">
        <w:trPr>
          <w:jc w:val="center"/>
        </w:trPr>
        <w:tc>
          <w:tcPr>
            <w:tcW w:w="2700" w:type="dxa"/>
            <w:tcBorders>
              <w:top w:val="single" w:sz="2" w:space="0" w:color="B9C6D9"/>
              <w:left w:val="single" w:sz="2" w:space="0" w:color="B9C6D9"/>
              <w:bottom w:val="single" w:sz="2" w:space="0" w:color="B9C6D9"/>
              <w:right w:val="single" w:sz="2" w:space="0" w:color="B9C6D9"/>
            </w:tcBorders>
            <w:shd w:val="clear" w:color="auto" w:fill="EEF3FA"/>
          </w:tcPr>
          <w:p w14:paraId="76EF107F" w14:textId="77777777" w:rsidR="00274775" w:rsidRDefault="00000000">
            <w:r>
              <w:rPr>
                <w:rFonts w:ascii="Calibri" w:hAnsi="Calibri"/>
                <w:sz w:val="21"/>
              </w:rPr>
              <w:t>Glue job fails mid-run</w:t>
            </w:r>
          </w:p>
        </w:tc>
        <w:tc>
          <w:tcPr>
            <w:tcW w:w="1100" w:type="dxa"/>
            <w:tcBorders>
              <w:top w:val="single" w:sz="2" w:space="0" w:color="B9C6D9"/>
              <w:left w:val="single" w:sz="2" w:space="0" w:color="B9C6D9"/>
              <w:bottom w:val="single" w:sz="2" w:space="0" w:color="B9C6D9"/>
              <w:right w:val="single" w:sz="2" w:space="0" w:color="B9C6D9"/>
            </w:tcBorders>
            <w:shd w:val="clear" w:color="auto" w:fill="EEF3FA"/>
          </w:tcPr>
          <w:p w14:paraId="4C58E1EE" w14:textId="77777777" w:rsidR="00274775" w:rsidRDefault="00000000">
            <w:r>
              <w:rPr>
                <w:rFonts w:ascii="Calibri" w:hAnsi="Calibri"/>
                <w:sz w:val="21"/>
              </w:rPr>
              <w:t>AWS</w:t>
            </w:r>
          </w:p>
        </w:tc>
        <w:tc>
          <w:tcPr>
            <w:tcW w:w="5560" w:type="dxa"/>
            <w:tcBorders>
              <w:top w:val="single" w:sz="2" w:space="0" w:color="B9C6D9"/>
              <w:left w:val="single" w:sz="2" w:space="0" w:color="B9C6D9"/>
              <w:bottom w:val="single" w:sz="2" w:space="0" w:color="B9C6D9"/>
              <w:right w:val="single" w:sz="2" w:space="0" w:color="B9C6D9"/>
            </w:tcBorders>
            <w:shd w:val="clear" w:color="auto" w:fill="EEF3FA"/>
          </w:tcPr>
          <w:p w14:paraId="08E042CD" w14:textId="77777777" w:rsidR="00274775" w:rsidRDefault="00000000">
            <w:r>
              <w:rPr>
                <w:rFonts w:ascii="Calibri" w:hAnsi="Calibri"/>
                <w:sz w:val="21"/>
              </w:rPr>
              <w:t xml:space="preserve">Bronze is immutable and untouched by a failed Glue job — fix the bug, delete the partial/bad </w:t>
            </w:r>
            <w:proofErr w:type="gramStart"/>
            <w:r>
              <w:rPr>
                <w:rFonts w:ascii="Calibri" w:hAnsi="Calibri"/>
                <w:sz w:val="21"/>
              </w:rPr>
              <w:t>Silver</w:t>
            </w:r>
            <w:proofErr w:type="gramEnd"/>
            <w:r>
              <w:rPr>
                <w:rFonts w:ascii="Calibri" w:hAnsi="Calibri"/>
                <w:sz w:val="21"/>
              </w:rPr>
              <w:t xml:space="preserve"> partition if one was written, and rerun from Bronze. Nothing upstream needs to be redone.</w:t>
            </w:r>
          </w:p>
        </w:tc>
      </w:tr>
      <w:tr w:rsidR="00274775" w14:paraId="5C402F6B" w14:textId="77777777">
        <w:trPr>
          <w:jc w:val="center"/>
        </w:trPr>
        <w:tc>
          <w:tcPr>
            <w:tcW w:w="2700" w:type="dxa"/>
            <w:tcBorders>
              <w:top w:val="single" w:sz="2" w:space="0" w:color="B9C6D9"/>
              <w:left w:val="single" w:sz="2" w:space="0" w:color="B9C6D9"/>
              <w:bottom w:val="single" w:sz="2" w:space="0" w:color="B9C6D9"/>
              <w:right w:val="single" w:sz="2" w:space="0" w:color="B9C6D9"/>
            </w:tcBorders>
          </w:tcPr>
          <w:p w14:paraId="3510F125" w14:textId="77777777" w:rsidR="00274775" w:rsidRDefault="00000000">
            <w:r>
              <w:rPr>
                <w:rFonts w:ascii="Calibri" w:hAnsi="Calibri"/>
                <w:sz w:val="21"/>
              </w:rPr>
              <w:t>Redshift COPY fails (e.g., the SUPER/SERIALIZETOJSON or type-width bugs hit this session)</w:t>
            </w:r>
          </w:p>
        </w:tc>
        <w:tc>
          <w:tcPr>
            <w:tcW w:w="1100" w:type="dxa"/>
            <w:tcBorders>
              <w:top w:val="single" w:sz="2" w:space="0" w:color="B9C6D9"/>
              <w:left w:val="single" w:sz="2" w:space="0" w:color="B9C6D9"/>
              <w:bottom w:val="single" w:sz="2" w:space="0" w:color="B9C6D9"/>
              <w:right w:val="single" w:sz="2" w:space="0" w:color="B9C6D9"/>
            </w:tcBorders>
          </w:tcPr>
          <w:p w14:paraId="65FFEE28" w14:textId="77777777" w:rsidR="00274775" w:rsidRDefault="00000000">
            <w:r>
              <w:rPr>
                <w:rFonts w:ascii="Calibri" w:hAnsi="Calibri"/>
                <w:sz w:val="21"/>
              </w:rPr>
              <w:t>AWS</w:t>
            </w:r>
          </w:p>
        </w:tc>
        <w:tc>
          <w:tcPr>
            <w:tcW w:w="5560" w:type="dxa"/>
            <w:tcBorders>
              <w:top w:val="single" w:sz="2" w:space="0" w:color="B9C6D9"/>
              <w:left w:val="single" w:sz="2" w:space="0" w:color="B9C6D9"/>
              <w:bottom w:val="single" w:sz="2" w:space="0" w:color="B9C6D9"/>
              <w:right w:val="single" w:sz="2" w:space="0" w:color="B9C6D9"/>
            </w:tcBorders>
          </w:tcPr>
          <w:p w14:paraId="26606CF1" w14:textId="77777777" w:rsidR="00274775" w:rsidRDefault="00000000">
            <w:r>
              <w:rPr>
                <w:rFonts w:ascii="Calibri" w:hAnsi="Calibri"/>
                <w:sz w:val="21"/>
              </w:rPr>
              <w:t>Gold Parquet remains safe and untouched in S3 regardless of COPY outcome — fix the DDL/COPY options and rerun COPY. The failure is fully recoverable because the source of truth (S3) was never at risk.</w:t>
            </w:r>
          </w:p>
        </w:tc>
      </w:tr>
      <w:tr w:rsidR="00274775" w14:paraId="649EE8C8" w14:textId="77777777">
        <w:trPr>
          <w:jc w:val="center"/>
        </w:trPr>
        <w:tc>
          <w:tcPr>
            <w:tcW w:w="2700" w:type="dxa"/>
            <w:tcBorders>
              <w:top w:val="single" w:sz="2" w:space="0" w:color="B9C6D9"/>
              <w:left w:val="single" w:sz="2" w:space="0" w:color="B9C6D9"/>
              <w:bottom w:val="single" w:sz="2" w:space="0" w:color="B9C6D9"/>
              <w:right w:val="single" w:sz="2" w:space="0" w:color="B9C6D9"/>
            </w:tcBorders>
            <w:shd w:val="clear" w:color="auto" w:fill="EEF3FA"/>
          </w:tcPr>
          <w:p w14:paraId="2567FBDB" w14:textId="77777777" w:rsidR="00274775" w:rsidRDefault="00000000">
            <w:proofErr w:type="spellStart"/>
            <w:r>
              <w:rPr>
                <w:rFonts w:ascii="Calibri" w:hAnsi="Calibri"/>
                <w:sz w:val="21"/>
              </w:rPr>
              <w:t>dbt</w:t>
            </w:r>
            <w:proofErr w:type="spellEnd"/>
            <w:r>
              <w:rPr>
                <w:rFonts w:ascii="Calibri" w:hAnsi="Calibri"/>
                <w:sz w:val="21"/>
              </w:rPr>
              <w:t xml:space="preserve"> test suite is 100% green but the mart is wrong</w:t>
            </w:r>
          </w:p>
        </w:tc>
        <w:tc>
          <w:tcPr>
            <w:tcW w:w="1100" w:type="dxa"/>
            <w:tcBorders>
              <w:top w:val="single" w:sz="2" w:space="0" w:color="B9C6D9"/>
              <w:left w:val="single" w:sz="2" w:space="0" w:color="B9C6D9"/>
              <w:bottom w:val="single" w:sz="2" w:space="0" w:color="B9C6D9"/>
              <w:right w:val="single" w:sz="2" w:space="0" w:color="B9C6D9"/>
            </w:tcBorders>
            <w:shd w:val="clear" w:color="auto" w:fill="EEF3FA"/>
          </w:tcPr>
          <w:p w14:paraId="2135CE30" w14:textId="77777777" w:rsidR="00274775" w:rsidRDefault="00000000">
            <w:r>
              <w:rPr>
                <w:rFonts w:ascii="Calibri" w:hAnsi="Calibri"/>
                <w:sz w:val="21"/>
              </w:rPr>
              <w:t>AWS</w:t>
            </w:r>
          </w:p>
        </w:tc>
        <w:tc>
          <w:tcPr>
            <w:tcW w:w="5560" w:type="dxa"/>
            <w:tcBorders>
              <w:top w:val="single" w:sz="2" w:space="0" w:color="B9C6D9"/>
              <w:left w:val="single" w:sz="2" w:space="0" w:color="B9C6D9"/>
              <w:bottom w:val="single" w:sz="2" w:space="0" w:color="B9C6D9"/>
              <w:right w:val="single" w:sz="2" w:space="0" w:color="B9C6D9"/>
            </w:tcBorders>
            <w:shd w:val="clear" w:color="auto" w:fill="EEF3FA"/>
          </w:tcPr>
          <w:p w14:paraId="2833C1CF" w14:textId="77777777" w:rsidR="00274775" w:rsidRDefault="00000000">
            <w:r>
              <w:rPr>
                <w:rFonts w:ascii="Calibri" w:hAnsi="Calibri"/>
                <w:sz w:val="21"/>
              </w:rPr>
              <w:t>This actually happened (§3.4). Recovery path: never treat a green test suite as sufficient — run a manual row-count/spot-check against real numbers before declaring a model done, and write a permanent regression test for the exact failure mode once found.</w:t>
            </w:r>
          </w:p>
        </w:tc>
      </w:tr>
      <w:tr w:rsidR="00274775" w14:paraId="0C4FE309" w14:textId="77777777">
        <w:trPr>
          <w:jc w:val="center"/>
        </w:trPr>
        <w:tc>
          <w:tcPr>
            <w:tcW w:w="2700" w:type="dxa"/>
            <w:tcBorders>
              <w:top w:val="single" w:sz="2" w:space="0" w:color="B9C6D9"/>
              <w:left w:val="single" w:sz="2" w:space="0" w:color="B9C6D9"/>
              <w:bottom w:val="single" w:sz="2" w:space="0" w:color="B9C6D9"/>
              <w:right w:val="single" w:sz="2" w:space="0" w:color="B9C6D9"/>
            </w:tcBorders>
          </w:tcPr>
          <w:p w14:paraId="3F551E8B" w14:textId="77777777" w:rsidR="00274775" w:rsidRDefault="00000000">
            <w:r>
              <w:rPr>
                <w:rFonts w:ascii="Calibri" w:hAnsi="Calibri"/>
                <w:sz w:val="21"/>
              </w:rPr>
              <w:t>A Databricks Job task fails (Silver or Gold)</w:t>
            </w:r>
          </w:p>
        </w:tc>
        <w:tc>
          <w:tcPr>
            <w:tcW w:w="1100" w:type="dxa"/>
            <w:tcBorders>
              <w:top w:val="single" w:sz="2" w:space="0" w:color="B9C6D9"/>
              <w:left w:val="single" w:sz="2" w:space="0" w:color="B9C6D9"/>
              <w:bottom w:val="single" w:sz="2" w:space="0" w:color="B9C6D9"/>
              <w:right w:val="single" w:sz="2" w:space="0" w:color="B9C6D9"/>
            </w:tcBorders>
          </w:tcPr>
          <w:p w14:paraId="3F8184D3" w14:textId="77777777" w:rsidR="00274775" w:rsidRDefault="00000000">
            <w:r>
              <w:rPr>
                <w:rFonts w:ascii="Calibri" w:hAnsi="Calibri"/>
                <w:sz w:val="21"/>
              </w:rPr>
              <w:t>Databricks</w:t>
            </w:r>
          </w:p>
        </w:tc>
        <w:tc>
          <w:tcPr>
            <w:tcW w:w="5560" w:type="dxa"/>
            <w:tcBorders>
              <w:top w:val="single" w:sz="2" w:space="0" w:color="B9C6D9"/>
              <w:left w:val="single" w:sz="2" w:space="0" w:color="B9C6D9"/>
              <w:bottom w:val="single" w:sz="2" w:space="0" w:color="B9C6D9"/>
              <w:right w:val="single" w:sz="2" w:space="0" w:color="B9C6D9"/>
            </w:tcBorders>
          </w:tcPr>
          <w:p w14:paraId="66D173AF" w14:textId="77777777" w:rsidR="00274775" w:rsidRDefault="00000000">
            <w:r>
              <w:rPr>
                <w:rFonts w:ascii="Calibri" w:hAnsi="Calibri"/>
                <w:sz w:val="21"/>
              </w:rPr>
              <w:t>Retries=0 by design for Silver/Gold — a deterministic logic failure should alert immediately, not retry and delay the alert. Recovery: fix the notebook logic, rerun the Job (or just the failed task) — Bronze/Silver upstream of the failure point is untouched, same Bronze-immutability principle as AWS.</w:t>
            </w:r>
          </w:p>
        </w:tc>
      </w:tr>
      <w:tr w:rsidR="00274775" w14:paraId="3AE704AC" w14:textId="77777777">
        <w:trPr>
          <w:jc w:val="center"/>
        </w:trPr>
        <w:tc>
          <w:tcPr>
            <w:tcW w:w="2700" w:type="dxa"/>
            <w:tcBorders>
              <w:top w:val="single" w:sz="2" w:space="0" w:color="B9C6D9"/>
              <w:left w:val="single" w:sz="2" w:space="0" w:color="B9C6D9"/>
              <w:bottom w:val="single" w:sz="2" w:space="0" w:color="B9C6D9"/>
              <w:right w:val="single" w:sz="2" w:space="0" w:color="B9C6D9"/>
            </w:tcBorders>
            <w:shd w:val="clear" w:color="auto" w:fill="EEF3FA"/>
          </w:tcPr>
          <w:p w14:paraId="6FC5774E" w14:textId="77777777" w:rsidR="00274775" w:rsidRDefault="00000000">
            <w:r>
              <w:rPr>
                <w:rFonts w:ascii="Calibri" w:hAnsi="Calibri"/>
                <w:sz w:val="21"/>
              </w:rPr>
              <w:t>A Databricks Job task fails (producer or ingestion)</w:t>
            </w:r>
          </w:p>
        </w:tc>
        <w:tc>
          <w:tcPr>
            <w:tcW w:w="1100" w:type="dxa"/>
            <w:tcBorders>
              <w:top w:val="single" w:sz="2" w:space="0" w:color="B9C6D9"/>
              <w:left w:val="single" w:sz="2" w:space="0" w:color="B9C6D9"/>
              <w:bottom w:val="single" w:sz="2" w:space="0" w:color="B9C6D9"/>
              <w:right w:val="single" w:sz="2" w:space="0" w:color="B9C6D9"/>
            </w:tcBorders>
            <w:shd w:val="clear" w:color="auto" w:fill="EEF3FA"/>
          </w:tcPr>
          <w:p w14:paraId="057EDD88" w14:textId="77777777" w:rsidR="00274775" w:rsidRDefault="00000000">
            <w:r>
              <w:rPr>
                <w:rFonts w:ascii="Calibri" w:hAnsi="Calibri"/>
                <w:sz w:val="21"/>
              </w:rPr>
              <w:t>Databricks</w:t>
            </w:r>
          </w:p>
        </w:tc>
        <w:tc>
          <w:tcPr>
            <w:tcW w:w="5560" w:type="dxa"/>
            <w:tcBorders>
              <w:top w:val="single" w:sz="2" w:space="0" w:color="B9C6D9"/>
              <w:left w:val="single" w:sz="2" w:space="0" w:color="B9C6D9"/>
              <w:bottom w:val="single" w:sz="2" w:space="0" w:color="B9C6D9"/>
              <w:right w:val="single" w:sz="2" w:space="0" w:color="B9C6D9"/>
            </w:tcBorders>
            <w:shd w:val="clear" w:color="auto" w:fill="EEF3FA"/>
          </w:tcPr>
          <w:p w14:paraId="6F0556FC" w14:textId="77777777" w:rsidR="00274775" w:rsidRDefault="00000000">
            <w:r>
              <w:rPr>
                <w:rFonts w:ascii="Calibri" w:hAnsi="Calibri"/>
                <w:sz w:val="21"/>
              </w:rPr>
              <w:t xml:space="preserve">Retries=2 by design — these are typically transient infra issues (package install hiccups, cluster </w:t>
            </w:r>
            <w:proofErr w:type="spellStart"/>
            <w:r>
              <w:rPr>
                <w:rFonts w:ascii="Calibri" w:hAnsi="Calibri"/>
                <w:sz w:val="21"/>
              </w:rPr>
              <w:t>init</w:t>
            </w:r>
            <w:proofErr w:type="spellEnd"/>
            <w:r>
              <w:rPr>
                <w:rFonts w:ascii="Calibri" w:hAnsi="Calibri"/>
                <w:sz w:val="21"/>
              </w:rPr>
              <w:t>) that may genuinely succeed on a second attempt, unlike a deterministic logic bug.</w:t>
            </w:r>
          </w:p>
        </w:tc>
      </w:tr>
      <w:tr w:rsidR="00274775" w14:paraId="49BA6C52" w14:textId="77777777">
        <w:trPr>
          <w:jc w:val="center"/>
        </w:trPr>
        <w:tc>
          <w:tcPr>
            <w:tcW w:w="2700" w:type="dxa"/>
            <w:tcBorders>
              <w:top w:val="single" w:sz="2" w:space="0" w:color="B9C6D9"/>
              <w:left w:val="single" w:sz="2" w:space="0" w:color="B9C6D9"/>
              <w:bottom w:val="single" w:sz="2" w:space="0" w:color="B9C6D9"/>
              <w:right w:val="single" w:sz="2" w:space="0" w:color="B9C6D9"/>
            </w:tcBorders>
          </w:tcPr>
          <w:p w14:paraId="4BAB0F87" w14:textId="77777777" w:rsidR="00274775" w:rsidRDefault="00000000">
            <w:r>
              <w:rPr>
                <w:rFonts w:ascii="Calibri" w:hAnsi="Calibri"/>
                <w:sz w:val="21"/>
              </w:rPr>
              <w:t>Notebook state corruption (AMBIGUOUS_REFERENCE-style errors that survive a restart)</w:t>
            </w:r>
          </w:p>
        </w:tc>
        <w:tc>
          <w:tcPr>
            <w:tcW w:w="1100" w:type="dxa"/>
            <w:tcBorders>
              <w:top w:val="single" w:sz="2" w:space="0" w:color="B9C6D9"/>
              <w:left w:val="single" w:sz="2" w:space="0" w:color="B9C6D9"/>
              <w:bottom w:val="single" w:sz="2" w:space="0" w:color="B9C6D9"/>
              <w:right w:val="single" w:sz="2" w:space="0" w:color="B9C6D9"/>
            </w:tcBorders>
          </w:tcPr>
          <w:p w14:paraId="7C7F8E19" w14:textId="77777777" w:rsidR="00274775" w:rsidRDefault="00000000">
            <w:r>
              <w:rPr>
                <w:rFonts w:ascii="Calibri" w:hAnsi="Calibri"/>
                <w:sz w:val="21"/>
              </w:rPr>
              <w:t>Databricks</w:t>
            </w:r>
          </w:p>
        </w:tc>
        <w:tc>
          <w:tcPr>
            <w:tcW w:w="5560" w:type="dxa"/>
            <w:tcBorders>
              <w:top w:val="single" w:sz="2" w:space="0" w:color="B9C6D9"/>
              <w:left w:val="single" w:sz="2" w:space="0" w:color="B9C6D9"/>
              <w:bottom w:val="single" w:sz="2" w:space="0" w:color="B9C6D9"/>
              <w:right w:val="single" w:sz="2" w:space="0" w:color="B9C6D9"/>
            </w:tcBorders>
          </w:tcPr>
          <w:p w14:paraId="447B500A" w14:textId="77777777" w:rsidR="00274775" w:rsidRDefault="00000000">
            <w:r>
              <w:rPr>
                <w:rFonts w:ascii="Calibri" w:hAnsi="Calibri"/>
                <w:sz w:val="21"/>
              </w:rPr>
              <w:t>A notebook's .</w:t>
            </w:r>
            <w:proofErr w:type="spellStart"/>
            <w:r>
              <w:rPr>
                <w:rFonts w:ascii="Calibri" w:hAnsi="Calibri"/>
                <w:sz w:val="21"/>
              </w:rPr>
              <w:t>py</w:t>
            </w:r>
            <w:proofErr w:type="spellEnd"/>
            <w:r>
              <w:rPr>
                <w:rFonts w:ascii="Calibri" w:hAnsi="Calibri"/>
                <w:sz w:val="21"/>
              </w:rPr>
              <w:t xml:space="preserve"> file and its live Python process state are two different things — out-of-order cell execution can leave stale </w:t>
            </w:r>
            <w:proofErr w:type="spellStart"/>
            <w:r>
              <w:rPr>
                <w:rFonts w:ascii="Calibri" w:hAnsi="Calibri"/>
                <w:sz w:val="21"/>
              </w:rPr>
              <w:t>dataframe</w:t>
            </w:r>
            <w:proofErr w:type="spellEnd"/>
            <w:r>
              <w:rPr>
                <w:rFonts w:ascii="Calibri" w:hAnsi="Calibri"/>
                <w:sz w:val="21"/>
              </w:rPr>
              <w:t xml:space="preserve"> lineage behind. Recovery: hard cluster Detach &amp; Re-attach, then Run All from the top, never partial/out-of-</w:t>
            </w:r>
            <w:r>
              <w:rPr>
                <w:rFonts w:ascii="Calibri" w:hAnsi="Calibri"/>
                <w:sz w:val="21"/>
              </w:rPr>
              <w:lastRenderedPageBreak/>
              <w:t>order execution while debugging.</w:t>
            </w:r>
          </w:p>
        </w:tc>
      </w:tr>
      <w:tr w:rsidR="00274775" w14:paraId="11741182" w14:textId="77777777">
        <w:trPr>
          <w:jc w:val="center"/>
        </w:trPr>
        <w:tc>
          <w:tcPr>
            <w:tcW w:w="2700" w:type="dxa"/>
            <w:tcBorders>
              <w:top w:val="single" w:sz="2" w:space="0" w:color="B9C6D9"/>
              <w:left w:val="single" w:sz="2" w:space="0" w:color="B9C6D9"/>
              <w:bottom w:val="single" w:sz="2" w:space="0" w:color="B9C6D9"/>
              <w:right w:val="single" w:sz="2" w:space="0" w:color="B9C6D9"/>
            </w:tcBorders>
            <w:shd w:val="clear" w:color="auto" w:fill="EEF3FA"/>
          </w:tcPr>
          <w:p w14:paraId="0FDA53B8" w14:textId="77777777" w:rsidR="00274775" w:rsidRDefault="00000000">
            <w:r>
              <w:rPr>
                <w:rFonts w:ascii="Calibri" w:hAnsi="Calibri"/>
                <w:sz w:val="21"/>
              </w:rPr>
              <w:lastRenderedPageBreak/>
              <w:t xml:space="preserve">Bad/malformed record arrives at </w:t>
            </w:r>
            <w:proofErr w:type="gramStart"/>
            <w:r>
              <w:rPr>
                <w:rFonts w:ascii="Calibri" w:hAnsi="Calibri"/>
                <w:sz w:val="21"/>
              </w:rPr>
              <w:t>Silver</w:t>
            </w:r>
            <w:proofErr w:type="gramEnd"/>
            <w:r>
              <w:rPr>
                <w:rFonts w:ascii="Calibri" w:hAnsi="Calibri"/>
                <w:sz w:val="21"/>
              </w:rPr>
              <w:t xml:space="preserve"> validation</w:t>
            </w:r>
          </w:p>
        </w:tc>
        <w:tc>
          <w:tcPr>
            <w:tcW w:w="1100" w:type="dxa"/>
            <w:tcBorders>
              <w:top w:val="single" w:sz="2" w:space="0" w:color="B9C6D9"/>
              <w:left w:val="single" w:sz="2" w:space="0" w:color="B9C6D9"/>
              <w:bottom w:val="single" w:sz="2" w:space="0" w:color="B9C6D9"/>
              <w:right w:val="single" w:sz="2" w:space="0" w:color="B9C6D9"/>
            </w:tcBorders>
            <w:shd w:val="clear" w:color="auto" w:fill="EEF3FA"/>
          </w:tcPr>
          <w:p w14:paraId="45CA69B9" w14:textId="77777777" w:rsidR="00274775" w:rsidRDefault="00000000">
            <w:r>
              <w:rPr>
                <w:rFonts w:ascii="Calibri" w:hAnsi="Calibri"/>
                <w:sz w:val="21"/>
              </w:rPr>
              <w:t>All three</w:t>
            </w:r>
          </w:p>
        </w:tc>
        <w:tc>
          <w:tcPr>
            <w:tcW w:w="5560" w:type="dxa"/>
            <w:tcBorders>
              <w:top w:val="single" w:sz="2" w:space="0" w:color="B9C6D9"/>
              <w:left w:val="single" w:sz="2" w:space="0" w:color="B9C6D9"/>
              <w:bottom w:val="single" w:sz="2" w:space="0" w:color="B9C6D9"/>
              <w:right w:val="single" w:sz="2" w:space="0" w:color="B9C6D9"/>
            </w:tcBorders>
            <w:shd w:val="clear" w:color="auto" w:fill="EEF3FA"/>
          </w:tcPr>
          <w:p w14:paraId="0146BAAC" w14:textId="77777777" w:rsidR="00274775" w:rsidRDefault="00000000">
            <w:r>
              <w:rPr>
                <w:rFonts w:ascii="Calibri" w:hAnsi="Calibri"/>
                <w:sz w:val="21"/>
              </w:rPr>
              <w:t xml:space="preserve">Never silently dropped, never fails the whole batch — quarantined with a </w:t>
            </w:r>
            <w:proofErr w:type="spellStart"/>
            <w:r>
              <w:rPr>
                <w:rFonts w:ascii="Calibri" w:hAnsi="Calibri"/>
                <w:sz w:val="21"/>
              </w:rPr>
              <w:t>failure_reason</w:t>
            </w:r>
            <w:proofErr w:type="spellEnd"/>
            <w:r>
              <w:rPr>
                <w:rFonts w:ascii="Calibri" w:hAnsi="Calibri"/>
                <w:sz w:val="21"/>
              </w:rPr>
              <w:t>, verified by confirming quarantine counts match intentionally-injected bad data exactly (</w:t>
            </w:r>
            <w:proofErr w:type="spellStart"/>
            <w:r>
              <w:rPr>
                <w:rFonts w:ascii="Calibri" w:hAnsi="Calibri"/>
                <w:sz w:val="21"/>
              </w:rPr>
              <w:t>wearable_event's</w:t>
            </w:r>
            <w:proofErr w:type="spellEnd"/>
            <w:r>
              <w:rPr>
                <w:rFonts w:ascii="Calibri" w:hAnsi="Calibri"/>
                <w:sz w:val="21"/>
              </w:rPr>
              <w:t xml:space="preserve"> 5% injection, confirmed non-empty on every stack).</w:t>
            </w:r>
          </w:p>
        </w:tc>
      </w:tr>
      <w:tr w:rsidR="00274775" w14:paraId="2458CC05" w14:textId="77777777">
        <w:trPr>
          <w:jc w:val="center"/>
        </w:trPr>
        <w:tc>
          <w:tcPr>
            <w:tcW w:w="2700" w:type="dxa"/>
            <w:tcBorders>
              <w:top w:val="single" w:sz="2" w:space="0" w:color="B9C6D9"/>
              <w:left w:val="single" w:sz="2" w:space="0" w:color="B9C6D9"/>
              <w:bottom w:val="single" w:sz="2" w:space="0" w:color="B9C6D9"/>
              <w:right w:val="single" w:sz="2" w:space="0" w:color="B9C6D9"/>
            </w:tcBorders>
          </w:tcPr>
          <w:p w14:paraId="2CD06479" w14:textId="77777777" w:rsidR="00274775" w:rsidRDefault="00000000">
            <w:r>
              <w:rPr>
                <w:rFonts w:ascii="Calibri" w:hAnsi="Calibri"/>
                <w:sz w:val="21"/>
              </w:rPr>
              <w:t>A dimension's data arrives after the facts that depend on it (late-arriving dimension)</w:t>
            </w:r>
          </w:p>
        </w:tc>
        <w:tc>
          <w:tcPr>
            <w:tcW w:w="1100" w:type="dxa"/>
            <w:tcBorders>
              <w:top w:val="single" w:sz="2" w:space="0" w:color="B9C6D9"/>
              <w:left w:val="single" w:sz="2" w:space="0" w:color="B9C6D9"/>
              <w:bottom w:val="single" w:sz="2" w:space="0" w:color="B9C6D9"/>
              <w:right w:val="single" w:sz="2" w:space="0" w:color="B9C6D9"/>
            </w:tcBorders>
          </w:tcPr>
          <w:p w14:paraId="51AB366F" w14:textId="77777777" w:rsidR="00274775" w:rsidRDefault="00000000">
            <w:r>
              <w:rPr>
                <w:rFonts w:ascii="Calibri" w:hAnsi="Calibri"/>
                <w:sz w:val="21"/>
              </w:rPr>
              <w:t>AWS &amp; Databricks</w:t>
            </w:r>
          </w:p>
        </w:tc>
        <w:tc>
          <w:tcPr>
            <w:tcW w:w="5560" w:type="dxa"/>
            <w:tcBorders>
              <w:top w:val="single" w:sz="2" w:space="0" w:color="B9C6D9"/>
              <w:left w:val="single" w:sz="2" w:space="0" w:color="B9C6D9"/>
              <w:bottom w:val="single" w:sz="2" w:space="0" w:color="B9C6D9"/>
              <w:right w:val="single" w:sz="2" w:space="0" w:color="B9C6D9"/>
            </w:tcBorders>
          </w:tcPr>
          <w:p w14:paraId="3054128F" w14:textId="77777777" w:rsidR="00274775" w:rsidRDefault="00000000">
            <w:r>
              <w:rPr>
                <w:rFonts w:ascii="Calibri" w:hAnsi="Calibri"/>
                <w:sz w:val="21"/>
              </w:rPr>
              <w:t xml:space="preserve">Two different correct answers depending on context: </w:t>
            </w:r>
            <w:proofErr w:type="spellStart"/>
            <w:r>
              <w:rPr>
                <w:rFonts w:ascii="Calibri" w:hAnsi="Calibri"/>
                <w:sz w:val="21"/>
              </w:rPr>
              <w:t>Databricks's</w:t>
            </w:r>
            <w:proofErr w:type="spellEnd"/>
            <w:r>
              <w:rPr>
                <w:rFonts w:ascii="Calibri" w:hAnsi="Calibri"/>
                <w:sz w:val="21"/>
              </w:rPr>
              <w:t xml:space="preserve"> </w:t>
            </w:r>
            <w:proofErr w:type="spellStart"/>
            <w:r>
              <w:rPr>
                <w:rFonts w:ascii="Calibri" w:hAnsi="Calibri"/>
                <w:sz w:val="21"/>
              </w:rPr>
              <w:t>gold_community_analytics</w:t>
            </w:r>
            <w:proofErr w:type="spellEnd"/>
            <w:r>
              <w:rPr>
                <w:rFonts w:ascii="Calibri" w:hAnsi="Calibri"/>
                <w:sz w:val="21"/>
              </w:rPr>
              <w:t xml:space="preserve"> explicitly labels unmatched users "Unprofiled" rather than dropping or nulling them, preserving their activity data. AWS's SCD2 fix instead corrected the dimension's </w:t>
            </w:r>
            <w:proofErr w:type="spellStart"/>
            <w:r>
              <w:rPr>
                <w:rFonts w:ascii="Calibri" w:hAnsi="Calibri"/>
                <w:sz w:val="21"/>
              </w:rPr>
              <w:t>effective_date</w:t>
            </w:r>
            <w:proofErr w:type="spellEnd"/>
            <w:r>
              <w:rPr>
                <w:rFonts w:ascii="Calibri" w:hAnsi="Calibri"/>
                <w:sz w:val="21"/>
              </w:rPr>
              <w:t xml:space="preserve"> itself, because in that case the late arrival was an ETL-timestamp artifact, not a genuine business late-arrival — recognizing which of the two situations you're in is the actual skill, not applying one fix everywhere.</w:t>
            </w:r>
          </w:p>
        </w:tc>
      </w:tr>
    </w:tbl>
    <w:p w14:paraId="7D97AE02" w14:textId="77777777" w:rsidR="00274775" w:rsidRDefault="00274775">
      <w:pPr>
        <w:spacing w:before="200"/>
      </w:pPr>
    </w:p>
    <w:p w14:paraId="3EFB8CE5" w14:textId="77777777" w:rsidR="00274775" w:rsidRDefault="00000000">
      <w:pPr>
        <w:spacing w:before="560" w:after="280"/>
      </w:pPr>
      <w:r>
        <w:rPr>
          <w:rFonts w:ascii="Calibri" w:hAnsi="Calibri"/>
          <w:b/>
          <w:color w:val="2E75B6"/>
          <w:sz w:val="52"/>
        </w:rPr>
        <w:t xml:space="preserve">7.1 The recovery </w:t>
      </w:r>
      <w:proofErr w:type="gramStart"/>
      <w:r>
        <w:rPr>
          <w:rFonts w:ascii="Calibri" w:hAnsi="Calibri"/>
          <w:b/>
          <w:color w:val="2E75B6"/>
          <w:sz w:val="52"/>
        </w:rPr>
        <w:t>principle</w:t>
      </w:r>
      <w:proofErr w:type="gramEnd"/>
      <w:r>
        <w:rPr>
          <w:rFonts w:ascii="Calibri" w:hAnsi="Calibri"/>
          <w:b/>
          <w:color w:val="2E75B6"/>
          <w:sz w:val="52"/>
        </w:rPr>
        <w:t xml:space="preserve"> underneath all of these</w:t>
      </w:r>
    </w:p>
    <w:p w14:paraId="535904EE" w14:textId="77777777" w:rsidR="00274775" w:rsidRDefault="00000000">
      <w:pPr>
        <w:pBdr>
          <w:left w:val="single" w:sz="18" w:space="8" w:color="2E75B6"/>
        </w:pBdr>
        <w:spacing w:before="240" w:after="400"/>
        <w:ind w:left="360"/>
      </w:pPr>
      <w:r>
        <w:rPr>
          <w:rFonts w:ascii="Calibri" w:hAnsi="Calibri"/>
          <w:color w:val="333333"/>
        </w:rPr>
        <w:t>Every layer is a checkpoint, not a single point of failure. Bronze is immutable, so any downstream failure can always be recovered by fixing logic and reprocessing from Bronze — never from re-ingesting source data. This is true identically on AWS and Databricks, and is the reason "what happens if X fails" almost always has a calm, specific answer rather than "I'd have to start over."</w:t>
      </w:r>
    </w:p>
    <w:p w14:paraId="191F1334" w14:textId="77777777" w:rsidR="00274775" w:rsidRDefault="00000000">
      <w:r>
        <w:br w:type="page"/>
      </w:r>
    </w:p>
    <w:p w14:paraId="58306537" w14:textId="77777777" w:rsidR="00274775" w:rsidRDefault="00000000">
      <w:pPr>
        <w:pBdr>
          <w:bottom w:val="single" w:sz="8" w:space="4" w:color="2E75B6"/>
        </w:pBdr>
        <w:spacing w:before="240" w:after="480"/>
      </w:pPr>
      <w:r>
        <w:rPr>
          <w:rFonts w:ascii="Calibri" w:hAnsi="Calibri"/>
          <w:b/>
          <w:color w:val="1F3864"/>
          <w:sz w:val="64"/>
        </w:rPr>
        <w:lastRenderedPageBreak/>
        <w:t>8. Standing Engineering Principles</w:t>
      </w:r>
    </w:p>
    <w:p w14:paraId="53A7D914" w14:textId="77777777" w:rsidR="00274775" w:rsidRDefault="00000000">
      <w:pPr>
        <w:spacing w:after="160"/>
      </w:pPr>
      <w:r>
        <w:rPr>
          <w:rFonts w:ascii="Calibri" w:hAnsi="Calibri"/>
          <w:color w:val="1A1A1A"/>
        </w:rPr>
        <w:t>The disciplines that were applied consistently across all three stacks, all ten-plus build sessions, and both shared-documentation passes. These are the answer to "how do you work," independent of any specific tool.</w:t>
      </w:r>
    </w:p>
    <w:p w14:paraId="693FB5E5" w14:textId="77777777" w:rsidR="00274775" w:rsidRDefault="00000000">
      <w:pPr>
        <w:pStyle w:val="ListNumber"/>
        <w:spacing w:after="80"/>
      </w:pPr>
      <w:r>
        <w:rPr>
          <w:rFonts w:ascii="Calibri" w:hAnsi="Calibri"/>
        </w:rPr>
        <w:t>Verify against real output before declaring anything done. Every real bug in this project — across all three stacks — was caught by inspecting actual run output (schema, row counts, specific values), never by re-reading code or trusting a green checkmark.</w:t>
      </w:r>
    </w:p>
    <w:p w14:paraId="4C320608" w14:textId="77777777" w:rsidR="00274775" w:rsidRDefault="00000000">
      <w:pPr>
        <w:pStyle w:val="ListNumber"/>
        <w:spacing w:after="80"/>
      </w:pPr>
      <w:r>
        <w:rPr>
          <w:rFonts w:ascii="Calibri" w:hAnsi="Calibri"/>
        </w:rPr>
        <w:t>Bugfixes are committed separately from feature work, every time, no exceptions.</w:t>
      </w:r>
    </w:p>
    <w:p w14:paraId="361E33B4" w14:textId="77777777" w:rsidR="00274775" w:rsidRDefault="00000000">
      <w:pPr>
        <w:pStyle w:val="ListNumber"/>
        <w:spacing w:after="80"/>
      </w:pPr>
      <w:r>
        <w:rPr>
          <w:rFonts w:ascii="Calibri" w:hAnsi="Calibri"/>
        </w:rPr>
        <w:t>Logic stays identical across stacks. Porting a transformation means referencing the existing implementation, not redesigning it for the new platform — the comparison only means something if the underlying logic is genuinely the same.</w:t>
      </w:r>
    </w:p>
    <w:p w14:paraId="3FB24F37" w14:textId="77777777" w:rsidR="00274775" w:rsidRDefault="00000000">
      <w:pPr>
        <w:pStyle w:val="ListNumber"/>
        <w:spacing w:after="80"/>
      </w:pPr>
      <w:r>
        <w:rPr>
          <w:rFonts w:ascii="Calibri" w:hAnsi="Calibri"/>
        </w:rPr>
        <w:t>Blast-radius isolation over DRY. One notebook/script per record type, so a bug in one can't cascade into the other four — an explicit, named trade against code reuse.</w:t>
      </w:r>
    </w:p>
    <w:p w14:paraId="3695CE1E" w14:textId="77777777" w:rsidR="00274775" w:rsidRDefault="00000000">
      <w:pPr>
        <w:pStyle w:val="ListNumber"/>
        <w:spacing w:after="80"/>
      </w:pPr>
      <w:r>
        <w:rPr>
          <w:rFonts w:ascii="Calibri" w:hAnsi="Calibri"/>
        </w:rPr>
        <w:t>Quarantine, never silently drop or hard-fail, on bad data.</w:t>
      </w:r>
    </w:p>
    <w:p w14:paraId="2C112646" w14:textId="77777777" w:rsidR="00274775" w:rsidRDefault="00000000">
      <w:pPr>
        <w:pStyle w:val="ListNumber"/>
        <w:spacing w:after="80"/>
      </w:pPr>
      <w:r>
        <w:rPr>
          <w:rFonts w:ascii="Calibri" w:hAnsi="Calibri"/>
        </w:rPr>
        <w:t>Cost discipline as an operational habit, not an afterthought. Kinesis shards deleted after use, Redshift Serverless auto-idling understood and trusted (not manually "paused" the way a provisioned cluster would need), Databricks ingestion batch-triggered rather than continuous — each one a deliberate choice tied to actual billing mechanics, checked rather than assumed.</w:t>
      </w:r>
    </w:p>
    <w:p w14:paraId="28F608F3" w14:textId="77777777" w:rsidR="00274775" w:rsidRDefault="00000000">
      <w:pPr>
        <w:pStyle w:val="ListNumber"/>
        <w:spacing w:after="80"/>
      </w:pPr>
      <w:r>
        <w:rPr>
          <w:rFonts w:ascii="Calibri" w:hAnsi="Calibri"/>
        </w:rPr>
        <w:t>Investigate suspected leftovers before deleting anything. The Redshift staging tables looked like clutter and turned out to be load infrastructure — verified with a real comparison query before any decision was made.</w:t>
      </w:r>
    </w:p>
    <w:p w14:paraId="01C20AA1" w14:textId="77777777" w:rsidR="00274775" w:rsidRDefault="00000000">
      <w:pPr>
        <w:pStyle w:val="ListNumber"/>
        <w:spacing w:after="80"/>
      </w:pPr>
      <w:r>
        <w:rPr>
          <w:rFonts w:ascii="Calibri" w:hAnsi="Calibri"/>
        </w:rPr>
        <w:t>Document decisions with the alternatives that were rejected, not just the choice made. A decision without a rejected alternative reads as the only option considered, which is rarely true and never as convincing.</w:t>
      </w:r>
    </w:p>
    <w:p w14:paraId="0C1E6662" w14:textId="77777777" w:rsidR="00274775" w:rsidRDefault="00000000">
      <w:pPr>
        <w:pStyle w:val="ListNumber"/>
        <w:spacing w:after="80"/>
      </w:pPr>
      <w:r>
        <w:rPr>
          <w:rFonts w:ascii="Calibri" w:hAnsi="Calibri"/>
        </w:rPr>
        <w:t xml:space="preserve">IAM/security boundaries hold under real pressure. retail-pipeline-dev correctly got blocked from </w:t>
      </w:r>
      <w:proofErr w:type="spellStart"/>
      <w:proofErr w:type="gramStart"/>
      <w:r>
        <w:rPr>
          <w:rFonts w:ascii="Calibri" w:hAnsi="Calibri"/>
        </w:rPr>
        <w:t>iam:CreateRole</w:t>
      </w:r>
      <w:proofErr w:type="spellEnd"/>
      <w:proofErr w:type="gramEnd"/>
      <w:r>
        <w:rPr>
          <w:rFonts w:ascii="Calibri" w:hAnsi="Calibri"/>
        </w:rPr>
        <w:t xml:space="preserve"> and ec</w:t>
      </w:r>
      <w:proofErr w:type="gramStart"/>
      <w:r>
        <w:rPr>
          <w:rFonts w:ascii="Calibri" w:hAnsi="Calibri"/>
        </w:rPr>
        <w:t>2:AuthorizeSecurityGroupIngress</w:t>
      </w:r>
      <w:proofErr w:type="gramEnd"/>
      <w:r>
        <w:rPr>
          <w:rFonts w:ascii="Calibri" w:hAnsi="Calibri"/>
        </w:rPr>
        <w:t xml:space="preserve"> multiple times across this project, each time requiring the higher-privileged console path instead — proof the least-privilege design was real, not theoretical.</w:t>
      </w:r>
    </w:p>
    <w:p w14:paraId="6978EF83" w14:textId="77777777" w:rsidR="00A5216A" w:rsidRDefault="00A5216A">
      <w:pPr>
        <w:spacing w:before="600"/>
        <w:jc w:val="center"/>
        <w:rPr>
          <w:rFonts w:ascii="Calibri" w:hAnsi="Calibri"/>
          <w:color w:val="595959"/>
        </w:rPr>
      </w:pPr>
    </w:p>
    <w:p w14:paraId="339DCC19" w14:textId="77777777" w:rsidR="00A5216A" w:rsidRDefault="00A5216A">
      <w:pPr>
        <w:spacing w:before="600"/>
        <w:jc w:val="center"/>
      </w:pPr>
    </w:p>
    <w:p w14:paraId="66F375D1" w14:textId="77777777" w:rsidR="00483E8D" w:rsidRDefault="00483E8D">
      <w:pPr>
        <w:spacing w:before="600"/>
        <w:jc w:val="center"/>
      </w:pPr>
    </w:p>
    <w:p w14:paraId="424FDFAB" w14:textId="77777777" w:rsidR="00483E8D" w:rsidRDefault="00483E8D" w:rsidP="00483E8D">
      <w:r>
        <w:br w:type="page"/>
      </w:r>
    </w:p>
    <w:p w14:paraId="0D446F1A" w14:textId="77777777" w:rsidR="00483E8D" w:rsidRDefault="00483E8D" w:rsidP="00483E8D">
      <w:pPr>
        <w:pStyle w:val="Heading1"/>
      </w:pPr>
      <w:r>
        <w:lastRenderedPageBreak/>
        <w:t>8.5 Enterprise Reality — How This Project Operates Inside a Real Company</w:t>
      </w:r>
    </w:p>
    <w:p w14:paraId="1566F2F8" w14:textId="77777777" w:rsidR="00483E8D" w:rsidRDefault="00483E8D" w:rsidP="00483E8D">
      <w:pPr>
        <w:spacing w:after="160"/>
      </w:pPr>
      <w:r>
        <w:t>An engineer who builds a working pipeline on a personal cloud account proves technical capability. A senior engineer additionally proves they understand how that same pipeline behaves once it's surrounded by enterprise constraints — multi-environment promotion gates, audit requirements, and organizational governance. This chapter bridges that gap: everything below describes how this project's design would be operated inside a real company, not what has actually been built (the project itself remains a single-account, single-engineer build by design — see decisions.md §1.x for why that scope was chosen).</w:t>
      </w:r>
    </w:p>
    <w:p w14:paraId="2983C240" w14:textId="77777777" w:rsidR="00483E8D" w:rsidRDefault="00483E8D" w:rsidP="00483E8D">
      <w:pPr>
        <w:pStyle w:val="Heading2"/>
      </w:pPr>
      <w:r>
        <w:t>8.5.1 Environment Lifecycle &amp; Promotion Matrix</w:t>
      </w:r>
    </w:p>
    <w:p w14:paraId="3EBFE6E5" w14:textId="77777777" w:rsidR="00483E8D" w:rsidRDefault="00483E8D" w:rsidP="00483E8D">
      <w:pPr>
        <w:spacing w:after="160"/>
      </w:pPr>
      <w:r>
        <w:t>In a mature corporate architecture, code never touches real data directly — it moves through an immutable promotion path, isolated at both the network and cloud-account level.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483E8D" w14:paraId="207F5FEA" w14:textId="77777777" w:rsidTr="00E33433">
        <w:tblPrEx>
          <w:tblCellMar>
            <w:top w:w="0" w:type="dxa"/>
            <w:bottom w:w="0" w:type="dxa"/>
          </w:tblCellMar>
        </w:tblPrEx>
        <w:tc>
          <w:tcPr>
            <w:tcW w:w="9360" w:type="dxa"/>
            <w:gridSpan w:val="2"/>
            <w:tcBorders>
              <w:top w:val="none" w:sz="0" w:space="0" w:color="FFFFFF"/>
              <w:left w:val="none" w:sz="0" w:space="0" w:color="FFFFFF"/>
              <w:bottom w:val="none" w:sz="0" w:space="0" w:color="FFFFFF"/>
              <w:right w:val="none" w:sz="0" w:space="0" w:color="FFFFFF"/>
            </w:tcBorders>
            <w:shd w:val="clear" w:color="auto" w:fill="1F2430"/>
            <w:tcMar>
              <w:top w:w="160" w:type="dxa"/>
              <w:left w:w="200" w:type="dxa"/>
              <w:bottom w:w="160" w:type="dxa"/>
              <w:right w:w="200" w:type="dxa"/>
            </w:tcMar>
          </w:tcPr>
          <w:p w14:paraId="6309AA45" w14:textId="77777777" w:rsidR="00483E8D" w:rsidRDefault="00483E8D" w:rsidP="00E33433">
            <w:r>
              <w:rPr>
                <w:rFonts w:ascii="Consolas" w:eastAsia="Consolas" w:hAnsi="Consolas" w:cs="Consolas"/>
                <w:color w:val="D7E3F4"/>
                <w:sz w:val="17"/>
                <w:szCs w:val="17"/>
              </w:rPr>
              <w:t>[ Developer Local / WSL</w:t>
            </w:r>
            <w:proofErr w:type="gramStart"/>
            <w:r>
              <w:rPr>
                <w:rFonts w:ascii="Consolas" w:eastAsia="Consolas" w:hAnsi="Consolas" w:cs="Consolas"/>
                <w:color w:val="D7E3F4"/>
                <w:sz w:val="17"/>
                <w:szCs w:val="17"/>
              </w:rPr>
              <w:t>2 ]</w:t>
            </w:r>
            <w:proofErr w:type="gramEnd"/>
          </w:p>
          <w:p w14:paraId="04D5F30F" w14:textId="77777777" w:rsidR="00483E8D" w:rsidRDefault="00483E8D" w:rsidP="00E33433">
            <w:r>
              <w:rPr>
                <w:rFonts w:ascii="Consolas" w:eastAsia="Consolas" w:hAnsi="Consolas" w:cs="Consolas"/>
                <w:color w:val="D7E3F4"/>
                <w:sz w:val="17"/>
                <w:szCs w:val="17"/>
              </w:rPr>
              <w:t xml:space="preserve">          </w:t>
            </w:r>
            <w:proofErr w:type="gramStart"/>
            <w:r>
              <w:rPr>
                <w:rFonts w:ascii="Consolas" w:eastAsia="Consolas" w:hAnsi="Consolas" w:cs="Consolas"/>
                <w:color w:val="D7E3F4"/>
                <w:sz w:val="17"/>
                <w:szCs w:val="17"/>
              </w:rPr>
              <w:t>|  (</w:t>
            </w:r>
            <w:proofErr w:type="gramEnd"/>
            <w:r>
              <w:rPr>
                <w:rFonts w:ascii="Consolas" w:eastAsia="Consolas" w:hAnsi="Consolas" w:cs="Consolas"/>
                <w:color w:val="D7E3F4"/>
                <w:sz w:val="17"/>
                <w:szCs w:val="17"/>
              </w:rPr>
              <w:t>Git commit &amp; feature-branch push)</w:t>
            </w:r>
          </w:p>
          <w:p w14:paraId="1EDA3FB2" w14:textId="77777777" w:rsidR="00483E8D" w:rsidRDefault="00483E8D" w:rsidP="00E33433">
            <w:r>
              <w:rPr>
                <w:rFonts w:ascii="Consolas" w:eastAsia="Consolas" w:hAnsi="Consolas" w:cs="Consolas"/>
                <w:color w:val="D7E3F4"/>
                <w:sz w:val="17"/>
                <w:szCs w:val="17"/>
              </w:rPr>
              <w:t xml:space="preserve">          v</w:t>
            </w:r>
          </w:p>
          <w:p w14:paraId="35CA60D0" w14:textId="77777777" w:rsidR="00483E8D" w:rsidRDefault="00483E8D" w:rsidP="00E33433">
            <w:r>
              <w:rPr>
                <w:rFonts w:ascii="Consolas" w:eastAsia="Consolas" w:hAnsi="Consolas" w:cs="Consolas"/>
                <w:color w:val="D7E3F4"/>
                <w:sz w:val="17"/>
                <w:szCs w:val="17"/>
              </w:rPr>
              <w:t xml:space="preserve">[ Dev Account / </w:t>
            </w:r>
            <w:proofErr w:type="gramStart"/>
            <w:r>
              <w:rPr>
                <w:rFonts w:ascii="Consolas" w:eastAsia="Consolas" w:hAnsi="Consolas" w:cs="Consolas"/>
                <w:color w:val="D7E3F4"/>
                <w:sz w:val="17"/>
                <w:szCs w:val="17"/>
              </w:rPr>
              <w:t>Sandbox ]</w:t>
            </w:r>
            <w:proofErr w:type="gramEnd"/>
            <w:r>
              <w:rPr>
                <w:rFonts w:ascii="Consolas" w:eastAsia="Consolas" w:hAnsi="Consolas" w:cs="Consolas"/>
                <w:color w:val="D7E3F4"/>
                <w:sz w:val="17"/>
                <w:szCs w:val="17"/>
              </w:rPr>
              <w:t xml:space="preserve">   ---</w:t>
            </w:r>
            <w:proofErr w:type="gramStart"/>
            <w:r>
              <w:rPr>
                <w:rFonts w:ascii="Consolas" w:eastAsia="Consolas" w:hAnsi="Consolas" w:cs="Consolas"/>
                <w:color w:val="D7E3F4"/>
                <w:sz w:val="17"/>
                <w:szCs w:val="17"/>
              </w:rPr>
              <w:t>&gt;  unit</w:t>
            </w:r>
            <w:proofErr w:type="gramEnd"/>
            <w:r>
              <w:rPr>
                <w:rFonts w:ascii="Consolas" w:eastAsia="Consolas" w:hAnsi="Consolas" w:cs="Consolas"/>
                <w:color w:val="D7E3F4"/>
                <w:sz w:val="17"/>
                <w:szCs w:val="17"/>
              </w:rPr>
              <w:t xml:space="preserve"> tests, schema validation on mock data</w:t>
            </w:r>
          </w:p>
          <w:p w14:paraId="2FF0DA8A" w14:textId="77777777" w:rsidR="00483E8D" w:rsidRDefault="00483E8D" w:rsidP="00E33433">
            <w:r>
              <w:rPr>
                <w:rFonts w:ascii="Consolas" w:eastAsia="Consolas" w:hAnsi="Consolas" w:cs="Consolas"/>
                <w:color w:val="D7E3F4"/>
                <w:sz w:val="17"/>
                <w:szCs w:val="17"/>
              </w:rPr>
              <w:t xml:space="preserve">          </w:t>
            </w:r>
            <w:proofErr w:type="gramStart"/>
            <w:r>
              <w:rPr>
                <w:rFonts w:ascii="Consolas" w:eastAsia="Consolas" w:hAnsi="Consolas" w:cs="Consolas"/>
                <w:color w:val="D7E3F4"/>
                <w:sz w:val="17"/>
                <w:szCs w:val="17"/>
              </w:rPr>
              <w:t>|  (</w:t>
            </w:r>
            <w:proofErr w:type="gramEnd"/>
            <w:r>
              <w:rPr>
                <w:rFonts w:ascii="Consolas" w:eastAsia="Consolas" w:hAnsi="Consolas" w:cs="Consolas"/>
                <w:color w:val="D7E3F4"/>
                <w:sz w:val="17"/>
                <w:szCs w:val="17"/>
              </w:rPr>
              <w:t>Pull request + automated Terraform apply)</w:t>
            </w:r>
          </w:p>
          <w:p w14:paraId="45FCA4D8" w14:textId="77777777" w:rsidR="00483E8D" w:rsidRDefault="00483E8D" w:rsidP="00E33433">
            <w:r>
              <w:rPr>
                <w:rFonts w:ascii="Consolas" w:eastAsia="Consolas" w:hAnsi="Consolas" w:cs="Consolas"/>
                <w:color w:val="D7E3F4"/>
                <w:sz w:val="17"/>
                <w:szCs w:val="17"/>
              </w:rPr>
              <w:t xml:space="preserve">          v</w:t>
            </w:r>
          </w:p>
          <w:p w14:paraId="084CBB9A" w14:textId="77777777" w:rsidR="00483E8D" w:rsidRDefault="00483E8D" w:rsidP="00E33433">
            <w:r>
              <w:rPr>
                <w:rFonts w:ascii="Consolas" w:eastAsia="Consolas" w:hAnsi="Consolas" w:cs="Consolas"/>
                <w:color w:val="D7E3F4"/>
                <w:sz w:val="17"/>
                <w:szCs w:val="17"/>
              </w:rPr>
              <w:t xml:space="preserve">[ QA Account / </w:t>
            </w:r>
            <w:proofErr w:type="gramStart"/>
            <w:r>
              <w:rPr>
                <w:rFonts w:ascii="Consolas" w:eastAsia="Consolas" w:hAnsi="Consolas" w:cs="Consolas"/>
                <w:color w:val="D7E3F4"/>
                <w:sz w:val="17"/>
                <w:szCs w:val="17"/>
              </w:rPr>
              <w:t>Staging ]</w:t>
            </w:r>
            <w:proofErr w:type="gramEnd"/>
            <w:r>
              <w:rPr>
                <w:rFonts w:ascii="Consolas" w:eastAsia="Consolas" w:hAnsi="Consolas" w:cs="Consolas"/>
                <w:color w:val="D7E3F4"/>
                <w:sz w:val="17"/>
                <w:szCs w:val="17"/>
              </w:rPr>
              <w:t xml:space="preserve">    ---</w:t>
            </w:r>
            <w:proofErr w:type="gramStart"/>
            <w:r>
              <w:rPr>
                <w:rFonts w:ascii="Consolas" w:eastAsia="Consolas" w:hAnsi="Consolas" w:cs="Consolas"/>
                <w:color w:val="D7E3F4"/>
                <w:sz w:val="17"/>
                <w:szCs w:val="17"/>
              </w:rPr>
              <w:t>&gt;  integration</w:t>
            </w:r>
            <w:proofErr w:type="gramEnd"/>
            <w:r>
              <w:rPr>
                <w:rFonts w:ascii="Consolas" w:eastAsia="Consolas" w:hAnsi="Consolas" w:cs="Consolas"/>
                <w:color w:val="D7E3F4"/>
                <w:sz w:val="17"/>
                <w:szCs w:val="17"/>
              </w:rPr>
              <w:t xml:space="preserve"> tests, 5% dirty-data injection, SLA tracking</w:t>
            </w:r>
          </w:p>
          <w:p w14:paraId="02C5C137" w14:textId="77777777" w:rsidR="00483E8D" w:rsidRDefault="00483E8D" w:rsidP="00E33433">
            <w:r>
              <w:rPr>
                <w:rFonts w:ascii="Consolas" w:eastAsia="Consolas" w:hAnsi="Consolas" w:cs="Consolas"/>
                <w:color w:val="D7E3F4"/>
                <w:sz w:val="17"/>
                <w:szCs w:val="17"/>
              </w:rPr>
              <w:t xml:space="preserve">          </w:t>
            </w:r>
            <w:proofErr w:type="gramStart"/>
            <w:r>
              <w:rPr>
                <w:rFonts w:ascii="Consolas" w:eastAsia="Consolas" w:hAnsi="Consolas" w:cs="Consolas"/>
                <w:color w:val="D7E3F4"/>
                <w:sz w:val="17"/>
                <w:szCs w:val="17"/>
              </w:rPr>
              <w:t>|  (</w:t>
            </w:r>
            <w:proofErr w:type="gramEnd"/>
            <w:r>
              <w:rPr>
                <w:rFonts w:ascii="Consolas" w:eastAsia="Consolas" w:hAnsi="Consolas" w:cs="Consolas"/>
                <w:color w:val="D7E3F4"/>
                <w:sz w:val="17"/>
                <w:szCs w:val="17"/>
              </w:rPr>
              <w:t>Peer review + Change Advisory Board approval)</w:t>
            </w:r>
          </w:p>
          <w:p w14:paraId="77920C48" w14:textId="77777777" w:rsidR="00483E8D" w:rsidRDefault="00483E8D" w:rsidP="00E33433">
            <w:r>
              <w:rPr>
                <w:rFonts w:ascii="Consolas" w:eastAsia="Consolas" w:hAnsi="Consolas" w:cs="Consolas"/>
                <w:color w:val="D7E3F4"/>
                <w:sz w:val="17"/>
                <w:szCs w:val="17"/>
              </w:rPr>
              <w:t xml:space="preserve">          v</w:t>
            </w:r>
          </w:p>
          <w:p w14:paraId="38EE13EE" w14:textId="77777777" w:rsidR="00483E8D" w:rsidRDefault="00483E8D" w:rsidP="00E33433">
            <w:r>
              <w:rPr>
                <w:rFonts w:ascii="Consolas" w:eastAsia="Consolas" w:hAnsi="Consolas" w:cs="Consolas"/>
                <w:color w:val="D7E3F4"/>
                <w:sz w:val="17"/>
                <w:szCs w:val="17"/>
              </w:rPr>
              <w:t xml:space="preserve">[ UAT / </w:t>
            </w:r>
            <w:proofErr w:type="gramStart"/>
            <w:r>
              <w:rPr>
                <w:rFonts w:ascii="Consolas" w:eastAsia="Consolas" w:hAnsi="Consolas" w:cs="Consolas"/>
                <w:color w:val="D7E3F4"/>
                <w:sz w:val="17"/>
                <w:szCs w:val="17"/>
              </w:rPr>
              <w:t>Production ]</w:t>
            </w:r>
            <w:proofErr w:type="gramEnd"/>
            <w:r>
              <w:rPr>
                <w:rFonts w:ascii="Consolas" w:eastAsia="Consolas" w:hAnsi="Consolas" w:cs="Consolas"/>
                <w:color w:val="D7E3F4"/>
                <w:sz w:val="17"/>
                <w:szCs w:val="17"/>
              </w:rPr>
              <w:t xml:space="preserve">        ---</w:t>
            </w:r>
            <w:proofErr w:type="gramStart"/>
            <w:r>
              <w:rPr>
                <w:rFonts w:ascii="Consolas" w:eastAsia="Consolas" w:hAnsi="Consolas" w:cs="Consolas"/>
                <w:color w:val="D7E3F4"/>
                <w:sz w:val="17"/>
                <w:szCs w:val="17"/>
              </w:rPr>
              <w:t>&gt;  immutable</w:t>
            </w:r>
            <w:proofErr w:type="gramEnd"/>
            <w:r>
              <w:rPr>
                <w:rFonts w:ascii="Consolas" w:eastAsia="Consolas" w:hAnsi="Consolas" w:cs="Consolas"/>
                <w:color w:val="D7E3F4"/>
                <w:sz w:val="17"/>
                <w:szCs w:val="17"/>
              </w:rPr>
              <w:t xml:space="preserve"> production run, active alerting, strict IAM</w:t>
            </w:r>
          </w:p>
        </w:tc>
      </w:tr>
      <w:tr w:rsidR="00483E8D" w14:paraId="1BA5DD49" w14:textId="77777777" w:rsidTr="00E33433">
        <w:tblPrEx>
          <w:tblCellMar>
            <w:top w:w="0" w:type="dxa"/>
            <w:bottom w:w="0" w:type="dxa"/>
          </w:tblCellMar>
        </w:tblPrEx>
        <w:trPr>
          <w:tblHeader/>
        </w:trPr>
        <w:tc>
          <w:tcPr>
            <w:tcW w:w="2300" w:type="dxa"/>
            <w:tcBorders>
              <w:top w:val="single" w:sz="2" w:space="0" w:color="B9C6D9"/>
              <w:left w:val="single" w:sz="2" w:space="0" w:color="B9C6D9"/>
              <w:bottom w:val="single" w:sz="2" w:space="0" w:color="B9C6D9"/>
              <w:right w:val="single" w:sz="2" w:space="0" w:color="B9C6D9"/>
            </w:tcBorders>
            <w:shd w:val="clear" w:color="auto" w:fill="1F3864"/>
            <w:tcMar>
              <w:top w:w="80" w:type="dxa"/>
              <w:left w:w="110" w:type="dxa"/>
              <w:bottom w:w="80" w:type="dxa"/>
              <w:right w:w="110" w:type="dxa"/>
            </w:tcMar>
            <w:vAlign w:val="center"/>
          </w:tcPr>
          <w:p w14:paraId="518F4E4D" w14:textId="77777777" w:rsidR="00483E8D" w:rsidRDefault="00483E8D" w:rsidP="00E33433">
            <w:r>
              <w:rPr>
                <w:b/>
                <w:bCs/>
                <w:color w:val="FFFFFF"/>
                <w:sz w:val="21"/>
                <w:szCs w:val="21"/>
              </w:rPr>
              <w:t>Environment</w:t>
            </w:r>
          </w:p>
        </w:tc>
        <w:tc>
          <w:tcPr>
            <w:tcW w:w="7060" w:type="dxa"/>
            <w:tcBorders>
              <w:top w:val="single" w:sz="2" w:space="0" w:color="B9C6D9"/>
              <w:left w:val="single" w:sz="2" w:space="0" w:color="B9C6D9"/>
              <w:bottom w:val="single" w:sz="2" w:space="0" w:color="B9C6D9"/>
              <w:right w:val="single" w:sz="2" w:space="0" w:color="B9C6D9"/>
            </w:tcBorders>
            <w:shd w:val="clear" w:color="auto" w:fill="1F3864"/>
            <w:tcMar>
              <w:top w:w="80" w:type="dxa"/>
              <w:left w:w="110" w:type="dxa"/>
              <w:bottom w:w="80" w:type="dxa"/>
              <w:right w:w="110" w:type="dxa"/>
            </w:tcMar>
            <w:vAlign w:val="center"/>
          </w:tcPr>
          <w:p w14:paraId="01BBC5F4" w14:textId="77777777" w:rsidR="00483E8D" w:rsidRDefault="00483E8D" w:rsidP="00E33433">
            <w:r>
              <w:rPr>
                <w:b/>
                <w:bCs/>
                <w:color w:val="FFFFFF"/>
                <w:sz w:val="21"/>
                <w:szCs w:val="21"/>
              </w:rPr>
              <w:t>Role</w:t>
            </w:r>
          </w:p>
        </w:tc>
      </w:tr>
      <w:tr w:rsidR="00483E8D" w14:paraId="69947395" w14:textId="77777777" w:rsidTr="00E33433">
        <w:tblPrEx>
          <w:tblCellMar>
            <w:top w:w="0" w:type="dxa"/>
            <w:bottom w:w="0" w:type="dxa"/>
          </w:tblCellMar>
        </w:tblPrEx>
        <w:tc>
          <w:tcPr>
            <w:tcW w:w="2300" w:type="dxa"/>
            <w:tcBorders>
              <w:top w:val="single" w:sz="2" w:space="0" w:color="B9C6D9"/>
              <w:left w:val="single" w:sz="2" w:space="0" w:color="B9C6D9"/>
              <w:bottom w:val="single" w:sz="2" w:space="0" w:color="B9C6D9"/>
              <w:right w:val="single" w:sz="2" w:space="0" w:color="B9C6D9"/>
            </w:tcBorders>
            <w:tcMar>
              <w:top w:w="80" w:type="dxa"/>
              <w:left w:w="110" w:type="dxa"/>
              <w:bottom w:w="80" w:type="dxa"/>
              <w:right w:w="110" w:type="dxa"/>
            </w:tcMar>
            <w:vAlign w:val="center"/>
          </w:tcPr>
          <w:p w14:paraId="4527037A" w14:textId="77777777" w:rsidR="00483E8D" w:rsidRDefault="00483E8D" w:rsidP="00E33433">
            <w:r>
              <w:rPr>
                <w:color w:val="1A1A1A"/>
                <w:sz w:val="21"/>
                <w:szCs w:val="21"/>
              </w:rPr>
              <w:t>Development (Dev)</w:t>
            </w:r>
          </w:p>
        </w:tc>
        <w:tc>
          <w:tcPr>
            <w:tcW w:w="7060" w:type="dxa"/>
            <w:tcBorders>
              <w:top w:val="single" w:sz="2" w:space="0" w:color="B9C6D9"/>
              <w:left w:val="single" w:sz="2" w:space="0" w:color="B9C6D9"/>
              <w:bottom w:val="single" w:sz="2" w:space="0" w:color="B9C6D9"/>
              <w:right w:val="single" w:sz="2" w:space="0" w:color="B9C6D9"/>
            </w:tcBorders>
            <w:tcMar>
              <w:top w:w="80" w:type="dxa"/>
              <w:left w:w="110" w:type="dxa"/>
              <w:bottom w:w="80" w:type="dxa"/>
              <w:right w:w="110" w:type="dxa"/>
            </w:tcMar>
          </w:tcPr>
          <w:p w14:paraId="04BD3485" w14:textId="77777777" w:rsidR="00483E8D" w:rsidRDefault="00483E8D" w:rsidP="00E33433">
            <w:r>
              <w:rPr>
                <w:sz w:val="21"/>
                <w:szCs w:val="21"/>
              </w:rPr>
              <w:t>A cloud sandbox where developers use personal IAM roles with restricted execution rights. Data is heavily anonymized or synthetically generated — conceptually identical to this project's own wearable simulator. Developers test pipeline logic via local CLI tools or serverless interactive notebooks.</w:t>
            </w:r>
          </w:p>
        </w:tc>
      </w:tr>
      <w:tr w:rsidR="00483E8D" w14:paraId="177B4F72" w14:textId="77777777" w:rsidTr="00E33433">
        <w:tblPrEx>
          <w:tblCellMar>
            <w:top w:w="0" w:type="dxa"/>
            <w:bottom w:w="0" w:type="dxa"/>
          </w:tblCellMar>
        </w:tblPrEx>
        <w:tc>
          <w:tcPr>
            <w:tcW w:w="2300" w:type="dxa"/>
            <w:tcBorders>
              <w:top w:val="single" w:sz="2" w:space="0" w:color="B9C6D9"/>
              <w:left w:val="single" w:sz="2" w:space="0" w:color="B9C6D9"/>
              <w:bottom w:val="single" w:sz="2" w:space="0" w:color="B9C6D9"/>
              <w:right w:val="single" w:sz="2" w:space="0" w:color="B9C6D9"/>
            </w:tcBorders>
            <w:shd w:val="clear" w:color="auto" w:fill="EEF3FA"/>
            <w:tcMar>
              <w:top w:w="80" w:type="dxa"/>
              <w:left w:w="110" w:type="dxa"/>
              <w:bottom w:w="80" w:type="dxa"/>
              <w:right w:w="110" w:type="dxa"/>
            </w:tcMar>
            <w:vAlign w:val="center"/>
          </w:tcPr>
          <w:p w14:paraId="7F230DD7" w14:textId="77777777" w:rsidR="00483E8D" w:rsidRDefault="00483E8D" w:rsidP="00E33433">
            <w:r>
              <w:rPr>
                <w:color w:val="1A1A1A"/>
                <w:sz w:val="21"/>
                <w:szCs w:val="21"/>
              </w:rPr>
              <w:t>Quality Assurance (QA)</w:t>
            </w:r>
          </w:p>
        </w:tc>
        <w:tc>
          <w:tcPr>
            <w:tcW w:w="7060" w:type="dxa"/>
            <w:tcBorders>
              <w:top w:val="single" w:sz="2" w:space="0" w:color="B9C6D9"/>
              <w:left w:val="single" w:sz="2" w:space="0" w:color="B9C6D9"/>
              <w:bottom w:val="single" w:sz="2" w:space="0" w:color="B9C6D9"/>
              <w:right w:val="single" w:sz="2" w:space="0" w:color="B9C6D9"/>
            </w:tcBorders>
            <w:shd w:val="clear" w:color="auto" w:fill="EEF3FA"/>
            <w:tcMar>
              <w:top w:w="80" w:type="dxa"/>
              <w:left w:w="110" w:type="dxa"/>
              <w:bottom w:w="80" w:type="dxa"/>
              <w:right w:w="110" w:type="dxa"/>
            </w:tcMar>
          </w:tcPr>
          <w:p w14:paraId="7ED6F4D3" w14:textId="77777777" w:rsidR="00483E8D" w:rsidRDefault="00483E8D" w:rsidP="00E33433">
            <w:r>
              <w:rPr>
                <w:sz w:val="21"/>
                <w:szCs w:val="21"/>
              </w:rPr>
              <w:t>The integration-testing ground. CI/CD runners deploy infrastructure via Terraform, run against a stable mirror of production volume, validate schema-drift handling, and verify the quarantine mechanism captures malformed data exactly as designed.</w:t>
            </w:r>
          </w:p>
        </w:tc>
      </w:tr>
      <w:tr w:rsidR="00483E8D" w14:paraId="0EACADFC" w14:textId="77777777" w:rsidTr="00E33433">
        <w:tblPrEx>
          <w:tblCellMar>
            <w:top w:w="0" w:type="dxa"/>
            <w:bottom w:w="0" w:type="dxa"/>
          </w:tblCellMar>
        </w:tblPrEx>
        <w:tc>
          <w:tcPr>
            <w:tcW w:w="2300" w:type="dxa"/>
            <w:tcBorders>
              <w:top w:val="single" w:sz="2" w:space="0" w:color="B9C6D9"/>
              <w:left w:val="single" w:sz="2" w:space="0" w:color="B9C6D9"/>
              <w:bottom w:val="single" w:sz="2" w:space="0" w:color="B9C6D9"/>
              <w:right w:val="single" w:sz="2" w:space="0" w:color="B9C6D9"/>
            </w:tcBorders>
            <w:tcMar>
              <w:top w:w="80" w:type="dxa"/>
              <w:left w:w="110" w:type="dxa"/>
              <w:bottom w:w="80" w:type="dxa"/>
              <w:right w:w="110" w:type="dxa"/>
            </w:tcMar>
            <w:vAlign w:val="center"/>
          </w:tcPr>
          <w:p w14:paraId="70A38793" w14:textId="77777777" w:rsidR="00483E8D" w:rsidRDefault="00483E8D" w:rsidP="00E33433">
            <w:r>
              <w:rPr>
                <w:color w:val="1A1A1A"/>
                <w:sz w:val="21"/>
                <w:szCs w:val="21"/>
              </w:rPr>
              <w:t>User Acceptance Testing (UAT)</w:t>
            </w:r>
          </w:p>
        </w:tc>
        <w:tc>
          <w:tcPr>
            <w:tcW w:w="7060" w:type="dxa"/>
            <w:tcBorders>
              <w:top w:val="single" w:sz="2" w:space="0" w:color="B9C6D9"/>
              <w:left w:val="single" w:sz="2" w:space="0" w:color="B9C6D9"/>
              <w:bottom w:val="single" w:sz="2" w:space="0" w:color="B9C6D9"/>
              <w:right w:val="single" w:sz="2" w:space="0" w:color="B9C6D9"/>
            </w:tcBorders>
            <w:tcMar>
              <w:top w:w="80" w:type="dxa"/>
              <w:left w:w="110" w:type="dxa"/>
              <w:bottom w:w="80" w:type="dxa"/>
              <w:right w:w="110" w:type="dxa"/>
            </w:tcMar>
          </w:tcPr>
          <w:p w14:paraId="4C951753" w14:textId="77777777" w:rsidR="00483E8D" w:rsidRDefault="00483E8D" w:rsidP="00E33433">
            <w:r>
              <w:rPr>
                <w:sz w:val="21"/>
                <w:szCs w:val="21"/>
              </w:rPr>
              <w:t>The business-validation layer. Coordinators, product managers, and analysts connect visualization tools (</w:t>
            </w:r>
            <w:proofErr w:type="spellStart"/>
            <w:r>
              <w:rPr>
                <w:sz w:val="21"/>
                <w:szCs w:val="21"/>
              </w:rPr>
              <w:t>QuickSight</w:t>
            </w:r>
            <w:proofErr w:type="spellEnd"/>
            <w:r>
              <w:rPr>
                <w:sz w:val="21"/>
                <w:szCs w:val="21"/>
              </w:rPr>
              <w:t xml:space="preserve">/Power BI) to the </w:t>
            </w:r>
            <w:proofErr w:type="gramStart"/>
            <w:r>
              <w:rPr>
                <w:sz w:val="21"/>
                <w:szCs w:val="21"/>
              </w:rPr>
              <w:t>Gold</w:t>
            </w:r>
            <w:proofErr w:type="gramEnd"/>
            <w:r>
              <w:rPr>
                <w:sz w:val="21"/>
                <w:szCs w:val="21"/>
              </w:rPr>
              <w:t xml:space="preserve"> layer to confirm fatigue scoring and workout-consistency metrics match business </w:t>
            </w:r>
            <w:r>
              <w:rPr>
                <w:sz w:val="21"/>
                <w:szCs w:val="21"/>
              </w:rPr>
              <w:lastRenderedPageBreak/>
              <w:t>expectations before go-live.</w:t>
            </w:r>
          </w:p>
        </w:tc>
      </w:tr>
      <w:tr w:rsidR="00483E8D" w14:paraId="71927CE4" w14:textId="77777777" w:rsidTr="00E33433">
        <w:tblPrEx>
          <w:tblCellMar>
            <w:top w:w="0" w:type="dxa"/>
            <w:bottom w:w="0" w:type="dxa"/>
          </w:tblCellMar>
        </w:tblPrEx>
        <w:tc>
          <w:tcPr>
            <w:tcW w:w="2300" w:type="dxa"/>
            <w:tcBorders>
              <w:top w:val="single" w:sz="2" w:space="0" w:color="B9C6D9"/>
              <w:left w:val="single" w:sz="2" w:space="0" w:color="B9C6D9"/>
              <w:bottom w:val="single" w:sz="2" w:space="0" w:color="B9C6D9"/>
              <w:right w:val="single" w:sz="2" w:space="0" w:color="B9C6D9"/>
            </w:tcBorders>
            <w:shd w:val="clear" w:color="auto" w:fill="EEF3FA"/>
            <w:tcMar>
              <w:top w:w="80" w:type="dxa"/>
              <w:left w:w="110" w:type="dxa"/>
              <w:bottom w:w="80" w:type="dxa"/>
              <w:right w:w="110" w:type="dxa"/>
            </w:tcMar>
            <w:vAlign w:val="center"/>
          </w:tcPr>
          <w:p w14:paraId="119B666E" w14:textId="77777777" w:rsidR="00483E8D" w:rsidRDefault="00483E8D" w:rsidP="00E33433">
            <w:r>
              <w:rPr>
                <w:color w:val="1A1A1A"/>
                <w:sz w:val="21"/>
                <w:szCs w:val="21"/>
              </w:rPr>
              <w:t>Production (Prod)</w:t>
            </w:r>
          </w:p>
        </w:tc>
        <w:tc>
          <w:tcPr>
            <w:tcW w:w="7060" w:type="dxa"/>
            <w:tcBorders>
              <w:top w:val="single" w:sz="2" w:space="0" w:color="B9C6D9"/>
              <w:left w:val="single" w:sz="2" w:space="0" w:color="B9C6D9"/>
              <w:bottom w:val="single" w:sz="2" w:space="0" w:color="B9C6D9"/>
              <w:right w:val="single" w:sz="2" w:space="0" w:color="B9C6D9"/>
            </w:tcBorders>
            <w:shd w:val="clear" w:color="auto" w:fill="EEF3FA"/>
            <w:tcMar>
              <w:top w:w="80" w:type="dxa"/>
              <w:left w:w="110" w:type="dxa"/>
              <w:bottom w:w="80" w:type="dxa"/>
              <w:right w:w="110" w:type="dxa"/>
            </w:tcMar>
          </w:tcPr>
          <w:p w14:paraId="11B54130" w14:textId="77777777" w:rsidR="00483E8D" w:rsidRDefault="00483E8D" w:rsidP="00E33433">
            <w:r>
              <w:rPr>
                <w:sz w:val="21"/>
                <w:szCs w:val="21"/>
              </w:rPr>
              <w:t>A fully isolated cloud account. Human access is removed entirely; execution happens exclusively via automation service principals. Strict cost-bounding caps, real-time alert routing, and immutable audit logs govern this environment.</w:t>
            </w:r>
          </w:p>
        </w:tc>
      </w:tr>
    </w:tbl>
    <w:p w14:paraId="1BCE2859" w14:textId="77777777" w:rsidR="00483E8D" w:rsidRDefault="00483E8D" w:rsidP="00483E8D">
      <w:pPr>
        <w:pStyle w:val="Heading2"/>
      </w:pPr>
      <w:r>
        <w:t>8.5.2 Version Control, CI/CD, and Infrastructure as Code</w:t>
      </w:r>
    </w:p>
    <w:p w14:paraId="4EEE9900" w14:textId="77777777" w:rsidR="00483E8D" w:rsidRDefault="00483E8D" w:rsidP="00483E8D">
      <w:pPr>
        <w:spacing w:after="160"/>
      </w:pPr>
      <w:r>
        <w:t>Application code and infrastructure definitions live in two separate repositories — fitness-pipeline-core (Python/Spark/</w:t>
      </w:r>
      <w:proofErr w:type="spellStart"/>
      <w:r>
        <w:t>dbt</w:t>
      </w:r>
      <w:proofErr w:type="spellEnd"/>
      <w:r>
        <w:t>) and fitness-pipeline-infra (Terraform) — so that a change to one never silently bundles a change to the other.</w:t>
      </w:r>
    </w:p>
    <w:p w14:paraId="32707775" w14:textId="77777777" w:rsidR="00483E8D" w:rsidRDefault="00483E8D" w:rsidP="00483E8D">
      <w:pPr>
        <w:pStyle w:val="ListParagraph"/>
        <w:numPr>
          <w:ilvl w:val="0"/>
          <w:numId w:val="10"/>
        </w:numPr>
        <w:spacing w:after="80" w:line="240" w:lineRule="auto"/>
        <w:contextualSpacing w:val="0"/>
      </w:pPr>
      <w:r>
        <w:rPr>
          <w:b/>
          <w:bCs/>
        </w:rPr>
        <w:t xml:space="preserve">Trunk-based development, short-lived branches: </w:t>
      </w:r>
      <w:r>
        <w:t>engineers branch from main (e.g. feature/add-</w:t>
      </w:r>
      <w:proofErr w:type="spellStart"/>
      <w:r>
        <w:t>garmin</w:t>
      </w:r>
      <w:proofErr w:type="spellEnd"/>
      <w:r>
        <w:t>-</w:t>
      </w:r>
      <w:proofErr w:type="spellStart"/>
      <w:r>
        <w:t>api</w:t>
      </w:r>
      <w:proofErr w:type="spellEnd"/>
      <w:r>
        <w:t>-source), commit frequently, and merge back within 48 hours to keep merge-conflict windows small.</w:t>
      </w:r>
    </w:p>
    <w:p w14:paraId="1FA390E8" w14:textId="77777777" w:rsidR="00483E8D" w:rsidRDefault="00483E8D" w:rsidP="00483E8D">
      <w:pPr>
        <w:pStyle w:val="ListParagraph"/>
        <w:numPr>
          <w:ilvl w:val="0"/>
          <w:numId w:val="10"/>
        </w:numPr>
        <w:spacing w:after="80" w:line="240" w:lineRule="auto"/>
        <w:contextualSpacing w:val="0"/>
      </w:pPr>
      <w:r>
        <w:rPr>
          <w:b/>
          <w:bCs/>
        </w:rPr>
        <w:t xml:space="preserve">Automated verification gates: </w:t>
      </w:r>
      <w:r>
        <w:t xml:space="preserve">every pull request triggers a GitHub Actions workflow — lint (Black/Flake8), </w:t>
      </w:r>
      <w:proofErr w:type="spellStart"/>
      <w:r>
        <w:t>pytest</w:t>
      </w:r>
      <w:proofErr w:type="spellEnd"/>
      <w:r>
        <w:t xml:space="preserve"> unit tests, and </w:t>
      </w:r>
      <w:proofErr w:type="spellStart"/>
      <w:r>
        <w:t>dbt</w:t>
      </w:r>
      <w:proofErr w:type="spellEnd"/>
      <w:r>
        <w:t xml:space="preserve"> syntax validation against a mock </w:t>
      </w:r>
      <w:proofErr w:type="spellStart"/>
      <w:r>
        <w:t>DuckDB</w:t>
      </w:r>
      <w:proofErr w:type="spellEnd"/>
      <w:r>
        <w:t xml:space="preserve"> target. A PR cannot merge without a green check and at least one peer review.</w:t>
      </w:r>
    </w:p>
    <w:p w14:paraId="60FAE01B" w14:textId="77777777" w:rsidR="00483E8D" w:rsidRDefault="00483E8D" w:rsidP="00483E8D">
      <w:pPr>
        <w:pStyle w:val="ListParagraph"/>
        <w:numPr>
          <w:ilvl w:val="0"/>
          <w:numId w:val="10"/>
        </w:numPr>
        <w:spacing w:after="80" w:line="240" w:lineRule="auto"/>
        <w:contextualSpacing w:val="0"/>
      </w:pPr>
      <w:r>
        <w:rPr>
          <w:b/>
          <w:bCs/>
        </w:rPr>
        <w:t xml:space="preserve">Infrastructure as Code: </w:t>
      </w:r>
      <w:r>
        <w:t>every Kinesis shard, S3 bucket, Unity Catalog schema, and Redshift Serverless workgroup is declared in Terraform. Manual console changes are blocked at the IAM policy level. State files live in a centralized, locked S3 backend with DynamoDB state locking.</w:t>
      </w:r>
    </w:p>
    <w:p w14:paraId="1374651F" w14:textId="77777777" w:rsidR="00483E8D" w:rsidRDefault="00483E8D" w:rsidP="00483E8D">
      <w:pPr>
        <w:pStyle w:val="Heading2"/>
      </w:pPr>
      <w:r>
        <w:t>8.5.3 Monitoring, SLAs, and Incident Management</w:t>
      </w:r>
    </w:p>
    <w:p w14:paraId="73580CA8" w14:textId="77777777" w:rsidR="00483E8D" w:rsidRDefault="00483E8D" w:rsidP="00483E8D">
      <w:pPr>
        <w:spacing w:after="160"/>
      </w:pPr>
      <w:r>
        <w:t>Production failures are treated as systemic telemetry events, not silent errors.</w:t>
      </w:r>
    </w:p>
    <w:p w14:paraId="13EA844B" w14:textId="77777777" w:rsidR="00483E8D" w:rsidRDefault="00483E8D" w:rsidP="00483E8D">
      <w:pPr>
        <w:pStyle w:val="ListParagraph"/>
        <w:numPr>
          <w:ilvl w:val="0"/>
          <w:numId w:val="10"/>
        </w:numPr>
        <w:spacing w:after="80" w:line="240" w:lineRule="auto"/>
        <w:contextualSpacing w:val="0"/>
      </w:pPr>
      <w:r>
        <w:rPr>
          <w:b/>
          <w:bCs/>
        </w:rPr>
        <w:t xml:space="preserve">Data-freshness SLA: </w:t>
      </w:r>
      <w:r>
        <w:t>Gold-layer analytics must reflect a wearable event within 30 minutes of its generation at the source. Given the batch-triggered Auto Loader design (trigger(</w:t>
      </w:r>
      <w:proofErr w:type="spellStart"/>
      <w:r>
        <w:t>availableNow</w:t>
      </w:r>
      <w:proofErr w:type="spellEnd"/>
      <w:r>
        <w:t xml:space="preserve">=True)), this SLA governs the </w:t>
      </w:r>
      <w:proofErr w:type="spellStart"/>
      <w:r>
        <w:t>cron</w:t>
      </w:r>
      <w:proofErr w:type="spellEnd"/>
      <w:r>
        <w:t xml:space="preserve"> frequency of both Databricks Workflows and AWS Step Functions.</w:t>
      </w:r>
    </w:p>
    <w:p w14:paraId="26E1DD15" w14:textId="77777777" w:rsidR="00483E8D" w:rsidRDefault="00483E8D" w:rsidP="00483E8D">
      <w:pPr>
        <w:pStyle w:val="ListParagraph"/>
        <w:numPr>
          <w:ilvl w:val="0"/>
          <w:numId w:val="10"/>
        </w:numPr>
        <w:spacing w:after="80" w:line="240" w:lineRule="auto"/>
        <w:contextualSpacing w:val="0"/>
      </w:pPr>
      <w:r>
        <w:rPr>
          <w:b/>
          <w:bCs/>
        </w:rPr>
        <w:t xml:space="preserve">Incident routing: </w:t>
      </w:r>
      <w:r>
        <w:t>a Glue or Databricks task that fails with a deterministic logic error triggers a CloudWatch alarm or a Databricks alert webhook, which surfaces a high-severity incident in PagerDuty for the on-call engineer.</w:t>
      </w:r>
    </w:p>
    <w:p w14:paraId="41EB2C12" w14:textId="77777777" w:rsidR="00483E8D" w:rsidRDefault="00483E8D" w:rsidP="00483E8D">
      <w:pPr>
        <w:pStyle w:val="ListParagraph"/>
        <w:numPr>
          <w:ilvl w:val="0"/>
          <w:numId w:val="10"/>
        </w:numPr>
        <w:spacing w:after="80" w:line="240" w:lineRule="auto"/>
        <w:contextualSpacing w:val="0"/>
      </w:pPr>
      <w:r>
        <w:rPr>
          <w:b/>
          <w:bCs/>
        </w:rPr>
        <w:t xml:space="preserve">The idempotency safety net: </w:t>
      </w:r>
      <w:r>
        <w:t xml:space="preserve">if an engineer is paged at 3 a.m. for a failed production run, the project's core architectural guarantee holds — Bronze is immutable. They can fix the downstream bug, deploy it through CI/CD, clear the corrupted </w:t>
      </w:r>
      <w:proofErr w:type="gramStart"/>
      <w:r>
        <w:t>Silver</w:t>
      </w:r>
      <w:proofErr w:type="gramEnd"/>
      <w:r>
        <w:t xml:space="preserve"> partition, and re-run from the </w:t>
      </w:r>
      <w:proofErr w:type="gramStart"/>
      <w:r>
        <w:t>Bronze</w:t>
      </w:r>
      <w:proofErr w:type="gramEnd"/>
      <w:r>
        <w:t xml:space="preserve"> checkpoint without any risk of source-data loss or duplication.</w:t>
      </w:r>
    </w:p>
    <w:p w14:paraId="76068647" w14:textId="77777777" w:rsidR="00483E8D" w:rsidRDefault="00483E8D" w:rsidP="00483E8D">
      <w:pPr>
        <w:pStyle w:val="Heading2"/>
      </w:pPr>
      <w:r>
        <w:t>8.5.4 Enterprise Data Governance &amp; Operational Stewardship</w:t>
      </w:r>
    </w:p>
    <w:p w14:paraId="735A4687" w14:textId="77777777" w:rsidR="00483E8D" w:rsidRDefault="00483E8D" w:rsidP="00483E8D">
      <w:pPr>
        <w:spacing w:after="160"/>
      </w:pPr>
      <w:r>
        <w:t>Data is treated as an enterprise asset, governed as strictly as capital expenditure.</w:t>
      </w:r>
    </w:p>
    <w:p w14:paraId="6950A93E" w14:textId="77777777" w:rsidR="00483E8D" w:rsidRDefault="00483E8D" w:rsidP="00483E8D">
      <w:pPr>
        <w:pStyle w:val="ListParagraph"/>
        <w:numPr>
          <w:ilvl w:val="0"/>
          <w:numId w:val="10"/>
        </w:numPr>
        <w:spacing w:after="80" w:line="240" w:lineRule="auto"/>
        <w:contextualSpacing w:val="0"/>
      </w:pPr>
      <w:r>
        <w:rPr>
          <w:b/>
          <w:bCs/>
        </w:rPr>
        <w:t xml:space="preserve">Data ownership: </w:t>
      </w:r>
      <w:r>
        <w:t>the Data Engineering team owns infrastructure, availability, and schema stability for Bronze and Silver. The Fitness Product Domain team (coaches, sports scientists) is the business owner of Gold, defining the physiological math behind fatigue and recovery metrics.</w:t>
      </w:r>
    </w:p>
    <w:p w14:paraId="5679A7A2" w14:textId="77777777" w:rsidR="00483E8D" w:rsidRDefault="00483E8D" w:rsidP="00483E8D">
      <w:pPr>
        <w:pStyle w:val="ListParagraph"/>
        <w:numPr>
          <w:ilvl w:val="0"/>
          <w:numId w:val="10"/>
        </w:numPr>
        <w:spacing w:after="80" w:line="240" w:lineRule="auto"/>
        <w:contextualSpacing w:val="0"/>
      </w:pPr>
      <w:r>
        <w:rPr>
          <w:b/>
          <w:bCs/>
        </w:rPr>
        <w:t xml:space="preserve">Data stewardship: </w:t>
      </w:r>
      <w:r>
        <w:t xml:space="preserve">designated stewards audit compliance weekly — confirming sensitive fields in incoming </w:t>
      </w:r>
      <w:proofErr w:type="spellStart"/>
      <w:r>
        <w:t>user_profile</w:t>
      </w:r>
      <w:proofErr w:type="spellEnd"/>
      <w:r>
        <w:t xml:space="preserve"> records are masked, and that the Unity Catalog / AWS Lake Formation lineage map matches the regulatory mapping exactly.</w:t>
      </w:r>
    </w:p>
    <w:p w14:paraId="1420D236" w14:textId="77777777" w:rsidR="00483E8D" w:rsidRDefault="00483E8D" w:rsidP="00483E8D">
      <w:pPr>
        <w:pStyle w:val="ListParagraph"/>
        <w:numPr>
          <w:ilvl w:val="0"/>
          <w:numId w:val="10"/>
        </w:numPr>
        <w:spacing w:after="80" w:line="240" w:lineRule="auto"/>
        <w:contextualSpacing w:val="0"/>
      </w:pPr>
      <w:r>
        <w:rPr>
          <w:b/>
          <w:bCs/>
        </w:rPr>
        <w:lastRenderedPageBreak/>
        <w:t xml:space="preserve">Data sovereignty &amp; compliance (GDPR/CCPA): </w:t>
      </w:r>
      <w:r>
        <w:t xml:space="preserve">wearable data is biometric, which falls under strict tracking guidelines. A real deployment requires that </w:t>
      </w:r>
      <w:proofErr w:type="spellStart"/>
      <w:r>
        <w:t>user_profile</w:t>
      </w:r>
      <w:proofErr w:type="spellEnd"/>
      <w:r>
        <w:t xml:space="preserve"> support a genuine hard-delete: a "right to be forgotten" request triggers a cascading delete through Silver's MERGE INTO pattern, purging the matching dimension rows from both Redshift and Delta Lake so the user's data is fully gone from downstream analytics, not just flagged inactive.</w:t>
      </w:r>
    </w:p>
    <w:p w14:paraId="4A2D2BB9" w14:textId="77777777" w:rsidR="00483E8D" w:rsidRDefault="00483E8D" w:rsidP="00483E8D">
      <w:pPr>
        <w:pStyle w:val="Heading1"/>
        <w:pageBreakBefore/>
      </w:pPr>
      <w:r>
        <w:lastRenderedPageBreak/>
        <w:t>9. Security Architecture</w:t>
      </w:r>
    </w:p>
    <w:p w14:paraId="41F32456" w14:textId="77777777" w:rsidR="00483E8D" w:rsidRDefault="00483E8D" w:rsidP="00483E8D">
      <w:pPr>
        <w:spacing w:after="160"/>
      </w:pPr>
      <w:r>
        <w:t>An enterprise platform handling biometric wearable events must treat security as a primary architectural pillar, not an afterthought. This chapter documents how the security boundary would hold under real pressure across Local, AWS, and Databricks — and where it already has, in this project's actual build.</w:t>
      </w:r>
    </w:p>
    <w:p w14:paraId="27C5BFB3" w14:textId="77777777" w:rsidR="00483E8D" w:rsidRDefault="00483E8D" w:rsidP="00483E8D">
      <w:pPr>
        <w:pStyle w:val="Heading2"/>
      </w:pPr>
      <w:r>
        <w:t>9.1 IAM Strategy</w:t>
      </w:r>
    </w:p>
    <w:p w14:paraId="6858024D" w14:textId="77777777" w:rsidR="00483E8D" w:rsidRDefault="00483E8D" w:rsidP="00483E8D">
      <w:pPr>
        <w:spacing w:after="160"/>
      </w:pPr>
      <w:r>
        <w:t>IAM is the perimeter security layer. Human credentials are kept systematically separate from machine identities.</w:t>
      </w:r>
    </w:p>
    <w:p w14:paraId="135D40BB" w14:textId="77777777" w:rsidR="00483E8D" w:rsidRDefault="00483E8D" w:rsidP="00483E8D">
      <w:pPr>
        <w:pStyle w:val="ListParagraph"/>
        <w:numPr>
          <w:ilvl w:val="0"/>
          <w:numId w:val="10"/>
        </w:numPr>
        <w:spacing w:after="80" w:line="240" w:lineRule="auto"/>
        <w:contextualSpacing w:val="0"/>
      </w:pPr>
      <w:r>
        <w:rPr>
          <w:b/>
          <w:bCs/>
        </w:rPr>
        <w:t xml:space="preserve">Human access: </w:t>
      </w:r>
      <w:r>
        <w:t>engineers federate into the AWS or Databricks console via SSO tied to a centralized identity provider. Permanent IAM access keys are prohibited in any code repository.</w:t>
      </w:r>
    </w:p>
    <w:p w14:paraId="7B8909F7" w14:textId="77777777" w:rsidR="00483E8D" w:rsidRDefault="00483E8D" w:rsidP="00483E8D">
      <w:pPr>
        <w:pStyle w:val="ListParagraph"/>
        <w:numPr>
          <w:ilvl w:val="0"/>
          <w:numId w:val="10"/>
        </w:numPr>
        <w:spacing w:after="80" w:line="240" w:lineRule="auto"/>
        <w:contextualSpacing w:val="0"/>
      </w:pPr>
      <w:r>
        <w:rPr>
          <w:b/>
          <w:bCs/>
        </w:rPr>
        <w:t xml:space="preserve">Machine access: </w:t>
      </w:r>
      <w:r>
        <w:t>services use short-lived, assume-role tokens. On AWS, Lambda and Glue each run under a dedicated execution/service role; on Databricks, workloads run under managed service principals.</w:t>
      </w:r>
    </w:p>
    <w:p w14:paraId="5350463C" w14:textId="77777777" w:rsidR="00483E8D" w:rsidRDefault="00483E8D" w:rsidP="00483E8D">
      <w:pPr>
        <w:pStyle w:val="Heading2"/>
      </w:pPr>
      <w:r>
        <w:t>9.2 Least Privilege</w:t>
      </w:r>
    </w:p>
    <w:p w14:paraId="49A34F3A" w14:textId="77777777" w:rsidR="00483E8D" w:rsidRDefault="00483E8D" w:rsidP="00483E8D">
      <w:pPr>
        <w:spacing w:after="160"/>
      </w:pPr>
      <w:r>
        <w:t>Least privilege ensures an isolated compromise can't become a lateral infrastructure breach.</w:t>
      </w:r>
    </w:p>
    <w:p w14:paraId="19233F56" w14:textId="77777777" w:rsidR="00483E8D" w:rsidRDefault="00483E8D" w:rsidP="00483E8D">
      <w:pPr>
        <w:pStyle w:val="ListParagraph"/>
        <w:numPr>
          <w:ilvl w:val="0"/>
          <w:numId w:val="10"/>
        </w:numPr>
        <w:spacing w:after="80" w:line="240" w:lineRule="auto"/>
        <w:contextualSpacing w:val="0"/>
      </w:pPr>
      <w:r>
        <w:rPr>
          <w:b/>
          <w:bCs/>
        </w:rPr>
        <w:t xml:space="preserve">Verified under real pressure: </w:t>
      </w:r>
      <w:r>
        <w:t xml:space="preserve">the deployment role retail-pipeline-dev was explicitly and repeatedly blocked from administrative actions — </w:t>
      </w:r>
      <w:proofErr w:type="spellStart"/>
      <w:proofErr w:type="gramStart"/>
      <w:r>
        <w:t>iam:CreateRole</w:t>
      </w:r>
      <w:proofErr w:type="spellEnd"/>
      <w:proofErr w:type="gramEnd"/>
      <w:r>
        <w:t>, ec</w:t>
      </w:r>
      <w:proofErr w:type="gramStart"/>
      <w:r>
        <w:t>2:AuthorizeSecurityGroupIngress</w:t>
      </w:r>
      <w:proofErr w:type="gramEnd"/>
      <w:r>
        <w:t xml:space="preserve"> — exactly as designed, multiple times across this project.</w:t>
      </w:r>
    </w:p>
    <w:p w14:paraId="784182DB" w14:textId="77777777" w:rsidR="00483E8D" w:rsidRDefault="00483E8D" w:rsidP="00483E8D">
      <w:pPr>
        <w:pStyle w:val="ListParagraph"/>
        <w:numPr>
          <w:ilvl w:val="0"/>
          <w:numId w:val="10"/>
        </w:numPr>
        <w:spacing w:after="80" w:line="240" w:lineRule="auto"/>
        <w:contextualSpacing w:val="0"/>
      </w:pPr>
      <w:r>
        <w:rPr>
          <w:b/>
          <w:bCs/>
        </w:rPr>
        <w:t xml:space="preserve">Console separation: </w:t>
      </w:r>
      <w:r>
        <w:t xml:space="preserve">the handful of genuinely high-privileged tasks (creating RedshiftS3ReadRole, opening a security group rule for local </w:t>
      </w:r>
      <w:proofErr w:type="spellStart"/>
      <w:r>
        <w:t>dbt</w:t>
      </w:r>
      <w:proofErr w:type="spellEnd"/>
      <w:r>
        <w:t xml:space="preserve"> sessions) were done through an explicit, audited elevated console path, never folded into the standard developer pipeline.</w:t>
      </w:r>
    </w:p>
    <w:p w14:paraId="044609BE" w14:textId="77777777" w:rsidR="00483E8D" w:rsidRDefault="00483E8D" w:rsidP="00483E8D">
      <w:pPr>
        <w:pStyle w:val="Heading2"/>
      </w:pPr>
      <w:r>
        <w:t>9.3 Resource Policies</w:t>
      </w:r>
    </w:p>
    <w:p w14:paraId="0DF06D02" w14:textId="77777777" w:rsidR="00483E8D" w:rsidRDefault="00483E8D" w:rsidP="00483E8D">
      <w:pPr>
        <w:pStyle w:val="ListParagraph"/>
        <w:numPr>
          <w:ilvl w:val="0"/>
          <w:numId w:val="10"/>
        </w:numPr>
        <w:spacing w:after="80" w:line="240" w:lineRule="auto"/>
        <w:contextualSpacing w:val="0"/>
      </w:pPr>
      <w:r>
        <w:rPr>
          <w:b/>
          <w:bCs/>
        </w:rPr>
        <w:t xml:space="preserve">S3 bucket policies: </w:t>
      </w:r>
      <w:r>
        <w:t>fitness-streaming-nikil-2026 blocks all public access (</w:t>
      </w:r>
      <w:proofErr w:type="spellStart"/>
      <w:r>
        <w:t>BlockPublicAcls</w:t>
      </w:r>
      <w:proofErr w:type="spellEnd"/>
      <w:r>
        <w:t xml:space="preserve">, </w:t>
      </w:r>
      <w:proofErr w:type="spellStart"/>
      <w:r>
        <w:t>IgnorePublicAcls</w:t>
      </w:r>
      <w:proofErr w:type="spellEnd"/>
      <w:r>
        <w:t xml:space="preserve">, </w:t>
      </w:r>
      <w:proofErr w:type="spellStart"/>
      <w:r>
        <w:t>BlockPublicPolicy</w:t>
      </w:r>
      <w:proofErr w:type="spellEnd"/>
      <w:r>
        <w:t xml:space="preserve">, </w:t>
      </w:r>
      <w:proofErr w:type="spellStart"/>
      <w:r>
        <w:t>RestrictPublicBuckets</w:t>
      </w:r>
      <w:proofErr w:type="spellEnd"/>
      <w:r>
        <w:t>) and an explicit bucket policy restricts read/write to retail-pipeline-dev and the Redshift role's ARN only.</w:t>
      </w:r>
    </w:p>
    <w:p w14:paraId="5B9294EE" w14:textId="77777777" w:rsidR="00483E8D" w:rsidRDefault="00483E8D" w:rsidP="00483E8D">
      <w:pPr>
        <w:pStyle w:val="ListParagraph"/>
        <w:numPr>
          <w:ilvl w:val="0"/>
          <w:numId w:val="10"/>
        </w:numPr>
        <w:spacing w:after="80" w:line="240" w:lineRule="auto"/>
        <w:contextualSpacing w:val="0"/>
      </w:pPr>
      <w:r>
        <w:rPr>
          <w:b/>
          <w:bCs/>
        </w:rPr>
        <w:t xml:space="preserve">Unity Catalog </w:t>
      </w:r>
      <w:proofErr w:type="spellStart"/>
      <w:r>
        <w:rPr>
          <w:b/>
          <w:bCs/>
        </w:rPr>
        <w:t>metastore</w:t>
      </w:r>
      <w:proofErr w:type="spellEnd"/>
      <w:r>
        <w:rPr>
          <w:b/>
          <w:bCs/>
        </w:rPr>
        <w:t xml:space="preserve"> isolation: </w:t>
      </w:r>
      <w:r>
        <w:t xml:space="preserve">external locations are bound to managed storage credentials; users cannot reach the underlying storage container directly and must go through Unity Catalog's relational layer via explicit grants, e.g. GRANT SELECT ON TABLE </w:t>
      </w:r>
      <w:proofErr w:type="spellStart"/>
      <w:proofErr w:type="gramStart"/>
      <w:r>
        <w:t>silver.wearable</w:t>
      </w:r>
      <w:proofErr w:type="gramEnd"/>
      <w:r>
        <w:t>_event</w:t>
      </w:r>
      <w:proofErr w:type="spellEnd"/>
      <w:r>
        <w:t xml:space="preserve"> TO </w:t>
      </w:r>
      <w:proofErr w:type="spellStart"/>
      <w:r>
        <w:t>data_analyst_group</w:t>
      </w:r>
      <w:proofErr w:type="spellEnd"/>
      <w:r>
        <w:t>.</w:t>
      </w:r>
    </w:p>
    <w:p w14:paraId="216858F0" w14:textId="77777777" w:rsidR="00483E8D" w:rsidRDefault="00483E8D" w:rsidP="00483E8D">
      <w:pPr>
        <w:pStyle w:val="Heading2"/>
      </w:pPr>
      <w:r>
        <w:t>9.4 Encryption</w:t>
      </w:r>
    </w:p>
    <w:p w14:paraId="3B28A6EF" w14:textId="77777777" w:rsidR="00483E8D" w:rsidRDefault="00483E8D" w:rsidP="00483E8D">
      <w:pPr>
        <w:pStyle w:val="Heading3"/>
      </w:pPr>
      <w:r>
        <w:t>S3 server-side encryption</w:t>
      </w:r>
    </w:p>
    <w:p w14:paraId="2198FE0F" w14:textId="77777777" w:rsidR="00483E8D" w:rsidRDefault="00483E8D" w:rsidP="00483E8D">
      <w:pPr>
        <w:spacing w:after="160"/>
      </w:pPr>
      <w:r>
        <w:t>All objects are encrypted at rest with AWS KMS (SSE-KMS). Every writer — Lambda, Glue — includes the x-</w:t>
      </w:r>
      <w:proofErr w:type="spellStart"/>
      <w:r>
        <w:t>amz</w:t>
      </w:r>
      <w:proofErr w:type="spellEnd"/>
      <w:r>
        <w:t xml:space="preserve">-server-side-encryption: </w:t>
      </w:r>
      <w:proofErr w:type="spellStart"/>
      <w:proofErr w:type="gramStart"/>
      <w:r>
        <w:t>aws:kms</w:t>
      </w:r>
      <w:proofErr w:type="spellEnd"/>
      <w:proofErr w:type="gramEnd"/>
      <w:r>
        <w:t xml:space="preserve"> header on write, so an unencrypted object is rejected at the storage gateway rather than silently accepted.</w:t>
      </w:r>
    </w:p>
    <w:p w14:paraId="05575A1F" w14:textId="77777777" w:rsidR="00483E8D" w:rsidRDefault="00483E8D" w:rsidP="00483E8D">
      <w:pPr>
        <w:pStyle w:val="Heading3"/>
      </w:pPr>
      <w:r>
        <w:t>Redshift encryption</w:t>
      </w:r>
    </w:p>
    <w:p w14:paraId="0329147B" w14:textId="77777777" w:rsidR="00483E8D" w:rsidRDefault="00483E8D" w:rsidP="00483E8D">
      <w:pPr>
        <w:spacing w:after="160"/>
      </w:pPr>
      <w:r>
        <w:t>The Redshift Serverless namespace uses AWS-managed KMS keys to encrypt all data blocks, metadata, and temporary staging tables — including SUPER JSON columns, encrypted in memory before being flushed to managed storage.</w:t>
      </w:r>
    </w:p>
    <w:p w14:paraId="5A037585" w14:textId="77777777" w:rsidR="00483E8D" w:rsidRDefault="00483E8D" w:rsidP="00483E8D">
      <w:pPr>
        <w:pStyle w:val="Heading3"/>
      </w:pPr>
      <w:r>
        <w:lastRenderedPageBreak/>
        <w:t>Delta security</w:t>
      </w:r>
    </w:p>
    <w:p w14:paraId="51C04A0E" w14:textId="77777777" w:rsidR="00483E8D" w:rsidRDefault="00483E8D" w:rsidP="00483E8D">
      <w:pPr>
        <w:spacing w:after="160"/>
      </w:pPr>
      <w:r>
        <w:t>Delta Lake tables under Unity Catalog inherit storage-level encryption from the underlying bucket. Because Delta's transaction log is append-only and cryptographically ordered, row-level history is protected against out-of-band manual file manipulation.</w:t>
      </w:r>
    </w:p>
    <w:p w14:paraId="58E5EAA7" w14:textId="77777777" w:rsidR="00483E8D" w:rsidRDefault="00483E8D" w:rsidP="00483E8D">
      <w:pPr>
        <w:pStyle w:val="Heading2"/>
      </w:pPr>
      <w:r>
        <w:t>9.5 Secrets Management</w:t>
      </w:r>
    </w:p>
    <w:p w14:paraId="0767F445" w14:textId="77777777" w:rsidR="00483E8D" w:rsidRDefault="00483E8D" w:rsidP="00483E8D">
      <w:pPr>
        <w:spacing w:after="160"/>
      </w:pPr>
      <w:r>
        <w:t>Hardcoded passwords, tokens, and connection strings are removed from code entirely and managed through dedicated secret stores.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83E8D" w14:paraId="0AF164F9" w14:textId="77777777" w:rsidTr="00E33433">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2430"/>
            <w:tcMar>
              <w:top w:w="160" w:type="dxa"/>
              <w:left w:w="200" w:type="dxa"/>
              <w:bottom w:w="160" w:type="dxa"/>
              <w:right w:w="200" w:type="dxa"/>
            </w:tcMar>
          </w:tcPr>
          <w:p w14:paraId="3A12A840" w14:textId="77777777" w:rsidR="00483E8D" w:rsidRDefault="00483E8D" w:rsidP="00E33433">
            <w:r>
              <w:rPr>
                <w:rFonts w:ascii="Consolas" w:eastAsia="Consolas" w:hAnsi="Consolas" w:cs="Consolas"/>
                <w:color w:val="D7E3F4"/>
                <w:sz w:val="17"/>
                <w:szCs w:val="17"/>
              </w:rPr>
              <w:t>[ Code Execution Layer (Glue / Lambda / Notebook</w:t>
            </w:r>
            <w:proofErr w:type="gramStart"/>
            <w:r>
              <w:rPr>
                <w:rFonts w:ascii="Consolas" w:eastAsia="Consolas" w:hAnsi="Consolas" w:cs="Consolas"/>
                <w:color w:val="D7E3F4"/>
                <w:sz w:val="17"/>
                <w:szCs w:val="17"/>
              </w:rPr>
              <w:t>) ]</w:t>
            </w:r>
            <w:proofErr w:type="gramEnd"/>
          </w:p>
          <w:p w14:paraId="78CD6707" w14:textId="77777777" w:rsidR="00483E8D" w:rsidRDefault="00483E8D" w:rsidP="00E33433">
            <w:r>
              <w:rPr>
                <w:rFonts w:ascii="Consolas" w:eastAsia="Consolas" w:hAnsi="Consolas" w:cs="Consolas"/>
                <w:color w:val="D7E3F4"/>
                <w:sz w:val="17"/>
                <w:szCs w:val="17"/>
              </w:rPr>
              <w:t xml:space="preserve">                       |</w:t>
            </w:r>
          </w:p>
          <w:p w14:paraId="7AF67831" w14:textId="77777777" w:rsidR="00483E8D" w:rsidRDefault="00483E8D" w:rsidP="00E33433">
            <w:r>
              <w:rPr>
                <w:rFonts w:ascii="Consolas" w:eastAsia="Consolas" w:hAnsi="Consolas" w:cs="Consolas"/>
                <w:color w:val="D7E3F4"/>
                <w:sz w:val="17"/>
                <w:szCs w:val="17"/>
              </w:rPr>
              <w:t xml:space="preserve">                       </w:t>
            </w:r>
            <w:proofErr w:type="gramStart"/>
            <w:r>
              <w:rPr>
                <w:rFonts w:ascii="Consolas" w:eastAsia="Consolas" w:hAnsi="Consolas" w:cs="Consolas"/>
                <w:color w:val="D7E3F4"/>
                <w:sz w:val="17"/>
                <w:szCs w:val="17"/>
              </w:rPr>
              <w:t>v  (</w:t>
            </w:r>
            <w:proofErr w:type="gramEnd"/>
            <w:r>
              <w:rPr>
                <w:rFonts w:ascii="Consolas" w:eastAsia="Consolas" w:hAnsi="Consolas" w:cs="Consolas"/>
                <w:color w:val="D7E3F4"/>
                <w:sz w:val="17"/>
                <w:szCs w:val="17"/>
              </w:rPr>
              <w:t>request short-lived credential)</w:t>
            </w:r>
          </w:p>
          <w:p w14:paraId="5C6DEB5B" w14:textId="77777777" w:rsidR="00483E8D" w:rsidRDefault="00483E8D" w:rsidP="00E33433">
            <w:r>
              <w:rPr>
                <w:rFonts w:ascii="Consolas" w:eastAsia="Consolas" w:hAnsi="Consolas" w:cs="Consolas"/>
                <w:color w:val="D7E3F4"/>
                <w:sz w:val="17"/>
                <w:szCs w:val="17"/>
              </w:rPr>
              <w:t xml:space="preserve">      +-----------------+-----------------+</w:t>
            </w:r>
          </w:p>
          <w:p w14:paraId="7FEAF020" w14:textId="77777777" w:rsidR="00483E8D" w:rsidRDefault="00483E8D" w:rsidP="00E33433">
            <w:r>
              <w:rPr>
                <w:rFonts w:ascii="Consolas" w:eastAsia="Consolas" w:hAnsi="Consolas" w:cs="Consolas"/>
                <w:color w:val="D7E3F4"/>
                <w:sz w:val="17"/>
                <w:szCs w:val="17"/>
              </w:rPr>
              <w:t xml:space="preserve">      v                                   </w:t>
            </w:r>
            <w:proofErr w:type="spellStart"/>
            <w:r>
              <w:rPr>
                <w:rFonts w:ascii="Consolas" w:eastAsia="Consolas" w:hAnsi="Consolas" w:cs="Consolas"/>
                <w:color w:val="D7E3F4"/>
                <w:sz w:val="17"/>
                <w:szCs w:val="17"/>
              </w:rPr>
              <w:t>v</w:t>
            </w:r>
            <w:proofErr w:type="spellEnd"/>
          </w:p>
          <w:p w14:paraId="730AF54E" w14:textId="77777777" w:rsidR="00483E8D" w:rsidRDefault="00483E8D" w:rsidP="00E33433">
            <w:r>
              <w:rPr>
                <w:rFonts w:ascii="Consolas" w:eastAsia="Consolas" w:hAnsi="Consolas" w:cs="Consolas"/>
                <w:color w:val="D7E3F4"/>
                <w:sz w:val="17"/>
                <w:szCs w:val="17"/>
              </w:rPr>
              <w:t xml:space="preserve">[ AWS Secrets </w:t>
            </w:r>
            <w:proofErr w:type="gramStart"/>
            <w:r>
              <w:rPr>
                <w:rFonts w:ascii="Consolas" w:eastAsia="Consolas" w:hAnsi="Consolas" w:cs="Consolas"/>
                <w:color w:val="D7E3F4"/>
                <w:sz w:val="17"/>
                <w:szCs w:val="17"/>
              </w:rPr>
              <w:t>Manager ]</w:t>
            </w:r>
            <w:proofErr w:type="gramEnd"/>
            <w:r>
              <w:rPr>
                <w:rFonts w:ascii="Consolas" w:eastAsia="Consolas" w:hAnsi="Consolas" w:cs="Consolas"/>
                <w:color w:val="D7E3F4"/>
                <w:sz w:val="17"/>
                <w:szCs w:val="17"/>
              </w:rPr>
              <w:t xml:space="preserve">     </w:t>
            </w:r>
            <w:proofErr w:type="gramStart"/>
            <w:r>
              <w:rPr>
                <w:rFonts w:ascii="Consolas" w:eastAsia="Consolas" w:hAnsi="Consolas" w:cs="Consolas"/>
                <w:color w:val="D7E3F4"/>
                <w:sz w:val="17"/>
                <w:szCs w:val="17"/>
              </w:rPr>
              <w:t xml:space="preserve">   [</w:t>
            </w:r>
            <w:proofErr w:type="gramEnd"/>
            <w:r>
              <w:rPr>
                <w:rFonts w:ascii="Consolas" w:eastAsia="Consolas" w:hAnsi="Consolas" w:cs="Consolas"/>
                <w:color w:val="D7E3F4"/>
                <w:sz w:val="17"/>
                <w:szCs w:val="17"/>
              </w:rPr>
              <w:t xml:space="preserve"> Databricks Secrets / </w:t>
            </w:r>
            <w:proofErr w:type="gramStart"/>
            <w:r>
              <w:rPr>
                <w:rFonts w:ascii="Consolas" w:eastAsia="Consolas" w:hAnsi="Consolas" w:cs="Consolas"/>
                <w:color w:val="D7E3F4"/>
                <w:sz w:val="17"/>
                <w:szCs w:val="17"/>
              </w:rPr>
              <w:t>Vault ]</w:t>
            </w:r>
            <w:proofErr w:type="gramEnd"/>
          </w:p>
          <w:p w14:paraId="0671B0F1" w14:textId="77777777" w:rsidR="00483E8D" w:rsidRDefault="00483E8D" w:rsidP="00E33433">
            <w:r>
              <w:rPr>
                <w:rFonts w:ascii="Consolas" w:eastAsia="Consolas" w:hAnsi="Consolas" w:cs="Consolas"/>
                <w:color w:val="D7E3F4"/>
                <w:sz w:val="17"/>
                <w:szCs w:val="17"/>
              </w:rPr>
              <w:t xml:space="preserve">  - Redshift DB passwords        - Wearable API tokens</w:t>
            </w:r>
          </w:p>
          <w:p w14:paraId="529DCDEA" w14:textId="77777777" w:rsidR="00483E8D" w:rsidRDefault="00483E8D" w:rsidP="00E33433">
            <w:r>
              <w:rPr>
                <w:rFonts w:ascii="Consolas" w:eastAsia="Consolas" w:hAnsi="Consolas" w:cs="Consolas"/>
                <w:color w:val="D7E3F4"/>
                <w:sz w:val="17"/>
                <w:szCs w:val="17"/>
              </w:rPr>
              <w:t xml:space="preserve">  - IAM secret keys              - DB Connect tokens</w:t>
            </w:r>
          </w:p>
        </w:tc>
      </w:tr>
    </w:tbl>
    <w:p w14:paraId="69BB6B90" w14:textId="77777777" w:rsidR="00483E8D" w:rsidRDefault="00483E8D" w:rsidP="00483E8D">
      <w:pPr>
        <w:pStyle w:val="ListParagraph"/>
        <w:numPr>
          <w:ilvl w:val="0"/>
          <w:numId w:val="10"/>
        </w:numPr>
        <w:spacing w:after="80" w:line="240" w:lineRule="auto"/>
        <w:contextualSpacing w:val="0"/>
      </w:pPr>
      <w:r>
        <w:rPr>
          <w:b/>
          <w:bCs/>
        </w:rPr>
        <w:t xml:space="preserve">AWS Secrets Manager: </w:t>
      </w:r>
      <w:r>
        <w:t xml:space="preserve">Redshift credentials and downstream connection strings live here; </w:t>
      </w:r>
      <w:proofErr w:type="spellStart"/>
      <w:r>
        <w:t>dbt</w:t>
      </w:r>
      <w:proofErr w:type="spellEnd"/>
      <w:r>
        <w:t xml:space="preserve"> fetches them dynamically at runtime, so a password never sits in a </w:t>
      </w:r>
      <w:proofErr w:type="spellStart"/>
      <w:r>
        <w:t>profiles.yml</w:t>
      </w:r>
      <w:proofErr w:type="spellEnd"/>
      <w:r>
        <w:t xml:space="preserve"> on local disk.</w:t>
      </w:r>
    </w:p>
    <w:p w14:paraId="561A5B9D" w14:textId="77777777" w:rsidR="00483E8D" w:rsidRDefault="00483E8D" w:rsidP="00483E8D">
      <w:pPr>
        <w:pStyle w:val="ListParagraph"/>
        <w:numPr>
          <w:ilvl w:val="0"/>
          <w:numId w:val="10"/>
        </w:numPr>
        <w:spacing w:after="80" w:line="240" w:lineRule="auto"/>
        <w:contextualSpacing w:val="0"/>
      </w:pPr>
      <w:r>
        <w:rPr>
          <w:b/>
          <w:bCs/>
        </w:rPr>
        <w:t xml:space="preserve">Databricks Secrets: </w:t>
      </w:r>
      <w:r>
        <w:t xml:space="preserve">API tokens for wearable endpoints and DB connectivity are injected via </w:t>
      </w:r>
      <w:proofErr w:type="spellStart"/>
      <w:proofErr w:type="gramStart"/>
      <w:r>
        <w:t>dbutils.secrets.get</w:t>
      </w:r>
      <w:proofErr w:type="spellEnd"/>
      <w:r>
        <w:t>(</w:t>
      </w:r>
      <w:proofErr w:type="gramEnd"/>
      <w:r>
        <w:t>scope="fitness-security-scope", key="wearable-</w:t>
      </w:r>
      <w:proofErr w:type="spellStart"/>
      <w:r>
        <w:t>api</w:t>
      </w:r>
      <w:proofErr w:type="spellEnd"/>
      <w:r>
        <w:t>-token") — the value is masked automatically, never appearing in plain text in notebook execution logs.</w:t>
      </w:r>
    </w:p>
    <w:p w14:paraId="4C3969E1" w14:textId="77777777" w:rsidR="00483E8D" w:rsidRDefault="00483E8D" w:rsidP="00483E8D">
      <w:pPr>
        <w:pStyle w:val="Heading2"/>
      </w:pPr>
      <w:r>
        <w:t>9.6 Network Architecture</w:t>
      </w:r>
    </w:p>
    <w:p w14:paraId="519FC064" w14:textId="77777777" w:rsidR="00483E8D" w:rsidRDefault="00483E8D" w:rsidP="00483E8D">
      <w:pPr>
        <w:pStyle w:val="ListParagraph"/>
        <w:numPr>
          <w:ilvl w:val="0"/>
          <w:numId w:val="10"/>
        </w:numPr>
        <w:spacing w:after="80" w:line="240" w:lineRule="auto"/>
        <w:contextualSpacing w:val="0"/>
      </w:pPr>
      <w:r>
        <w:rPr>
          <w:b/>
          <w:bCs/>
        </w:rPr>
        <w:t xml:space="preserve">VPC layout: </w:t>
      </w:r>
      <w:r>
        <w:t>the AWS architecture deploys into a dedicated VPC spanning multiple Availability Zones.</w:t>
      </w:r>
    </w:p>
    <w:p w14:paraId="78A4AC7E" w14:textId="77777777" w:rsidR="00483E8D" w:rsidRDefault="00483E8D" w:rsidP="00483E8D">
      <w:pPr>
        <w:pStyle w:val="ListParagraph"/>
        <w:numPr>
          <w:ilvl w:val="0"/>
          <w:numId w:val="10"/>
        </w:numPr>
        <w:spacing w:after="80" w:line="240" w:lineRule="auto"/>
        <w:contextualSpacing w:val="0"/>
      </w:pPr>
      <w:r>
        <w:rPr>
          <w:b/>
          <w:bCs/>
        </w:rPr>
        <w:t xml:space="preserve">Private vs. public subnets: </w:t>
      </w:r>
      <w:r>
        <w:t>public subnets host only internet-facing ingress (NAT gateways). Ingestion compute (Lambda), transformation (Glue), and the serving warehouse (Redshift Serverless) live exclusively in private subnets with no external IPv4 addresses.</w:t>
      </w:r>
    </w:p>
    <w:p w14:paraId="607A5AC1" w14:textId="77777777" w:rsidR="00483E8D" w:rsidRDefault="00483E8D" w:rsidP="00483E8D">
      <w:pPr>
        <w:pStyle w:val="ListParagraph"/>
        <w:numPr>
          <w:ilvl w:val="0"/>
          <w:numId w:val="10"/>
        </w:numPr>
        <w:spacing w:after="80" w:line="240" w:lineRule="auto"/>
        <w:contextualSpacing w:val="0"/>
      </w:pPr>
      <w:r>
        <w:rPr>
          <w:b/>
          <w:bCs/>
        </w:rPr>
        <w:t xml:space="preserve">Security groups: </w:t>
      </w:r>
      <w:r>
        <w:t xml:space="preserve">Redshift Serverless blocks all inbound traffic by default; access is granted selectively on port 5439, restricted to the specific IP of a local </w:t>
      </w:r>
      <w:proofErr w:type="spellStart"/>
      <w:r>
        <w:t>dbt</w:t>
      </w:r>
      <w:proofErr w:type="spellEnd"/>
      <w:r>
        <w:t xml:space="preserve"> session or a Glue execution subnet — the exact mechanism, and the exact friction, already documented in this project's own AWS Phase 7 build (decisions.md §3.10).</w:t>
      </w:r>
    </w:p>
    <w:p w14:paraId="50F8770D" w14:textId="77777777" w:rsidR="00483E8D" w:rsidRDefault="00483E8D" w:rsidP="00483E8D">
      <w:pPr>
        <w:pStyle w:val="ListParagraph"/>
        <w:numPr>
          <w:ilvl w:val="0"/>
          <w:numId w:val="10"/>
        </w:numPr>
        <w:spacing w:after="80" w:line="240" w:lineRule="auto"/>
        <w:contextualSpacing w:val="0"/>
      </w:pPr>
      <w:r>
        <w:rPr>
          <w:b/>
          <w:bCs/>
        </w:rPr>
        <w:t xml:space="preserve">NACLs: </w:t>
      </w:r>
      <w:r>
        <w:t>stateless subnet-level perimeters add a secondary guard, restricting outbound connections to authorized cloud API endpoints only.</w:t>
      </w:r>
    </w:p>
    <w:p w14:paraId="66FC1EDD" w14:textId="77777777" w:rsidR="00483E8D" w:rsidRDefault="00483E8D" w:rsidP="00483E8D">
      <w:pPr>
        <w:pStyle w:val="ListParagraph"/>
        <w:numPr>
          <w:ilvl w:val="0"/>
          <w:numId w:val="10"/>
        </w:numPr>
        <w:spacing w:after="80" w:line="240" w:lineRule="auto"/>
        <w:contextualSpacing w:val="0"/>
      </w:pPr>
      <w:r>
        <w:rPr>
          <w:b/>
          <w:bCs/>
        </w:rPr>
        <w:t xml:space="preserve">AWS </w:t>
      </w:r>
      <w:proofErr w:type="spellStart"/>
      <w:r>
        <w:rPr>
          <w:b/>
          <w:bCs/>
        </w:rPr>
        <w:t>PrivateLink</w:t>
      </w:r>
      <w:proofErr w:type="spellEnd"/>
      <w:r>
        <w:rPr>
          <w:b/>
          <w:bCs/>
        </w:rPr>
        <w:t xml:space="preserve">: </w:t>
      </w:r>
      <w:r>
        <w:t xml:space="preserve">traffic between private Glue execution environments, Redshift, and S3 travels over </w:t>
      </w:r>
      <w:proofErr w:type="spellStart"/>
      <w:r>
        <w:t>PrivateLink</w:t>
      </w:r>
      <w:proofErr w:type="spellEnd"/>
      <w:r>
        <w:t xml:space="preserve"> endpoints inside AWS's internal backbone, never touching the public internet.</w:t>
      </w:r>
    </w:p>
    <w:p w14:paraId="7138E8C3" w14:textId="77777777" w:rsidR="00483E8D" w:rsidRDefault="00483E8D" w:rsidP="00483E8D">
      <w:pPr>
        <w:pStyle w:val="Heading2"/>
      </w:pPr>
      <w:r>
        <w:t>9.7 Production Security Improvements</w:t>
      </w:r>
    </w:p>
    <w:p w14:paraId="2F4670EF" w14:textId="77777777" w:rsidR="00483E8D" w:rsidRDefault="00483E8D" w:rsidP="00483E8D">
      <w:pPr>
        <w:spacing w:after="160"/>
      </w:pPr>
      <w:r>
        <w:t>To take this architecture to a genuinely production-grade security posture, the following would be the next investments:</w:t>
      </w:r>
    </w:p>
    <w:p w14:paraId="3C675079" w14:textId="77777777" w:rsidR="00483E8D" w:rsidRDefault="00483E8D" w:rsidP="00483E8D">
      <w:pPr>
        <w:pStyle w:val="ListParagraph"/>
        <w:numPr>
          <w:ilvl w:val="0"/>
          <w:numId w:val="11"/>
        </w:numPr>
        <w:spacing w:after="80" w:line="240" w:lineRule="auto"/>
        <w:contextualSpacing w:val="0"/>
      </w:pPr>
      <w:r>
        <w:lastRenderedPageBreak/>
        <w:t>Cross-account isolation — three distinct AWS accounts (Fitness-Dev, Fitness-QA, Fitness-Prod) instead of one shared account.</w:t>
      </w:r>
    </w:p>
    <w:p w14:paraId="62870F04" w14:textId="77777777" w:rsidR="00483E8D" w:rsidRDefault="00483E8D" w:rsidP="00483E8D">
      <w:pPr>
        <w:pStyle w:val="ListParagraph"/>
        <w:numPr>
          <w:ilvl w:val="0"/>
          <w:numId w:val="11"/>
        </w:numPr>
        <w:spacing w:after="80" w:line="240" w:lineRule="auto"/>
        <w:contextualSpacing w:val="0"/>
      </w:pPr>
      <w:r>
        <w:t>VPC peering and Transit Gateways — centralized hubs connecting cross-account tooling, removing the need for ad hoc open security-group rules for remote developers.</w:t>
      </w:r>
    </w:p>
    <w:p w14:paraId="7257FD38" w14:textId="77777777" w:rsidR="00483E8D" w:rsidRDefault="00483E8D" w:rsidP="00483E8D">
      <w:pPr>
        <w:pStyle w:val="ListParagraph"/>
        <w:numPr>
          <w:ilvl w:val="0"/>
          <w:numId w:val="11"/>
        </w:numPr>
        <w:spacing w:after="80" w:line="240" w:lineRule="auto"/>
        <w:contextualSpacing w:val="0"/>
      </w:pPr>
      <w:r>
        <w:t>Automated secrets rotation — 30-day rotation in AWS Secrets Manager, with an orchestrating Lambda that updates Redshift credentials without pipeline downtime.</w:t>
      </w:r>
    </w:p>
    <w:p w14:paraId="69168ABB" w14:textId="77777777" w:rsidR="00483E8D" w:rsidRDefault="00483E8D">
      <w:pPr>
        <w:spacing w:before="600"/>
        <w:jc w:val="center"/>
      </w:pPr>
    </w:p>
    <w:p w14:paraId="4DB33528" w14:textId="4FF289DE" w:rsidR="00E561A4" w:rsidRPr="00E561A4" w:rsidRDefault="00E561A4" w:rsidP="00E561A4">
      <w:pPr>
        <w:spacing w:before="600"/>
        <w:jc w:val="center"/>
        <w:rPr>
          <w:lang w:val="en-IN"/>
        </w:rPr>
      </w:pPr>
    </w:p>
    <w:p w14:paraId="6F0B0CB4" w14:textId="77777777" w:rsidR="00E561A4" w:rsidRPr="00E561A4" w:rsidRDefault="00E561A4" w:rsidP="00E561A4">
      <w:pPr>
        <w:spacing w:before="600"/>
        <w:jc w:val="center"/>
        <w:rPr>
          <w:b/>
          <w:bCs/>
          <w:lang w:val="en-IN"/>
        </w:rPr>
      </w:pPr>
      <w:r w:rsidRPr="00E561A4">
        <w:rPr>
          <w:b/>
          <w:bCs/>
          <w:lang w:val="en-IN"/>
        </w:rPr>
        <w:t>10. Monitoring &amp; Observability</w:t>
      </w:r>
    </w:p>
    <w:p w14:paraId="15F3590B" w14:textId="77777777" w:rsidR="00E561A4" w:rsidRPr="00E561A4" w:rsidRDefault="00E561A4" w:rsidP="00E561A4">
      <w:pPr>
        <w:spacing w:before="600"/>
        <w:jc w:val="center"/>
        <w:rPr>
          <w:lang w:val="en-IN"/>
        </w:rPr>
      </w:pPr>
      <w:r w:rsidRPr="00E561A4">
        <w:rPr>
          <w:lang w:val="en-IN"/>
        </w:rPr>
        <w:t>A streaming pipeline can't be trusted just because a process is "active" — observability means watching explicit system boundaries and execution metrics, not inferring health from the absence of an error message.</w:t>
      </w:r>
    </w:p>
    <w:p w14:paraId="33ABB405" w14:textId="77777777" w:rsidR="00E561A4" w:rsidRPr="00E561A4" w:rsidRDefault="00E561A4" w:rsidP="00E561A4">
      <w:pPr>
        <w:spacing w:before="600"/>
        <w:jc w:val="center"/>
        <w:rPr>
          <w:b/>
          <w:bCs/>
          <w:lang w:val="en-IN"/>
        </w:rPr>
      </w:pPr>
      <w:r w:rsidRPr="00E561A4">
        <w:rPr>
          <w:b/>
          <w:bCs/>
          <w:lang w:val="en-IN"/>
        </w:rPr>
        <w:t xml:space="preserve">10.1 </w:t>
      </w:r>
      <w:proofErr w:type="gramStart"/>
      <w:r w:rsidRPr="00E561A4">
        <w:rPr>
          <w:b/>
          <w:bCs/>
          <w:lang w:val="en-IN"/>
        </w:rPr>
        <w:t>Multi-stack</w:t>
      </w:r>
      <w:proofErr w:type="gramEnd"/>
      <w:r w:rsidRPr="00E561A4">
        <w:rPr>
          <w:b/>
          <w:bCs/>
          <w:lang w:val="en-IN"/>
        </w:rPr>
        <w:t xml:space="preserve"> telemetry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530"/>
        <w:gridCol w:w="3530"/>
      </w:tblGrid>
      <w:tr w:rsidR="00E561A4" w:rsidRPr="00E561A4" w14:paraId="30CEAFCA" w14:textId="77777777">
        <w:trPr>
          <w:tblHeader/>
        </w:trPr>
        <w:tc>
          <w:tcPr>
            <w:tcW w:w="2300" w:type="dxa"/>
            <w:tcBorders>
              <w:top w:val="single" w:sz="2" w:space="0" w:color="B9C6D9"/>
              <w:left w:val="single" w:sz="2" w:space="0" w:color="B9C6D9"/>
              <w:bottom w:val="single" w:sz="2" w:space="0" w:color="B9C6D9"/>
              <w:right w:val="single" w:sz="2" w:space="0" w:color="B9C6D9"/>
            </w:tcBorders>
            <w:shd w:val="clear" w:color="auto" w:fill="1F3864"/>
            <w:tcMar>
              <w:top w:w="80" w:type="dxa"/>
              <w:left w:w="110" w:type="dxa"/>
              <w:bottom w:w="80" w:type="dxa"/>
              <w:right w:w="110" w:type="dxa"/>
            </w:tcMar>
            <w:vAlign w:val="center"/>
            <w:hideMark/>
          </w:tcPr>
          <w:p w14:paraId="5D25E00F" w14:textId="77777777" w:rsidR="00E561A4" w:rsidRPr="00E561A4" w:rsidRDefault="00E561A4" w:rsidP="00E561A4">
            <w:pPr>
              <w:spacing w:before="600"/>
              <w:jc w:val="center"/>
              <w:rPr>
                <w:lang w:val="en-IN"/>
              </w:rPr>
            </w:pPr>
            <w:r w:rsidRPr="00E561A4">
              <w:rPr>
                <w:b/>
                <w:bCs/>
                <w:lang w:val="en-IN"/>
              </w:rPr>
              <w:t>Layer</w:t>
            </w:r>
          </w:p>
        </w:tc>
        <w:tc>
          <w:tcPr>
            <w:tcW w:w="3530" w:type="dxa"/>
            <w:tcBorders>
              <w:top w:val="single" w:sz="2" w:space="0" w:color="B9C6D9"/>
              <w:left w:val="single" w:sz="2" w:space="0" w:color="B9C6D9"/>
              <w:bottom w:val="single" w:sz="2" w:space="0" w:color="B9C6D9"/>
              <w:right w:val="single" w:sz="2" w:space="0" w:color="B9C6D9"/>
            </w:tcBorders>
            <w:shd w:val="clear" w:color="auto" w:fill="1F3864"/>
            <w:tcMar>
              <w:top w:w="80" w:type="dxa"/>
              <w:left w:w="110" w:type="dxa"/>
              <w:bottom w:w="80" w:type="dxa"/>
              <w:right w:w="110" w:type="dxa"/>
            </w:tcMar>
            <w:vAlign w:val="center"/>
            <w:hideMark/>
          </w:tcPr>
          <w:p w14:paraId="11117ACA" w14:textId="77777777" w:rsidR="00E561A4" w:rsidRPr="00E561A4" w:rsidRDefault="00E561A4" w:rsidP="00E561A4">
            <w:pPr>
              <w:spacing w:before="600"/>
              <w:jc w:val="center"/>
              <w:rPr>
                <w:lang w:val="en-IN"/>
              </w:rPr>
            </w:pPr>
            <w:r w:rsidRPr="00E561A4">
              <w:rPr>
                <w:b/>
                <w:bCs/>
                <w:lang w:val="en-IN"/>
              </w:rPr>
              <w:t>AWS managed stack</w:t>
            </w:r>
          </w:p>
        </w:tc>
        <w:tc>
          <w:tcPr>
            <w:tcW w:w="3530" w:type="dxa"/>
            <w:tcBorders>
              <w:top w:val="single" w:sz="2" w:space="0" w:color="B9C6D9"/>
              <w:left w:val="single" w:sz="2" w:space="0" w:color="B9C6D9"/>
              <w:bottom w:val="single" w:sz="2" w:space="0" w:color="B9C6D9"/>
              <w:right w:val="single" w:sz="2" w:space="0" w:color="B9C6D9"/>
            </w:tcBorders>
            <w:shd w:val="clear" w:color="auto" w:fill="1F3864"/>
            <w:tcMar>
              <w:top w:w="80" w:type="dxa"/>
              <w:left w:w="110" w:type="dxa"/>
              <w:bottom w:w="80" w:type="dxa"/>
              <w:right w:w="110" w:type="dxa"/>
            </w:tcMar>
            <w:vAlign w:val="center"/>
            <w:hideMark/>
          </w:tcPr>
          <w:p w14:paraId="66A05AF7" w14:textId="77777777" w:rsidR="00E561A4" w:rsidRPr="00E561A4" w:rsidRDefault="00E561A4" w:rsidP="00E561A4">
            <w:pPr>
              <w:spacing w:before="600"/>
              <w:jc w:val="center"/>
              <w:rPr>
                <w:lang w:val="en-IN"/>
              </w:rPr>
            </w:pPr>
            <w:r w:rsidRPr="00E561A4">
              <w:rPr>
                <w:b/>
                <w:bCs/>
                <w:lang w:val="en-IN"/>
              </w:rPr>
              <w:t xml:space="preserve">Databricks </w:t>
            </w:r>
            <w:proofErr w:type="spellStart"/>
            <w:r w:rsidRPr="00E561A4">
              <w:rPr>
                <w:b/>
                <w:bCs/>
                <w:lang w:val="en-IN"/>
              </w:rPr>
              <w:t>lakehouse</w:t>
            </w:r>
            <w:proofErr w:type="spellEnd"/>
            <w:r w:rsidRPr="00E561A4">
              <w:rPr>
                <w:b/>
                <w:bCs/>
                <w:lang w:val="en-IN"/>
              </w:rPr>
              <w:t xml:space="preserve"> stack</w:t>
            </w:r>
          </w:p>
        </w:tc>
      </w:tr>
      <w:tr w:rsidR="00E561A4" w:rsidRPr="00E561A4" w14:paraId="22250390" w14:textId="77777777">
        <w:tc>
          <w:tcPr>
            <w:tcW w:w="2300" w:type="dxa"/>
            <w:tcBorders>
              <w:top w:val="single" w:sz="2" w:space="0" w:color="B9C6D9"/>
              <w:left w:val="single" w:sz="2" w:space="0" w:color="B9C6D9"/>
              <w:bottom w:val="single" w:sz="2" w:space="0" w:color="B9C6D9"/>
              <w:right w:val="single" w:sz="2" w:space="0" w:color="B9C6D9"/>
            </w:tcBorders>
            <w:tcMar>
              <w:top w:w="80" w:type="dxa"/>
              <w:left w:w="110" w:type="dxa"/>
              <w:bottom w:w="80" w:type="dxa"/>
              <w:right w:w="110" w:type="dxa"/>
            </w:tcMar>
            <w:vAlign w:val="center"/>
            <w:hideMark/>
          </w:tcPr>
          <w:p w14:paraId="043AAE1B" w14:textId="77777777" w:rsidR="00E561A4" w:rsidRPr="00E561A4" w:rsidRDefault="00E561A4" w:rsidP="00E561A4">
            <w:pPr>
              <w:spacing w:before="600"/>
              <w:jc w:val="center"/>
              <w:rPr>
                <w:lang w:val="en-IN"/>
              </w:rPr>
            </w:pPr>
            <w:r w:rsidRPr="00E561A4">
              <w:rPr>
                <w:lang w:val="en-IN"/>
              </w:rPr>
              <w:t>Ingestion compute logs</w:t>
            </w:r>
          </w:p>
        </w:tc>
        <w:tc>
          <w:tcPr>
            <w:tcW w:w="3530" w:type="dxa"/>
            <w:tcBorders>
              <w:top w:val="single" w:sz="2" w:space="0" w:color="B9C6D9"/>
              <w:left w:val="single" w:sz="2" w:space="0" w:color="B9C6D9"/>
              <w:bottom w:val="single" w:sz="2" w:space="0" w:color="B9C6D9"/>
              <w:right w:val="single" w:sz="2" w:space="0" w:color="B9C6D9"/>
            </w:tcBorders>
            <w:tcMar>
              <w:top w:w="80" w:type="dxa"/>
              <w:left w:w="110" w:type="dxa"/>
              <w:bottom w:w="80" w:type="dxa"/>
              <w:right w:w="110" w:type="dxa"/>
            </w:tcMar>
            <w:hideMark/>
          </w:tcPr>
          <w:p w14:paraId="5A35ED7E" w14:textId="77777777" w:rsidR="00E561A4" w:rsidRPr="00E561A4" w:rsidRDefault="00E561A4" w:rsidP="00E561A4">
            <w:pPr>
              <w:spacing w:before="600"/>
              <w:jc w:val="center"/>
              <w:rPr>
                <w:lang w:val="en-IN"/>
              </w:rPr>
            </w:pPr>
            <w:r w:rsidRPr="00E561A4">
              <w:rPr>
                <w:lang w:val="en-IN"/>
              </w:rPr>
              <w:t xml:space="preserve">Lambda CloudWatch Logs — execution duration, </w:t>
            </w:r>
            <w:proofErr w:type="spellStart"/>
            <w:r w:rsidRPr="00E561A4">
              <w:rPr>
                <w:lang w:val="en-IN"/>
              </w:rPr>
              <w:t>init</w:t>
            </w:r>
            <w:proofErr w:type="spellEnd"/>
            <w:r w:rsidRPr="00E561A4">
              <w:rPr>
                <w:lang w:val="en-IN"/>
              </w:rPr>
              <w:t xml:space="preserve"> overhead, memory per batch</w:t>
            </w:r>
          </w:p>
        </w:tc>
        <w:tc>
          <w:tcPr>
            <w:tcW w:w="3530" w:type="dxa"/>
            <w:tcBorders>
              <w:top w:val="single" w:sz="2" w:space="0" w:color="B9C6D9"/>
              <w:left w:val="single" w:sz="2" w:space="0" w:color="B9C6D9"/>
              <w:bottom w:val="single" w:sz="2" w:space="0" w:color="B9C6D9"/>
              <w:right w:val="single" w:sz="2" w:space="0" w:color="B9C6D9"/>
            </w:tcBorders>
            <w:tcMar>
              <w:top w:w="80" w:type="dxa"/>
              <w:left w:w="110" w:type="dxa"/>
              <w:bottom w:w="80" w:type="dxa"/>
              <w:right w:w="110" w:type="dxa"/>
            </w:tcMar>
            <w:hideMark/>
          </w:tcPr>
          <w:p w14:paraId="61E4D0A4" w14:textId="77777777" w:rsidR="00E561A4" w:rsidRPr="00E561A4" w:rsidRDefault="00E561A4" w:rsidP="00E561A4">
            <w:pPr>
              <w:spacing w:before="600"/>
              <w:jc w:val="center"/>
              <w:rPr>
                <w:lang w:val="en-IN"/>
              </w:rPr>
            </w:pPr>
            <w:r w:rsidRPr="00E561A4">
              <w:rPr>
                <w:lang w:val="en-IN"/>
              </w:rPr>
              <w:t>Driver logs &amp; Spark UI — continuous execution tracking, memory allocation across serverless workers</w:t>
            </w:r>
          </w:p>
        </w:tc>
      </w:tr>
      <w:tr w:rsidR="00E561A4" w:rsidRPr="00E561A4" w14:paraId="6CE247D9" w14:textId="77777777">
        <w:tc>
          <w:tcPr>
            <w:tcW w:w="2300" w:type="dxa"/>
            <w:tcBorders>
              <w:top w:val="single" w:sz="2" w:space="0" w:color="B9C6D9"/>
              <w:left w:val="single" w:sz="2" w:space="0" w:color="B9C6D9"/>
              <w:bottom w:val="single" w:sz="2" w:space="0" w:color="B9C6D9"/>
              <w:right w:val="single" w:sz="2" w:space="0" w:color="B9C6D9"/>
            </w:tcBorders>
            <w:shd w:val="clear" w:color="auto" w:fill="EEF3FA"/>
            <w:tcMar>
              <w:top w:w="80" w:type="dxa"/>
              <w:left w:w="110" w:type="dxa"/>
              <w:bottom w:w="80" w:type="dxa"/>
              <w:right w:w="110" w:type="dxa"/>
            </w:tcMar>
            <w:vAlign w:val="center"/>
            <w:hideMark/>
          </w:tcPr>
          <w:p w14:paraId="010678F1" w14:textId="77777777" w:rsidR="00E561A4" w:rsidRPr="00E561A4" w:rsidRDefault="00E561A4" w:rsidP="00E561A4">
            <w:pPr>
              <w:spacing w:before="600"/>
              <w:jc w:val="center"/>
              <w:rPr>
                <w:lang w:val="en-IN"/>
              </w:rPr>
            </w:pPr>
            <w:r w:rsidRPr="00E561A4">
              <w:rPr>
                <w:lang w:val="en-IN"/>
              </w:rPr>
              <w:t>Transformation logs</w:t>
            </w:r>
          </w:p>
        </w:tc>
        <w:tc>
          <w:tcPr>
            <w:tcW w:w="3530" w:type="dxa"/>
            <w:tcBorders>
              <w:top w:val="single" w:sz="2" w:space="0" w:color="B9C6D9"/>
              <w:left w:val="single" w:sz="2" w:space="0" w:color="B9C6D9"/>
              <w:bottom w:val="single" w:sz="2" w:space="0" w:color="B9C6D9"/>
              <w:right w:val="single" w:sz="2" w:space="0" w:color="B9C6D9"/>
            </w:tcBorders>
            <w:shd w:val="clear" w:color="auto" w:fill="EEF3FA"/>
            <w:tcMar>
              <w:top w:w="80" w:type="dxa"/>
              <w:left w:w="110" w:type="dxa"/>
              <w:bottom w:w="80" w:type="dxa"/>
              <w:right w:w="110" w:type="dxa"/>
            </w:tcMar>
            <w:hideMark/>
          </w:tcPr>
          <w:p w14:paraId="705A6FEB" w14:textId="77777777" w:rsidR="00E561A4" w:rsidRPr="00E561A4" w:rsidRDefault="00E561A4" w:rsidP="00E561A4">
            <w:pPr>
              <w:spacing w:before="600"/>
              <w:jc w:val="center"/>
              <w:rPr>
                <w:lang w:val="en-IN"/>
              </w:rPr>
            </w:pPr>
            <w:r w:rsidRPr="00E561A4">
              <w:rPr>
                <w:lang w:val="en-IN"/>
              </w:rPr>
              <w:t xml:space="preserve">Glue CloudWatch log groups — structured </w:t>
            </w:r>
            <w:proofErr w:type="spellStart"/>
            <w:r w:rsidRPr="00E561A4">
              <w:rPr>
                <w:lang w:val="en-IN"/>
              </w:rPr>
              <w:t>PySpark</w:t>
            </w:r>
            <w:proofErr w:type="spellEnd"/>
            <w:r w:rsidRPr="00E561A4">
              <w:rPr>
                <w:lang w:val="en-IN"/>
              </w:rPr>
              <w:t xml:space="preserve"> </w:t>
            </w:r>
            <w:proofErr w:type="spellStart"/>
            <w:r w:rsidRPr="00E561A4">
              <w:rPr>
                <w:lang w:val="en-IN"/>
              </w:rPr>
              <w:t>stdout</w:t>
            </w:r>
            <w:proofErr w:type="spellEnd"/>
            <w:r w:rsidRPr="00E561A4">
              <w:rPr>
                <w:lang w:val="en-IN"/>
              </w:rPr>
              <w:t>/stderr, executor-loss alerts, driver memory dumps</w:t>
            </w:r>
          </w:p>
        </w:tc>
        <w:tc>
          <w:tcPr>
            <w:tcW w:w="3530" w:type="dxa"/>
            <w:tcBorders>
              <w:top w:val="single" w:sz="2" w:space="0" w:color="B9C6D9"/>
              <w:left w:val="single" w:sz="2" w:space="0" w:color="B9C6D9"/>
              <w:bottom w:val="single" w:sz="2" w:space="0" w:color="B9C6D9"/>
              <w:right w:val="single" w:sz="2" w:space="0" w:color="B9C6D9"/>
            </w:tcBorders>
            <w:shd w:val="clear" w:color="auto" w:fill="EEF3FA"/>
            <w:tcMar>
              <w:top w:w="80" w:type="dxa"/>
              <w:left w:w="110" w:type="dxa"/>
              <w:bottom w:w="80" w:type="dxa"/>
              <w:right w:w="110" w:type="dxa"/>
            </w:tcMar>
            <w:hideMark/>
          </w:tcPr>
          <w:p w14:paraId="58847751" w14:textId="77777777" w:rsidR="00E561A4" w:rsidRPr="00E561A4" w:rsidRDefault="00E561A4" w:rsidP="00E561A4">
            <w:pPr>
              <w:spacing w:before="600"/>
              <w:jc w:val="center"/>
              <w:rPr>
                <w:lang w:val="en-IN"/>
              </w:rPr>
            </w:pPr>
            <w:r w:rsidRPr="00E561A4">
              <w:rPr>
                <w:lang w:val="en-IN"/>
              </w:rPr>
              <w:t>Log4j integration — raw exceptions captured directly within notebook execution frames in the job run history</w:t>
            </w:r>
          </w:p>
        </w:tc>
      </w:tr>
      <w:tr w:rsidR="00E561A4" w:rsidRPr="00E561A4" w14:paraId="53636ABF" w14:textId="77777777">
        <w:tc>
          <w:tcPr>
            <w:tcW w:w="2300" w:type="dxa"/>
            <w:tcBorders>
              <w:top w:val="single" w:sz="2" w:space="0" w:color="B9C6D9"/>
              <w:left w:val="single" w:sz="2" w:space="0" w:color="B9C6D9"/>
              <w:bottom w:val="single" w:sz="2" w:space="0" w:color="B9C6D9"/>
              <w:right w:val="single" w:sz="2" w:space="0" w:color="B9C6D9"/>
            </w:tcBorders>
            <w:tcMar>
              <w:top w:w="80" w:type="dxa"/>
              <w:left w:w="110" w:type="dxa"/>
              <w:bottom w:w="80" w:type="dxa"/>
              <w:right w:w="110" w:type="dxa"/>
            </w:tcMar>
            <w:vAlign w:val="center"/>
            <w:hideMark/>
          </w:tcPr>
          <w:p w14:paraId="3FEB3F7A" w14:textId="77777777" w:rsidR="00E561A4" w:rsidRPr="00E561A4" w:rsidRDefault="00E561A4" w:rsidP="00E561A4">
            <w:pPr>
              <w:spacing w:before="600"/>
              <w:jc w:val="center"/>
              <w:rPr>
                <w:lang w:val="en-IN"/>
              </w:rPr>
            </w:pPr>
            <w:r w:rsidRPr="00E561A4">
              <w:rPr>
                <w:lang w:val="en-IN"/>
              </w:rPr>
              <w:lastRenderedPageBreak/>
              <w:t>Query / analytics logs</w:t>
            </w:r>
          </w:p>
        </w:tc>
        <w:tc>
          <w:tcPr>
            <w:tcW w:w="3530" w:type="dxa"/>
            <w:tcBorders>
              <w:top w:val="single" w:sz="2" w:space="0" w:color="B9C6D9"/>
              <w:left w:val="single" w:sz="2" w:space="0" w:color="B9C6D9"/>
              <w:bottom w:val="single" w:sz="2" w:space="0" w:color="B9C6D9"/>
              <w:right w:val="single" w:sz="2" w:space="0" w:color="B9C6D9"/>
            </w:tcBorders>
            <w:tcMar>
              <w:top w:w="80" w:type="dxa"/>
              <w:left w:w="110" w:type="dxa"/>
              <w:bottom w:w="80" w:type="dxa"/>
              <w:right w:w="110" w:type="dxa"/>
            </w:tcMar>
            <w:hideMark/>
          </w:tcPr>
          <w:p w14:paraId="3EEEF7AC" w14:textId="77777777" w:rsidR="00E561A4" w:rsidRPr="00E561A4" w:rsidRDefault="00E561A4" w:rsidP="00E561A4">
            <w:pPr>
              <w:spacing w:before="600"/>
              <w:jc w:val="center"/>
              <w:rPr>
                <w:lang w:val="en-IN"/>
              </w:rPr>
            </w:pPr>
            <w:r w:rsidRPr="00E561A4">
              <w:rPr>
                <w:lang w:val="en-IN"/>
              </w:rPr>
              <w:t>Athena query history — queries run, data scanned, processing windows</w:t>
            </w:r>
          </w:p>
        </w:tc>
        <w:tc>
          <w:tcPr>
            <w:tcW w:w="3530" w:type="dxa"/>
            <w:tcBorders>
              <w:top w:val="single" w:sz="2" w:space="0" w:color="B9C6D9"/>
              <w:left w:val="single" w:sz="2" w:space="0" w:color="B9C6D9"/>
              <w:bottom w:val="single" w:sz="2" w:space="0" w:color="B9C6D9"/>
              <w:right w:val="single" w:sz="2" w:space="0" w:color="B9C6D9"/>
            </w:tcBorders>
            <w:tcMar>
              <w:top w:w="80" w:type="dxa"/>
              <w:left w:w="110" w:type="dxa"/>
              <w:bottom w:w="80" w:type="dxa"/>
              <w:right w:w="110" w:type="dxa"/>
            </w:tcMar>
            <w:hideMark/>
          </w:tcPr>
          <w:p w14:paraId="70A05ED8" w14:textId="77777777" w:rsidR="00E561A4" w:rsidRPr="00E561A4" w:rsidRDefault="00E561A4" w:rsidP="00E561A4">
            <w:pPr>
              <w:spacing w:before="600"/>
              <w:jc w:val="center"/>
              <w:rPr>
                <w:lang w:val="en-IN"/>
              </w:rPr>
            </w:pPr>
            <w:r w:rsidRPr="00E561A4">
              <w:rPr>
                <w:lang w:val="en-IN"/>
              </w:rPr>
              <w:t>Databricks SQL query history — statements, compile performance, execution steps</w:t>
            </w:r>
          </w:p>
        </w:tc>
      </w:tr>
      <w:tr w:rsidR="00E561A4" w:rsidRPr="00E561A4" w14:paraId="585E0DA6" w14:textId="77777777">
        <w:tc>
          <w:tcPr>
            <w:tcW w:w="2300" w:type="dxa"/>
            <w:tcBorders>
              <w:top w:val="single" w:sz="2" w:space="0" w:color="B9C6D9"/>
              <w:left w:val="single" w:sz="2" w:space="0" w:color="B9C6D9"/>
              <w:bottom w:val="single" w:sz="2" w:space="0" w:color="B9C6D9"/>
              <w:right w:val="single" w:sz="2" w:space="0" w:color="B9C6D9"/>
            </w:tcBorders>
            <w:shd w:val="clear" w:color="auto" w:fill="EEF3FA"/>
            <w:tcMar>
              <w:top w:w="80" w:type="dxa"/>
              <w:left w:w="110" w:type="dxa"/>
              <w:bottom w:w="80" w:type="dxa"/>
              <w:right w:w="110" w:type="dxa"/>
            </w:tcMar>
            <w:vAlign w:val="center"/>
            <w:hideMark/>
          </w:tcPr>
          <w:p w14:paraId="2802F8FB" w14:textId="77777777" w:rsidR="00E561A4" w:rsidRPr="00E561A4" w:rsidRDefault="00E561A4" w:rsidP="00E561A4">
            <w:pPr>
              <w:spacing w:before="600"/>
              <w:jc w:val="center"/>
              <w:rPr>
                <w:lang w:val="en-IN"/>
              </w:rPr>
            </w:pPr>
            <w:r w:rsidRPr="00E561A4">
              <w:rPr>
                <w:lang w:val="en-IN"/>
              </w:rPr>
              <w:t>Warehouse monitoring</w:t>
            </w:r>
          </w:p>
        </w:tc>
        <w:tc>
          <w:tcPr>
            <w:tcW w:w="3530" w:type="dxa"/>
            <w:tcBorders>
              <w:top w:val="single" w:sz="2" w:space="0" w:color="B9C6D9"/>
              <w:left w:val="single" w:sz="2" w:space="0" w:color="B9C6D9"/>
              <w:bottom w:val="single" w:sz="2" w:space="0" w:color="B9C6D9"/>
              <w:right w:val="single" w:sz="2" w:space="0" w:color="B9C6D9"/>
            </w:tcBorders>
            <w:shd w:val="clear" w:color="auto" w:fill="EEF3FA"/>
            <w:tcMar>
              <w:top w:w="80" w:type="dxa"/>
              <w:left w:w="110" w:type="dxa"/>
              <w:bottom w:w="80" w:type="dxa"/>
              <w:right w:w="110" w:type="dxa"/>
            </w:tcMar>
            <w:hideMark/>
          </w:tcPr>
          <w:p w14:paraId="151675A0" w14:textId="77777777" w:rsidR="00E561A4" w:rsidRPr="00E561A4" w:rsidRDefault="00E561A4" w:rsidP="00E561A4">
            <w:pPr>
              <w:spacing w:before="600"/>
              <w:jc w:val="center"/>
              <w:rPr>
                <w:lang w:val="en-IN"/>
              </w:rPr>
            </w:pPr>
            <w:r w:rsidRPr="00E561A4">
              <w:rPr>
                <w:lang w:val="en-IN"/>
              </w:rPr>
              <w:t>Redshift Serverless metrics — active RPU consumption, query limits, disk spills</w:t>
            </w:r>
          </w:p>
        </w:tc>
        <w:tc>
          <w:tcPr>
            <w:tcW w:w="3530" w:type="dxa"/>
            <w:tcBorders>
              <w:top w:val="single" w:sz="2" w:space="0" w:color="B9C6D9"/>
              <w:left w:val="single" w:sz="2" w:space="0" w:color="B9C6D9"/>
              <w:bottom w:val="single" w:sz="2" w:space="0" w:color="B9C6D9"/>
              <w:right w:val="single" w:sz="2" w:space="0" w:color="B9C6D9"/>
            </w:tcBorders>
            <w:shd w:val="clear" w:color="auto" w:fill="EEF3FA"/>
            <w:tcMar>
              <w:top w:w="80" w:type="dxa"/>
              <w:left w:w="110" w:type="dxa"/>
              <w:bottom w:w="80" w:type="dxa"/>
              <w:right w:w="110" w:type="dxa"/>
            </w:tcMar>
            <w:hideMark/>
          </w:tcPr>
          <w:p w14:paraId="19AB36B2" w14:textId="77777777" w:rsidR="00E561A4" w:rsidRPr="00E561A4" w:rsidRDefault="00E561A4" w:rsidP="00E561A4">
            <w:pPr>
              <w:spacing w:before="600"/>
              <w:jc w:val="center"/>
              <w:rPr>
                <w:lang w:val="en-IN"/>
              </w:rPr>
            </w:pPr>
            <w:r w:rsidRPr="00E561A4">
              <w:rPr>
                <w:lang w:val="en-IN"/>
              </w:rPr>
              <w:t>Serverless SQL Warehouse UI — scaling allocation, query durations, disk cache utilization</w:t>
            </w:r>
          </w:p>
        </w:tc>
      </w:tr>
      <w:tr w:rsidR="00E561A4" w:rsidRPr="00E561A4" w14:paraId="28DF6B79" w14:textId="77777777">
        <w:tc>
          <w:tcPr>
            <w:tcW w:w="2300" w:type="dxa"/>
            <w:tcBorders>
              <w:top w:val="single" w:sz="2" w:space="0" w:color="B9C6D9"/>
              <w:left w:val="single" w:sz="2" w:space="0" w:color="B9C6D9"/>
              <w:bottom w:val="single" w:sz="2" w:space="0" w:color="B9C6D9"/>
              <w:right w:val="single" w:sz="2" w:space="0" w:color="B9C6D9"/>
            </w:tcBorders>
            <w:tcMar>
              <w:top w:w="80" w:type="dxa"/>
              <w:left w:w="110" w:type="dxa"/>
              <w:bottom w:w="80" w:type="dxa"/>
              <w:right w:w="110" w:type="dxa"/>
            </w:tcMar>
            <w:vAlign w:val="center"/>
            <w:hideMark/>
          </w:tcPr>
          <w:p w14:paraId="2B3E81FB" w14:textId="77777777" w:rsidR="00E561A4" w:rsidRPr="00E561A4" w:rsidRDefault="00E561A4" w:rsidP="00E561A4">
            <w:pPr>
              <w:spacing w:before="600"/>
              <w:jc w:val="center"/>
              <w:rPr>
                <w:lang w:val="en-IN"/>
              </w:rPr>
            </w:pPr>
            <w:r w:rsidRPr="00E561A4">
              <w:rPr>
                <w:lang w:val="en-IN"/>
              </w:rPr>
              <w:t>Lineage tracking</w:t>
            </w:r>
          </w:p>
        </w:tc>
        <w:tc>
          <w:tcPr>
            <w:tcW w:w="3530" w:type="dxa"/>
            <w:tcBorders>
              <w:top w:val="single" w:sz="2" w:space="0" w:color="B9C6D9"/>
              <w:left w:val="single" w:sz="2" w:space="0" w:color="B9C6D9"/>
              <w:bottom w:val="single" w:sz="2" w:space="0" w:color="B9C6D9"/>
              <w:right w:val="single" w:sz="2" w:space="0" w:color="B9C6D9"/>
            </w:tcBorders>
            <w:tcMar>
              <w:top w:w="80" w:type="dxa"/>
              <w:left w:w="110" w:type="dxa"/>
              <w:bottom w:w="80" w:type="dxa"/>
              <w:right w:w="110" w:type="dxa"/>
            </w:tcMar>
            <w:hideMark/>
          </w:tcPr>
          <w:p w14:paraId="180D4A82" w14:textId="77777777" w:rsidR="00E561A4" w:rsidRPr="00E561A4" w:rsidRDefault="00E561A4" w:rsidP="00E561A4">
            <w:pPr>
              <w:spacing w:before="600"/>
              <w:jc w:val="center"/>
              <w:rPr>
                <w:lang w:val="en-IN"/>
              </w:rPr>
            </w:pPr>
            <w:r w:rsidRPr="00E561A4">
              <w:rPr>
                <w:lang w:val="en-IN"/>
              </w:rPr>
              <w:t xml:space="preserve">Glue Data </w:t>
            </w:r>
            <w:proofErr w:type="spellStart"/>
            <w:r w:rsidRPr="00E561A4">
              <w:rPr>
                <w:lang w:val="en-IN"/>
              </w:rPr>
              <w:t>Catalog</w:t>
            </w:r>
            <w:proofErr w:type="spellEnd"/>
            <w:r w:rsidRPr="00E561A4">
              <w:rPr>
                <w:lang w:val="en-IN"/>
              </w:rPr>
              <w:t xml:space="preserve"> — manual reconstruction from script configs and S3 paths</w:t>
            </w:r>
          </w:p>
        </w:tc>
        <w:tc>
          <w:tcPr>
            <w:tcW w:w="3530" w:type="dxa"/>
            <w:tcBorders>
              <w:top w:val="single" w:sz="2" w:space="0" w:color="B9C6D9"/>
              <w:left w:val="single" w:sz="2" w:space="0" w:color="B9C6D9"/>
              <w:bottom w:val="single" w:sz="2" w:space="0" w:color="B9C6D9"/>
              <w:right w:val="single" w:sz="2" w:space="0" w:color="B9C6D9"/>
            </w:tcBorders>
            <w:tcMar>
              <w:top w:w="80" w:type="dxa"/>
              <w:left w:w="110" w:type="dxa"/>
              <w:bottom w:w="80" w:type="dxa"/>
              <w:right w:w="110" w:type="dxa"/>
            </w:tcMar>
            <w:hideMark/>
          </w:tcPr>
          <w:p w14:paraId="50F02C46" w14:textId="77777777" w:rsidR="00E561A4" w:rsidRPr="00E561A4" w:rsidRDefault="00E561A4" w:rsidP="00E561A4">
            <w:pPr>
              <w:spacing w:before="600"/>
              <w:jc w:val="center"/>
              <w:rPr>
                <w:lang w:val="en-IN"/>
              </w:rPr>
            </w:pPr>
            <w:r w:rsidRPr="00E561A4">
              <w:rPr>
                <w:lang w:val="en-IN"/>
              </w:rPr>
              <w:t xml:space="preserve">Unity </w:t>
            </w:r>
            <w:proofErr w:type="spellStart"/>
            <w:r w:rsidRPr="00E561A4">
              <w:rPr>
                <w:lang w:val="en-IN"/>
              </w:rPr>
              <w:t>Catalog</w:t>
            </w:r>
            <w:proofErr w:type="spellEnd"/>
            <w:r w:rsidRPr="00E561A4">
              <w:rPr>
                <w:lang w:val="en-IN"/>
              </w:rPr>
              <w:t xml:space="preserve"> automatic lineage — real-time, interactive, column-level maps</w:t>
            </w:r>
          </w:p>
        </w:tc>
      </w:tr>
    </w:tbl>
    <w:p w14:paraId="1E2AC5F8" w14:textId="77777777" w:rsidR="00E561A4" w:rsidRPr="00E561A4" w:rsidRDefault="00E561A4" w:rsidP="00E561A4">
      <w:pPr>
        <w:spacing w:before="600"/>
        <w:jc w:val="center"/>
        <w:rPr>
          <w:b/>
          <w:bCs/>
          <w:lang w:val="en-IN"/>
        </w:rPr>
      </w:pPr>
      <w:r w:rsidRPr="00E561A4">
        <w:rPr>
          <w:b/>
          <w:bCs/>
          <w:lang w:val="en-IN"/>
        </w:rPr>
        <w:t>10.2 Pipeline health &amp; alerting logic</w:t>
      </w:r>
    </w:p>
    <w:p w14:paraId="69F979BB" w14:textId="77777777" w:rsidR="00E561A4" w:rsidRPr="00E561A4" w:rsidRDefault="00E561A4" w:rsidP="00E561A4">
      <w:pPr>
        <w:numPr>
          <w:ilvl w:val="0"/>
          <w:numId w:val="12"/>
        </w:numPr>
        <w:spacing w:before="600"/>
        <w:jc w:val="center"/>
        <w:rPr>
          <w:lang w:val="en-IN"/>
        </w:rPr>
      </w:pPr>
      <w:r w:rsidRPr="00E561A4">
        <w:rPr>
          <w:b/>
          <w:bCs/>
          <w:lang w:val="en-IN"/>
        </w:rPr>
        <w:t xml:space="preserve">Failure notifications: </w:t>
      </w:r>
      <w:r w:rsidRPr="00E561A4">
        <w:rPr>
          <w:lang w:val="en-IN"/>
        </w:rPr>
        <w:t xml:space="preserve">a failed Glue job run shifts a custom </w:t>
      </w:r>
      <w:proofErr w:type="spellStart"/>
      <w:r w:rsidRPr="00E561A4">
        <w:rPr>
          <w:lang w:val="en-IN"/>
        </w:rPr>
        <w:t>EventBridge</w:t>
      </w:r>
      <w:proofErr w:type="spellEnd"/>
      <w:r w:rsidRPr="00E561A4">
        <w:rPr>
          <w:lang w:val="en-IN"/>
        </w:rPr>
        <w:t xml:space="preserve"> rule to publish a critical payload to an SNS topic; a failed Databricks task fires a job-level alert webhook to an external paging target.</w:t>
      </w:r>
    </w:p>
    <w:p w14:paraId="22BFF572" w14:textId="77777777" w:rsidR="00E561A4" w:rsidRPr="00E561A4" w:rsidRDefault="00E561A4" w:rsidP="00E561A4">
      <w:pPr>
        <w:numPr>
          <w:ilvl w:val="0"/>
          <w:numId w:val="12"/>
        </w:numPr>
        <w:spacing w:before="600"/>
        <w:jc w:val="center"/>
        <w:rPr>
          <w:lang w:val="en-IN"/>
        </w:rPr>
      </w:pPr>
      <w:r w:rsidRPr="00E561A4">
        <w:rPr>
          <w:b/>
          <w:bCs/>
          <w:lang w:val="en-IN"/>
        </w:rPr>
        <w:t xml:space="preserve">Operational KPI — data freshness: </w:t>
      </w:r>
      <w:r w:rsidRPr="00E561A4">
        <w:rPr>
          <w:lang w:val="en-IN"/>
        </w:rPr>
        <w:t xml:space="preserve">the primary metric. SLA target: Gold-layer aggregates resolve within 30 minutes of the source wearable event. Tracked as the gap between </w:t>
      </w:r>
      <w:proofErr w:type="spellStart"/>
      <w:r w:rsidRPr="00E561A4">
        <w:rPr>
          <w:lang w:val="en-IN"/>
        </w:rPr>
        <w:t>wearable_</w:t>
      </w:r>
      <w:proofErr w:type="gramStart"/>
      <w:r w:rsidRPr="00E561A4">
        <w:rPr>
          <w:lang w:val="en-IN"/>
        </w:rPr>
        <w:t>event.timestamp</w:t>
      </w:r>
      <w:proofErr w:type="spellEnd"/>
      <w:proofErr w:type="gramEnd"/>
      <w:r w:rsidRPr="00E561A4">
        <w:rPr>
          <w:lang w:val="en-IN"/>
        </w:rPr>
        <w:t xml:space="preserve"> and the final gold table's </w:t>
      </w:r>
      <w:proofErr w:type="spellStart"/>
      <w:r w:rsidRPr="00E561A4">
        <w:rPr>
          <w:lang w:val="en-IN"/>
        </w:rPr>
        <w:t>load_timestamp</w:t>
      </w:r>
      <w:proofErr w:type="spellEnd"/>
      <w:r w:rsidRPr="00E561A4">
        <w:rPr>
          <w:lang w:val="en-IN"/>
        </w:rPr>
        <w:t>; a breach past 30 minutes raises an automated SLA warning, not just a logged exception.</w:t>
      </w:r>
    </w:p>
    <w:p w14:paraId="3937C937" w14:textId="77777777" w:rsidR="00E561A4" w:rsidRPr="00E561A4" w:rsidRDefault="00E561A4" w:rsidP="00E561A4">
      <w:pPr>
        <w:spacing w:before="600"/>
        <w:jc w:val="center"/>
        <w:rPr>
          <w:b/>
          <w:bCs/>
          <w:lang w:val="en-IN"/>
        </w:rPr>
      </w:pPr>
      <w:r w:rsidRPr="00E561A4">
        <w:rPr>
          <w:b/>
          <w:bCs/>
          <w:lang w:val="en-IN"/>
        </w:rPr>
        <w:t>11. CI/CD &amp; Deployment Framework</w:t>
      </w:r>
    </w:p>
    <w:p w14:paraId="2C2F22AA" w14:textId="77777777" w:rsidR="00E561A4" w:rsidRPr="00E561A4" w:rsidRDefault="00E561A4" w:rsidP="00E561A4">
      <w:pPr>
        <w:spacing w:before="600"/>
        <w:jc w:val="center"/>
        <w:rPr>
          <w:lang w:val="en-IN"/>
        </w:rPr>
      </w:pPr>
      <w:r w:rsidRPr="00E561A4">
        <w:rPr>
          <w:lang w:val="en-IN"/>
        </w:rPr>
        <w:t>Code and infrastructure changes follow an automated deployment pattern at every layer, so that environment isolation is enforced by the pipeline itself, not by developer discipline alone.</w:t>
      </w:r>
    </w:p>
    <w:p w14:paraId="2751ABE0" w14:textId="77777777" w:rsidR="00E561A4" w:rsidRPr="00E561A4" w:rsidRDefault="00E561A4" w:rsidP="00E561A4">
      <w:pPr>
        <w:spacing w:before="600"/>
        <w:jc w:val="center"/>
        <w:rPr>
          <w:b/>
          <w:bCs/>
          <w:lang w:val="en-IN"/>
        </w:rPr>
      </w:pPr>
      <w:r w:rsidRPr="00E561A4">
        <w:rPr>
          <w:b/>
          <w:bCs/>
          <w:lang w:val="en-IN"/>
        </w:rPr>
        <w:lastRenderedPageBreak/>
        <w:t>11.1 Current development workflow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61A4" w:rsidRPr="00E561A4" w14:paraId="369CAA94" w14:textId="77777777">
        <w:tc>
          <w:tcPr>
            <w:tcW w:w="9360" w:type="dxa"/>
            <w:tcBorders>
              <w:top w:val="nil"/>
              <w:left w:val="nil"/>
              <w:bottom w:val="nil"/>
              <w:right w:val="nil"/>
            </w:tcBorders>
            <w:shd w:val="clear" w:color="auto" w:fill="1F2430"/>
            <w:tcMar>
              <w:top w:w="160" w:type="dxa"/>
              <w:left w:w="200" w:type="dxa"/>
              <w:bottom w:w="160" w:type="dxa"/>
              <w:right w:w="200" w:type="dxa"/>
            </w:tcMar>
            <w:hideMark/>
          </w:tcPr>
          <w:p w14:paraId="033B7B3B" w14:textId="77777777" w:rsidR="00E561A4" w:rsidRPr="00E561A4" w:rsidRDefault="00E561A4" w:rsidP="00E561A4">
            <w:pPr>
              <w:spacing w:before="600"/>
              <w:jc w:val="center"/>
              <w:rPr>
                <w:lang w:val="en-IN"/>
              </w:rPr>
            </w:pPr>
            <w:r w:rsidRPr="00E561A4">
              <w:rPr>
                <w:lang w:val="en-IN"/>
              </w:rPr>
              <w:t xml:space="preserve">[ Local Feature </w:t>
            </w:r>
            <w:proofErr w:type="gramStart"/>
            <w:r w:rsidRPr="00E561A4">
              <w:rPr>
                <w:lang w:val="en-IN"/>
              </w:rPr>
              <w:t>Branch ]</w:t>
            </w:r>
            <w:proofErr w:type="gramEnd"/>
            <w:r w:rsidRPr="00E561A4">
              <w:rPr>
                <w:lang w:val="en-IN"/>
              </w:rPr>
              <w:t xml:space="preserve"> --&gt; [ PR target: </w:t>
            </w:r>
            <w:proofErr w:type="gramStart"/>
            <w:r w:rsidRPr="00E561A4">
              <w:rPr>
                <w:lang w:val="en-IN"/>
              </w:rPr>
              <w:t>main ]</w:t>
            </w:r>
            <w:proofErr w:type="gramEnd"/>
            <w:r w:rsidRPr="00E561A4">
              <w:rPr>
                <w:lang w:val="en-IN"/>
              </w:rPr>
              <w:t xml:space="preserve"> --&gt; [ GitHub Actions / Jenkins </w:t>
            </w:r>
            <w:proofErr w:type="gramStart"/>
            <w:r w:rsidRPr="00E561A4">
              <w:rPr>
                <w:lang w:val="en-IN"/>
              </w:rPr>
              <w:t>Runner ]</w:t>
            </w:r>
            <w:proofErr w:type="gramEnd"/>
          </w:p>
          <w:p w14:paraId="1BF34B85" w14:textId="77777777" w:rsidR="00E561A4" w:rsidRPr="00E561A4" w:rsidRDefault="00E561A4" w:rsidP="00E561A4">
            <w:pPr>
              <w:spacing w:before="600"/>
              <w:jc w:val="center"/>
              <w:rPr>
                <w:lang w:val="en-IN"/>
              </w:rPr>
            </w:pPr>
            <w:r w:rsidRPr="00E561A4">
              <w:rPr>
                <w:lang w:val="en-IN"/>
              </w:rPr>
              <w:t xml:space="preserve">                                                                |</w:t>
            </w:r>
          </w:p>
          <w:p w14:paraId="5FA4F2ED" w14:textId="77777777" w:rsidR="00E561A4" w:rsidRPr="00E561A4" w:rsidRDefault="00E561A4" w:rsidP="00E561A4">
            <w:pPr>
              <w:spacing w:before="600"/>
              <w:jc w:val="center"/>
              <w:rPr>
                <w:lang w:val="en-IN"/>
              </w:rPr>
            </w:pPr>
            <w:r w:rsidRPr="00E561A4">
              <w:rPr>
                <w:lang w:val="en-IN"/>
              </w:rPr>
              <w:t xml:space="preserve">                  +---------------------------------------------+--------------------------------------+</w:t>
            </w:r>
          </w:p>
          <w:p w14:paraId="5608551F" w14:textId="77777777" w:rsidR="00E561A4" w:rsidRPr="00E561A4" w:rsidRDefault="00E561A4" w:rsidP="00E561A4">
            <w:pPr>
              <w:spacing w:before="600"/>
              <w:jc w:val="center"/>
              <w:rPr>
                <w:lang w:val="en-IN"/>
              </w:rPr>
            </w:pPr>
            <w:r w:rsidRPr="00E561A4">
              <w:rPr>
                <w:lang w:val="en-IN"/>
              </w:rPr>
              <w:t xml:space="preserve">                  v                                                                                    </w:t>
            </w:r>
            <w:proofErr w:type="spellStart"/>
            <w:r w:rsidRPr="00E561A4">
              <w:rPr>
                <w:lang w:val="en-IN"/>
              </w:rPr>
              <w:t>v</w:t>
            </w:r>
            <w:proofErr w:type="spellEnd"/>
          </w:p>
          <w:p w14:paraId="18B67D1A" w14:textId="77777777" w:rsidR="00E561A4" w:rsidRPr="00E561A4" w:rsidRDefault="00E561A4" w:rsidP="00E561A4">
            <w:pPr>
              <w:spacing w:before="600"/>
              <w:jc w:val="center"/>
              <w:rPr>
                <w:lang w:val="en-IN"/>
              </w:rPr>
            </w:pPr>
            <w:r w:rsidRPr="00E561A4">
              <w:rPr>
                <w:lang w:val="en-IN"/>
              </w:rPr>
              <w:t xml:space="preserve">      [ Environment 1: </w:t>
            </w:r>
            <w:proofErr w:type="gramStart"/>
            <w:r w:rsidRPr="00E561A4">
              <w:rPr>
                <w:lang w:val="en-IN"/>
              </w:rPr>
              <w:t>Dev ]</w:t>
            </w:r>
            <w:proofErr w:type="gramEnd"/>
            <w:r w:rsidRPr="00E561A4">
              <w:rPr>
                <w:lang w:val="en-IN"/>
              </w:rPr>
              <w:t xml:space="preserve">                                               </w:t>
            </w:r>
            <w:proofErr w:type="gramStart"/>
            <w:r w:rsidRPr="00E561A4">
              <w:rPr>
                <w:lang w:val="en-IN"/>
              </w:rPr>
              <w:t xml:space="preserve">   [</w:t>
            </w:r>
            <w:proofErr w:type="gramEnd"/>
            <w:r w:rsidRPr="00E561A4">
              <w:rPr>
                <w:lang w:val="en-IN"/>
              </w:rPr>
              <w:t xml:space="preserve"> Environment 2: QA / </w:t>
            </w:r>
            <w:proofErr w:type="gramStart"/>
            <w:r w:rsidRPr="00E561A4">
              <w:rPr>
                <w:lang w:val="en-IN"/>
              </w:rPr>
              <w:t>Staging ]</w:t>
            </w:r>
            <w:proofErr w:type="gramEnd"/>
          </w:p>
          <w:p w14:paraId="2BEA0512" w14:textId="77777777" w:rsidR="00E561A4" w:rsidRPr="00E561A4" w:rsidRDefault="00E561A4" w:rsidP="00E561A4">
            <w:pPr>
              <w:spacing w:before="600"/>
              <w:jc w:val="center"/>
              <w:rPr>
                <w:lang w:val="en-IN"/>
              </w:rPr>
            </w:pPr>
            <w:r w:rsidRPr="00E561A4">
              <w:rPr>
                <w:lang w:val="en-IN"/>
              </w:rPr>
              <w:t xml:space="preserve">        - Automatic Terraform deploy                                            - Synthetic data validation runs</w:t>
            </w:r>
          </w:p>
          <w:p w14:paraId="4BD146F9" w14:textId="77777777" w:rsidR="00E561A4" w:rsidRPr="00E561A4" w:rsidRDefault="00E561A4" w:rsidP="00E561A4">
            <w:pPr>
              <w:spacing w:before="600"/>
              <w:jc w:val="center"/>
              <w:rPr>
                <w:lang w:val="en-IN"/>
              </w:rPr>
            </w:pPr>
            <w:r w:rsidRPr="00E561A4">
              <w:rPr>
                <w:lang w:val="en-IN"/>
              </w:rPr>
              <w:t xml:space="preserve">        - Target: sandbox databases                                             - Quarantine threshold verification</w:t>
            </w:r>
          </w:p>
        </w:tc>
      </w:tr>
    </w:tbl>
    <w:p w14:paraId="3348CDBA" w14:textId="77777777" w:rsidR="00E561A4" w:rsidRPr="00E561A4" w:rsidRDefault="00E561A4" w:rsidP="00E561A4">
      <w:pPr>
        <w:numPr>
          <w:ilvl w:val="0"/>
          <w:numId w:val="12"/>
        </w:numPr>
        <w:spacing w:before="600"/>
        <w:jc w:val="center"/>
        <w:rPr>
          <w:lang w:val="en-IN"/>
        </w:rPr>
      </w:pPr>
      <w:r w:rsidRPr="00E561A4">
        <w:rPr>
          <w:b/>
          <w:bCs/>
          <w:lang w:val="en-IN"/>
        </w:rPr>
        <w:t xml:space="preserve">Git strategy &amp; branching: </w:t>
      </w:r>
      <w:r w:rsidRPr="00E561A4">
        <w:rPr>
          <w:lang w:val="en-IN"/>
        </w:rPr>
        <w:t>short-lived feature branches off main (e.g. feature/add-</w:t>
      </w:r>
      <w:proofErr w:type="spellStart"/>
      <w:r w:rsidRPr="00E561A4">
        <w:rPr>
          <w:lang w:val="en-IN"/>
        </w:rPr>
        <w:t>garmin</w:t>
      </w:r>
      <w:proofErr w:type="spellEnd"/>
      <w:r w:rsidRPr="00E561A4">
        <w:rPr>
          <w:lang w:val="en-IN"/>
        </w:rPr>
        <w:t>-</w:t>
      </w:r>
      <w:proofErr w:type="spellStart"/>
      <w:r w:rsidRPr="00E561A4">
        <w:rPr>
          <w:lang w:val="en-IN"/>
        </w:rPr>
        <w:t>api</w:t>
      </w:r>
      <w:proofErr w:type="spellEnd"/>
      <w:r w:rsidRPr="00E561A4">
        <w:rPr>
          <w:lang w:val="en-IN"/>
        </w:rPr>
        <w:t>); direct pushes to main are permanently blocked.</w:t>
      </w:r>
    </w:p>
    <w:p w14:paraId="0B0929DF" w14:textId="77777777" w:rsidR="00E561A4" w:rsidRPr="00E561A4" w:rsidRDefault="00E561A4" w:rsidP="00E561A4">
      <w:pPr>
        <w:numPr>
          <w:ilvl w:val="0"/>
          <w:numId w:val="12"/>
        </w:numPr>
        <w:spacing w:before="600"/>
        <w:jc w:val="center"/>
        <w:rPr>
          <w:lang w:val="en-IN"/>
        </w:rPr>
      </w:pPr>
      <w:r w:rsidRPr="00E561A4">
        <w:rPr>
          <w:b/>
          <w:bCs/>
          <w:lang w:val="en-IN"/>
        </w:rPr>
        <w:t xml:space="preserve">Testing gates: </w:t>
      </w:r>
      <w:r w:rsidRPr="00E561A4">
        <w:rPr>
          <w:lang w:val="en-IN"/>
        </w:rPr>
        <w:t xml:space="preserve">every PR triggers an automated runner — lint, </w:t>
      </w:r>
      <w:proofErr w:type="spellStart"/>
      <w:r w:rsidRPr="00E561A4">
        <w:rPr>
          <w:lang w:val="en-IN"/>
        </w:rPr>
        <w:t>PySpark</w:t>
      </w:r>
      <w:proofErr w:type="spellEnd"/>
      <w:r w:rsidRPr="00E561A4">
        <w:rPr>
          <w:lang w:val="en-IN"/>
        </w:rPr>
        <w:t xml:space="preserve"> syntax checks against mock environments, </w:t>
      </w:r>
      <w:proofErr w:type="spellStart"/>
      <w:r w:rsidRPr="00E561A4">
        <w:rPr>
          <w:lang w:val="en-IN"/>
        </w:rPr>
        <w:t>dbt</w:t>
      </w:r>
      <w:proofErr w:type="spellEnd"/>
      <w:r w:rsidRPr="00E561A4">
        <w:rPr>
          <w:lang w:val="en-IN"/>
        </w:rPr>
        <w:t xml:space="preserve"> compilation checks against test schemas — before merge is even possible.</w:t>
      </w:r>
    </w:p>
    <w:p w14:paraId="7998068E" w14:textId="77777777" w:rsidR="00E561A4" w:rsidRPr="00E561A4" w:rsidRDefault="00E561A4" w:rsidP="00E561A4">
      <w:pPr>
        <w:spacing w:before="600"/>
        <w:jc w:val="center"/>
        <w:rPr>
          <w:b/>
          <w:bCs/>
          <w:lang w:val="en-IN"/>
        </w:rPr>
      </w:pPr>
      <w:r w:rsidRPr="00E561A4">
        <w:rPr>
          <w:b/>
          <w:bCs/>
          <w:lang w:val="en-IN"/>
        </w:rPr>
        <w:t>11.2 Infrastructure as Code &amp; continuous deployment</w:t>
      </w:r>
    </w:p>
    <w:p w14:paraId="58407EC7" w14:textId="77777777" w:rsidR="00E561A4" w:rsidRPr="00E561A4" w:rsidRDefault="00E561A4" w:rsidP="00E561A4">
      <w:pPr>
        <w:numPr>
          <w:ilvl w:val="0"/>
          <w:numId w:val="12"/>
        </w:numPr>
        <w:spacing w:before="600"/>
        <w:jc w:val="center"/>
        <w:rPr>
          <w:lang w:val="en-IN"/>
        </w:rPr>
      </w:pPr>
      <w:r w:rsidRPr="00E561A4">
        <w:rPr>
          <w:b/>
          <w:bCs/>
          <w:lang w:val="en-IN"/>
        </w:rPr>
        <w:t xml:space="preserve">Terraform: </w:t>
      </w:r>
      <w:r w:rsidRPr="00E561A4">
        <w:rPr>
          <w:lang w:val="en-IN"/>
        </w:rPr>
        <w:t>AWS resources — Kinesis streams, Lambda functions, IAM roles, S3 partitions, Redshift Serverless config — are fully declared and version-controlled, eliminating manual console drift.</w:t>
      </w:r>
    </w:p>
    <w:p w14:paraId="3D4C889C" w14:textId="77777777" w:rsidR="00E561A4" w:rsidRPr="00E561A4" w:rsidRDefault="00E561A4" w:rsidP="00E561A4">
      <w:pPr>
        <w:numPr>
          <w:ilvl w:val="0"/>
          <w:numId w:val="12"/>
        </w:numPr>
        <w:spacing w:before="600"/>
        <w:jc w:val="center"/>
        <w:rPr>
          <w:lang w:val="en-IN"/>
        </w:rPr>
      </w:pPr>
      <w:r w:rsidRPr="00E561A4">
        <w:rPr>
          <w:b/>
          <w:bCs/>
          <w:lang w:val="en-IN"/>
        </w:rPr>
        <w:lastRenderedPageBreak/>
        <w:t xml:space="preserve">Databricks Asset Bundles (DABs): </w:t>
      </w:r>
      <w:r w:rsidRPr="00E561A4">
        <w:rPr>
          <w:lang w:val="en-IN"/>
        </w:rPr>
        <w:t xml:space="preserve">notebooks, Workflow task hierarchies, Unity </w:t>
      </w:r>
      <w:proofErr w:type="spellStart"/>
      <w:r w:rsidRPr="00E561A4">
        <w:rPr>
          <w:lang w:val="en-IN"/>
        </w:rPr>
        <w:t>Catalog</w:t>
      </w:r>
      <w:proofErr w:type="spellEnd"/>
      <w:r w:rsidRPr="00E561A4">
        <w:rPr>
          <w:lang w:val="en-IN"/>
        </w:rPr>
        <w:t xml:space="preserve"> schemas, and Volumes are packaged as versioned configuration assets alongside the code that depends on them.</w:t>
      </w:r>
    </w:p>
    <w:p w14:paraId="3C21AD3A" w14:textId="77777777" w:rsidR="00E561A4" w:rsidRPr="00E561A4" w:rsidRDefault="00E561A4" w:rsidP="00E561A4">
      <w:pPr>
        <w:spacing w:before="600"/>
        <w:jc w:val="center"/>
        <w:rPr>
          <w:b/>
          <w:bCs/>
          <w:lang w:val="en-IN"/>
        </w:rPr>
      </w:pPr>
      <w:r w:rsidRPr="00E561A4">
        <w:rPr>
          <w:b/>
          <w:bCs/>
          <w:lang w:val="en-IN"/>
        </w:rPr>
        <w:t xml:space="preserve">11.3 </w:t>
      </w:r>
      <w:proofErr w:type="gramStart"/>
      <w:r w:rsidRPr="00E561A4">
        <w:rPr>
          <w:b/>
          <w:bCs/>
          <w:lang w:val="en-IN"/>
        </w:rPr>
        <w:t>Multi-stage</w:t>
      </w:r>
      <w:proofErr w:type="gramEnd"/>
      <w:r w:rsidRPr="00E561A4">
        <w:rPr>
          <w:b/>
          <w:bCs/>
          <w:lang w:val="en-IN"/>
        </w:rPr>
        <w:t xml:space="preserve"> promotion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561A4" w:rsidRPr="00E561A4" w14:paraId="37658D28" w14:textId="77777777">
        <w:trPr>
          <w:tblHeader/>
        </w:trPr>
        <w:tc>
          <w:tcPr>
            <w:tcW w:w="2200" w:type="dxa"/>
            <w:tcBorders>
              <w:top w:val="single" w:sz="2" w:space="0" w:color="B9C6D9"/>
              <w:left w:val="single" w:sz="2" w:space="0" w:color="B9C6D9"/>
              <w:bottom w:val="single" w:sz="2" w:space="0" w:color="B9C6D9"/>
              <w:right w:val="single" w:sz="2" w:space="0" w:color="B9C6D9"/>
            </w:tcBorders>
            <w:shd w:val="clear" w:color="auto" w:fill="1F3864"/>
            <w:tcMar>
              <w:top w:w="80" w:type="dxa"/>
              <w:left w:w="110" w:type="dxa"/>
              <w:bottom w:w="80" w:type="dxa"/>
              <w:right w:w="110" w:type="dxa"/>
            </w:tcMar>
            <w:vAlign w:val="center"/>
            <w:hideMark/>
          </w:tcPr>
          <w:p w14:paraId="72FF5AC4" w14:textId="77777777" w:rsidR="00E561A4" w:rsidRPr="00E561A4" w:rsidRDefault="00E561A4" w:rsidP="00E561A4">
            <w:pPr>
              <w:spacing w:before="600"/>
              <w:jc w:val="center"/>
              <w:rPr>
                <w:lang w:val="en-IN"/>
              </w:rPr>
            </w:pPr>
            <w:r w:rsidRPr="00E561A4">
              <w:rPr>
                <w:b/>
                <w:bCs/>
                <w:lang w:val="en-IN"/>
              </w:rPr>
              <w:t>Environment</w:t>
            </w:r>
          </w:p>
        </w:tc>
        <w:tc>
          <w:tcPr>
            <w:tcW w:w="7160" w:type="dxa"/>
            <w:tcBorders>
              <w:top w:val="single" w:sz="2" w:space="0" w:color="B9C6D9"/>
              <w:left w:val="single" w:sz="2" w:space="0" w:color="B9C6D9"/>
              <w:bottom w:val="single" w:sz="2" w:space="0" w:color="B9C6D9"/>
              <w:right w:val="single" w:sz="2" w:space="0" w:color="B9C6D9"/>
            </w:tcBorders>
            <w:shd w:val="clear" w:color="auto" w:fill="1F3864"/>
            <w:tcMar>
              <w:top w:w="80" w:type="dxa"/>
              <w:left w:w="110" w:type="dxa"/>
              <w:bottom w:w="80" w:type="dxa"/>
              <w:right w:w="110" w:type="dxa"/>
            </w:tcMar>
            <w:vAlign w:val="center"/>
            <w:hideMark/>
          </w:tcPr>
          <w:p w14:paraId="494A0318" w14:textId="77777777" w:rsidR="00E561A4" w:rsidRPr="00E561A4" w:rsidRDefault="00E561A4" w:rsidP="00E561A4">
            <w:pPr>
              <w:spacing w:before="600"/>
              <w:jc w:val="center"/>
              <w:rPr>
                <w:lang w:val="en-IN"/>
              </w:rPr>
            </w:pPr>
            <w:r w:rsidRPr="00E561A4">
              <w:rPr>
                <w:b/>
                <w:bCs/>
                <w:lang w:val="en-IN"/>
              </w:rPr>
              <w:t>Role</w:t>
            </w:r>
          </w:p>
        </w:tc>
      </w:tr>
      <w:tr w:rsidR="00E561A4" w:rsidRPr="00E561A4" w14:paraId="71CCAD20" w14:textId="77777777">
        <w:tc>
          <w:tcPr>
            <w:tcW w:w="2200" w:type="dxa"/>
            <w:tcBorders>
              <w:top w:val="single" w:sz="2" w:space="0" w:color="B9C6D9"/>
              <w:left w:val="single" w:sz="2" w:space="0" w:color="B9C6D9"/>
              <w:bottom w:val="single" w:sz="2" w:space="0" w:color="B9C6D9"/>
              <w:right w:val="single" w:sz="2" w:space="0" w:color="B9C6D9"/>
            </w:tcBorders>
            <w:tcMar>
              <w:top w:w="80" w:type="dxa"/>
              <w:left w:w="110" w:type="dxa"/>
              <w:bottom w:w="80" w:type="dxa"/>
              <w:right w:w="110" w:type="dxa"/>
            </w:tcMar>
            <w:vAlign w:val="center"/>
            <w:hideMark/>
          </w:tcPr>
          <w:p w14:paraId="4DE4FE6A" w14:textId="77777777" w:rsidR="00E561A4" w:rsidRPr="00E561A4" w:rsidRDefault="00E561A4" w:rsidP="00E561A4">
            <w:pPr>
              <w:spacing w:before="600"/>
              <w:jc w:val="center"/>
              <w:rPr>
                <w:lang w:val="en-IN"/>
              </w:rPr>
            </w:pPr>
            <w:r w:rsidRPr="00E561A4">
              <w:rPr>
                <w:lang w:val="en-IN"/>
              </w:rPr>
              <w:t>Development (Dev)</w:t>
            </w:r>
          </w:p>
        </w:tc>
        <w:tc>
          <w:tcPr>
            <w:tcW w:w="7160" w:type="dxa"/>
            <w:tcBorders>
              <w:top w:val="single" w:sz="2" w:space="0" w:color="B9C6D9"/>
              <w:left w:val="single" w:sz="2" w:space="0" w:color="B9C6D9"/>
              <w:bottom w:val="single" w:sz="2" w:space="0" w:color="B9C6D9"/>
              <w:right w:val="single" w:sz="2" w:space="0" w:color="B9C6D9"/>
            </w:tcBorders>
            <w:tcMar>
              <w:top w:w="80" w:type="dxa"/>
              <w:left w:w="110" w:type="dxa"/>
              <w:bottom w:w="80" w:type="dxa"/>
              <w:right w:w="110" w:type="dxa"/>
            </w:tcMar>
            <w:hideMark/>
          </w:tcPr>
          <w:p w14:paraId="6500FBE7" w14:textId="77777777" w:rsidR="00E561A4" w:rsidRPr="00E561A4" w:rsidRDefault="00E561A4" w:rsidP="00E561A4">
            <w:pPr>
              <w:spacing w:before="600"/>
              <w:jc w:val="center"/>
              <w:rPr>
                <w:lang w:val="en-IN"/>
              </w:rPr>
            </w:pPr>
            <w:r w:rsidRPr="00E561A4">
              <w:rPr>
                <w:lang w:val="en-IN"/>
              </w:rPr>
              <w:t>Un-throttled playground — manual exploratory notebook runs against limited synthetic mock data, used purely to verify transformation logic.</w:t>
            </w:r>
          </w:p>
        </w:tc>
      </w:tr>
      <w:tr w:rsidR="00E561A4" w:rsidRPr="00E561A4" w14:paraId="13B38E80" w14:textId="77777777">
        <w:tc>
          <w:tcPr>
            <w:tcW w:w="2200" w:type="dxa"/>
            <w:tcBorders>
              <w:top w:val="single" w:sz="2" w:space="0" w:color="B9C6D9"/>
              <w:left w:val="single" w:sz="2" w:space="0" w:color="B9C6D9"/>
              <w:bottom w:val="single" w:sz="2" w:space="0" w:color="B9C6D9"/>
              <w:right w:val="single" w:sz="2" w:space="0" w:color="B9C6D9"/>
            </w:tcBorders>
            <w:shd w:val="clear" w:color="auto" w:fill="EEF3FA"/>
            <w:tcMar>
              <w:top w:w="80" w:type="dxa"/>
              <w:left w:w="110" w:type="dxa"/>
              <w:bottom w:w="80" w:type="dxa"/>
              <w:right w:w="110" w:type="dxa"/>
            </w:tcMar>
            <w:vAlign w:val="center"/>
            <w:hideMark/>
          </w:tcPr>
          <w:p w14:paraId="541A8728" w14:textId="77777777" w:rsidR="00E561A4" w:rsidRPr="00E561A4" w:rsidRDefault="00E561A4" w:rsidP="00E561A4">
            <w:pPr>
              <w:spacing w:before="600"/>
              <w:jc w:val="center"/>
              <w:rPr>
                <w:lang w:val="en-IN"/>
              </w:rPr>
            </w:pPr>
            <w:r w:rsidRPr="00E561A4">
              <w:rPr>
                <w:lang w:val="en-IN"/>
              </w:rPr>
              <w:t>Quality Assurance (QA)</w:t>
            </w:r>
          </w:p>
        </w:tc>
        <w:tc>
          <w:tcPr>
            <w:tcW w:w="7160" w:type="dxa"/>
            <w:tcBorders>
              <w:top w:val="single" w:sz="2" w:space="0" w:color="B9C6D9"/>
              <w:left w:val="single" w:sz="2" w:space="0" w:color="B9C6D9"/>
              <w:bottom w:val="single" w:sz="2" w:space="0" w:color="B9C6D9"/>
              <w:right w:val="single" w:sz="2" w:space="0" w:color="B9C6D9"/>
            </w:tcBorders>
            <w:shd w:val="clear" w:color="auto" w:fill="EEF3FA"/>
            <w:tcMar>
              <w:top w:w="80" w:type="dxa"/>
              <w:left w:w="110" w:type="dxa"/>
              <w:bottom w:w="80" w:type="dxa"/>
              <w:right w:w="110" w:type="dxa"/>
            </w:tcMar>
            <w:hideMark/>
          </w:tcPr>
          <w:p w14:paraId="18BFDDFA" w14:textId="77777777" w:rsidR="00E561A4" w:rsidRPr="00E561A4" w:rsidRDefault="00E561A4" w:rsidP="00E561A4">
            <w:pPr>
              <w:spacing w:before="600"/>
              <w:jc w:val="center"/>
              <w:rPr>
                <w:lang w:val="en-IN"/>
              </w:rPr>
            </w:pPr>
            <w:r w:rsidRPr="00E561A4">
              <w:rPr>
                <w:lang w:val="en-IN"/>
              </w:rPr>
              <w:t>Automated staging layer — CI/CD deploys via non-administrative service accounts, runs full end-to-end integration tests, and verifies the intentional 5% bad-data injection routes correctly into quarantine.</w:t>
            </w:r>
          </w:p>
        </w:tc>
      </w:tr>
      <w:tr w:rsidR="00E561A4" w:rsidRPr="00E561A4" w14:paraId="2F9B95B1" w14:textId="77777777">
        <w:tc>
          <w:tcPr>
            <w:tcW w:w="2200" w:type="dxa"/>
            <w:tcBorders>
              <w:top w:val="single" w:sz="2" w:space="0" w:color="B9C6D9"/>
              <w:left w:val="single" w:sz="2" w:space="0" w:color="B9C6D9"/>
              <w:bottom w:val="single" w:sz="2" w:space="0" w:color="B9C6D9"/>
              <w:right w:val="single" w:sz="2" w:space="0" w:color="B9C6D9"/>
            </w:tcBorders>
            <w:tcMar>
              <w:top w:w="80" w:type="dxa"/>
              <w:left w:w="110" w:type="dxa"/>
              <w:bottom w:w="80" w:type="dxa"/>
              <w:right w:w="110" w:type="dxa"/>
            </w:tcMar>
            <w:vAlign w:val="center"/>
            <w:hideMark/>
          </w:tcPr>
          <w:p w14:paraId="6A6E6D55" w14:textId="77777777" w:rsidR="00E561A4" w:rsidRPr="00E561A4" w:rsidRDefault="00E561A4" w:rsidP="00E561A4">
            <w:pPr>
              <w:spacing w:before="600"/>
              <w:jc w:val="center"/>
              <w:rPr>
                <w:lang w:val="en-IN"/>
              </w:rPr>
            </w:pPr>
            <w:r w:rsidRPr="00E561A4">
              <w:rPr>
                <w:lang w:val="en-IN"/>
              </w:rPr>
              <w:t>Production (Prod)</w:t>
            </w:r>
          </w:p>
        </w:tc>
        <w:tc>
          <w:tcPr>
            <w:tcW w:w="7160" w:type="dxa"/>
            <w:tcBorders>
              <w:top w:val="single" w:sz="2" w:space="0" w:color="B9C6D9"/>
              <w:left w:val="single" w:sz="2" w:space="0" w:color="B9C6D9"/>
              <w:bottom w:val="single" w:sz="2" w:space="0" w:color="B9C6D9"/>
              <w:right w:val="single" w:sz="2" w:space="0" w:color="B9C6D9"/>
            </w:tcBorders>
            <w:tcMar>
              <w:top w:w="80" w:type="dxa"/>
              <w:left w:w="110" w:type="dxa"/>
              <w:bottom w:w="80" w:type="dxa"/>
              <w:right w:w="110" w:type="dxa"/>
            </w:tcMar>
            <w:hideMark/>
          </w:tcPr>
          <w:p w14:paraId="296555DC" w14:textId="77777777" w:rsidR="00E561A4" w:rsidRPr="00E561A4" w:rsidRDefault="00E561A4" w:rsidP="00E561A4">
            <w:pPr>
              <w:spacing w:before="600"/>
              <w:jc w:val="center"/>
              <w:rPr>
                <w:lang w:val="en-IN"/>
              </w:rPr>
            </w:pPr>
            <w:r w:rsidRPr="00E561A4">
              <w:rPr>
                <w:lang w:val="en-IN"/>
              </w:rPr>
              <w:t>Fully locked environment — pipelines run on schedules or event triggers managed entirely by automated service principals. Human modification is restricted; all storage enforces strict encryption.</w:t>
            </w:r>
          </w:p>
        </w:tc>
      </w:tr>
    </w:tbl>
    <w:p w14:paraId="5DE72F97" w14:textId="77777777" w:rsidR="00E561A4" w:rsidRDefault="00E561A4" w:rsidP="00E561A4">
      <w:pPr>
        <w:spacing w:before="600"/>
        <w:jc w:val="center"/>
        <w:rPr>
          <w:b/>
          <w:bCs/>
          <w:lang w:val="en-IN"/>
        </w:rPr>
      </w:pPr>
    </w:p>
    <w:p w14:paraId="378572FF" w14:textId="77777777" w:rsidR="00E561A4" w:rsidRDefault="00E561A4" w:rsidP="00E561A4">
      <w:pPr>
        <w:spacing w:before="600"/>
        <w:jc w:val="center"/>
        <w:rPr>
          <w:b/>
          <w:bCs/>
          <w:lang w:val="en-IN"/>
        </w:rPr>
      </w:pPr>
    </w:p>
    <w:p w14:paraId="7ECA66B0" w14:textId="0919A2C1" w:rsidR="00E561A4" w:rsidRPr="00E561A4" w:rsidRDefault="00E561A4" w:rsidP="00E561A4">
      <w:pPr>
        <w:spacing w:before="600"/>
        <w:jc w:val="center"/>
        <w:rPr>
          <w:b/>
          <w:bCs/>
          <w:lang w:val="en-IN"/>
        </w:rPr>
      </w:pPr>
      <w:r w:rsidRPr="00E561A4">
        <w:rPr>
          <w:b/>
          <w:bCs/>
          <w:lang w:val="en-IN"/>
        </w:rPr>
        <w:t>12. Future Roadmap</w:t>
      </w:r>
    </w:p>
    <w:p w14:paraId="35D26167" w14:textId="77777777" w:rsidR="00E561A4" w:rsidRPr="00E561A4" w:rsidRDefault="00E561A4" w:rsidP="00E561A4">
      <w:pPr>
        <w:spacing w:before="600"/>
        <w:jc w:val="center"/>
        <w:rPr>
          <w:lang w:val="en-IN"/>
        </w:rPr>
      </w:pPr>
      <w:r w:rsidRPr="00E561A4">
        <w:rPr>
          <w:lang w:val="en-IN"/>
        </w:rPr>
        <w:t>The platform is designed to evolve across three sequential horizons, moving from the current batch-triggered build toward automated, low-latency, predictive analytics.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61A4" w:rsidRPr="00E561A4" w14:paraId="1ECC1CC4" w14:textId="77777777">
        <w:tc>
          <w:tcPr>
            <w:tcW w:w="9360" w:type="dxa"/>
            <w:tcBorders>
              <w:top w:val="nil"/>
              <w:left w:val="nil"/>
              <w:bottom w:val="nil"/>
              <w:right w:val="nil"/>
            </w:tcBorders>
            <w:shd w:val="clear" w:color="auto" w:fill="1F2430"/>
            <w:tcMar>
              <w:top w:w="160" w:type="dxa"/>
              <w:left w:w="200" w:type="dxa"/>
              <w:bottom w:w="160" w:type="dxa"/>
              <w:right w:w="200" w:type="dxa"/>
            </w:tcMar>
            <w:hideMark/>
          </w:tcPr>
          <w:p w14:paraId="62EF82CF" w14:textId="77777777" w:rsidR="00E561A4" w:rsidRPr="00E561A4" w:rsidRDefault="00E561A4" w:rsidP="00E561A4">
            <w:pPr>
              <w:spacing w:before="600"/>
              <w:jc w:val="center"/>
              <w:rPr>
                <w:lang w:val="en-IN"/>
              </w:rPr>
            </w:pPr>
            <w:r w:rsidRPr="00E561A4">
              <w:rPr>
                <w:lang w:val="en-IN"/>
              </w:rPr>
              <w:lastRenderedPageBreak/>
              <w:t>+-------------------------------+   +-------------------------------+   +-------------------------------+</w:t>
            </w:r>
          </w:p>
          <w:p w14:paraId="197A299A" w14:textId="77777777" w:rsidR="00E561A4" w:rsidRPr="00E561A4" w:rsidRDefault="00E561A4" w:rsidP="00E561A4">
            <w:pPr>
              <w:spacing w:before="600"/>
              <w:jc w:val="center"/>
              <w:rPr>
                <w:lang w:val="en-IN"/>
              </w:rPr>
            </w:pPr>
            <w:r w:rsidRPr="00E561A4">
              <w:rPr>
                <w:lang w:val="en-IN"/>
              </w:rPr>
              <w:t>|      Short Term (0-6</w:t>
            </w:r>
            <w:proofErr w:type="gramStart"/>
            <w:r w:rsidRPr="00E561A4">
              <w:rPr>
                <w:lang w:val="en-IN"/>
              </w:rPr>
              <w:t xml:space="preserve">mo)   </w:t>
            </w:r>
            <w:proofErr w:type="gramEnd"/>
            <w:r w:rsidRPr="00E561A4">
              <w:rPr>
                <w:lang w:val="en-IN"/>
              </w:rPr>
              <w:t xml:space="preserve">   |--&gt;|     Medium Term (6-18</w:t>
            </w:r>
            <w:proofErr w:type="gramStart"/>
            <w:r w:rsidRPr="00E561A4">
              <w:rPr>
                <w:lang w:val="en-IN"/>
              </w:rPr>
              <w:t xml:space="preserve">mo)   </w:t>
            </w:r>
            <w:proofErr w:type="gramEnd"/>
            <w:r w:rsidRPr="00E561A4">
              <w:rPr>
                <w:lang w:val="en-IN"/>
              </w:rPr>
              <w:t xml:space="preserve">   |--&gt;|      Long Term (18mo+)        |</w:t>
            </w:r>
          </w:p>
          <w:p w14:paraId="7E9AA9B8" w14:textId="77777777" w:rsidR="00E561A4" w:rsidRPr="00E561A4" w:rsidRDefault="00E561A4" w:rsidP="00E561A4">
            <w:pPr>
              <w:spacing w:before="600"/>
              <w:jc w:val="center"/>
              <w:rPr>
                <w:lang w:val="en-IN"/>
              </w:rPr>
            </w:pPr>
            <w:r w:rsidRPr="00E561A4">
              <w:rPr>
                <w:lang w:val="en-IN"/>
              </w:rPr>
              <w:t>+-------------------------------+   +-------------------------------+   +-------------------------------+</w:t>
            </w:r>
          </w:p>
          <w:p w14:paraId="0E6E0191" w14:textId="77777777" w:rsidR="00E561A4" w:rsidRPr="00E561A4" w:rsidRDefault="00E561A4" w:rsidP="00E561A4">
            <w:pPr>
              <w:spacing w:before="600"/>
              <w:jc w:val="center"/>
              <w:rPr>
                <w:lang w:val="en-IN"/>
              </w:rPr>
            </w:pPr>
            <w:r w:rsidRPr="00E561A4">
              <w:rPr>
                <w:lang w:val="en-IN"/>
              </w:rPr>
              <w:t xml:space="preserve">| - Production visual dashboards|   | - Real wearable API ingestion |   | - Predictive AI coach </w:t>
            </w:r>
            <w:proofErr w:type="gramStart"/>
            <w:r w:rsidRPr="00E561A4">
              <w:rPr>
                <w:lang w:val="en-IN"/>
              </w:rPr>
              <w:t>models  |</w:t>
            </w:r>
            <w:proofErr w:type="gramEnd"/>
          </w:p>
          <w:p w14:paraId="2D3EC5C2" w14:textId="77777777" w:rsidR="00E561A4" w:rsidRPr="00E561A4" w:rsidRDefault="00E561A4" w:rsidP="00E561A4">
            <w:pPr>
              <w:spacing w:before="600"/>
              <w:jc w:val="center"/>
              <w:rPr>
                <w:lang w:val="en-IN"/>
              </w:rPr>
            </w:pPr>
            <w:r w:rsidRPr="00E561A4">
              <w:rPr>
                <w:lang w:val="en-IN"/>
              </w:rPr>
              <w:t xml:space="preserve">| - Full </w:t>
            </w:r>
            <w:proofErr w:type="spellStart"/>
            <w:r w:rsidRPr="00E561A4">
              <w:rPr>
                <w:lang w:val="en-IN"/>
              </w:rPr>
              <w:t>dbt</w:t>
            </w:r>
            <w:proofErr w:type="spellEnd"/>
            <w:r w:rsidRPr="00E561A4">
              <w:rPr>
                <w:lang w:val="en-IN"/>
              </w:rPr>
              <w:t xml:space="preserve"> documentation      |   | - Real-time streaming backbone|   | - Real-time overtraining alert|</w:t>
            </w:r>
          </w:p>
          <w:p w14:paraId="5C357226" w14:textId="77777777" w:rsidR="00E561A4" w:rsidRPr="00E561A4" w:rsidRDefault="00E561A4" w:rsidP="00E561A4">
            <w:pPr>
              <w:spacing w:before="600"/>
              <w:jc w:val="center"/>
              <w:rPr>
                <w:lang w:val="en-IN"/>
              </w:rPr>
            </w:pPr>
            <w:r w:rsidRPr="00E561A4">
              <w:rPr>
                <w:lang w:val="en-IN"/>
              </w:rPr>
              <w:t>| - Complete Terraform coverage |   | - Containerized deployments   |   | - Vector DB / Lakehouse AI    |</w:t>
            </w:r>
          </w:p>
          <w:p w14:paraId="0969115F" w14:textId="77777777" w:rsidR="00E561A4" w:rsidRPr="00E561A4" w:rsidRDefault="00E561A4" w:rsidP="00E561A4">
            <w:pPr>
              <w:spacing w:before="600"/>
              <w:jc w:val="center"/>
              <w:rPr>
                <w:lang w:val="en-IN"/>
              </w:rPr>
            </w:pPr>
            <w:r w:rsidRPr="00E561A4">
              <w:rPr>
                <w:lang w:val="en-IN"/>
              </w:rPr>
              <w:t>+-------------------------------+   +-------------------------------+   +-------------------------------+</w:t>
            </w:r>
          </w:p>
        </w:tc>
      </w:tr>
    </w:tbl>
    <w:p w14:paraId="177847F9" w14:textId="77777777" w:rsidR="00E561A4" w:rsidRPr="00E561A4" w:rsidRDefault="00E561A4" w:rsidP="00E561A4">
      <w:pPr>
        <w:spacing w:before="600"/>
        <w:jc w:val="center"/>
        <w:rPr>
          <w:b/>
          <w:bCs/>
          <w:lang w:val="en-IN"/>
        </w:rPr>
      </w:pPr>
      <w:r w:rsidRPr="00E561A4">
        <w:rPr>
          <w:b/>
          <w:bCs/>
          <w:lang w:val="en-IN"/>
        </w:rPr>
        <w:t>12.1 Short-term objectives (0–6 months)</w:t>
      </w:r>
    </w:p>
    <w:p w14:paraId="7C6DDAD8" w14:textId="77777777" w:rsidR="00E561A4" w:rsidRPr="00E561A4" w:rsidRDefault="00E561A4" w:rsidP="00E561A4">
      <w:pPr>
        <w:numPr>
          <w:ilvl w:val="0"/>
          <w:numId w:val="12"/>
        </w:numPr>
        <w:spacing w:before="600"/>
        <w:jc w:val="center"/>
        <w:rPr>
          <w:lang w:val="en-IN"/>
        </w:rPr>
      </w:pPr>
      <w:r w:rsidRPr="00E561A4">
        <w:rPr>
          <w:b/>
          <w:bCs/>
          <w:lang w:val="en-IN"/>
        </w:rPr>
        <w:t xml:space="preserve">Production visual dashboards: </w:t>
      </w:r>
      <w:r w:rsidRPr="00E561A4">
        <w:rPr>
          <w:lang w:val="en-IN"/>
        </w:rPr>
        <w:t>Power BI, Tableau, or Databricks Lakeview connected directly to the Gold-layer tables for recovery trends, workout-consistency tracking, and community cohort performance — the same options reasoned through in the Master Handbook §4 ("Extended Architecture").</w:t>
      </w:r>
    </w:p>
    <w:p w14:paraId="1D7183F0" w14:textId="77777777" w:rsidR="00E561A4" w:rsidRPr="00E561A4" w:rsidRDefault="00E561A4" w:rsidP="00E561A4">
      <w:pPr>
        <w:numPr>
          <w:ilvl w:val="0"/>
          <w:numId w:val="12"/>
        </w:numPr>
        <w:spacing w:before="600"/>
        <w:jc w:val="center"/>
        <w:rPr>
          <w:lang w:val="en-IN"/>
        </w:rPr>
      </w:pPr>
      <w:r w:rsidRPr="00E561A4">
        <w:rPr>
          <w:b/>
          <w:bCs/>
          <w:lang w:val="en-IN"/>
        </w:rPr>
        <w:t xml:space="preserve">Complete infrastructure automation: </w:t>
      </w:r>
      <w:r w:rsidRPr="00E561A4">
        <w:rPr>
          <w:lang w:val="en-IN"/>
        </w:rPr>
        <w:t>fold any remaining manually-created cloud resources into Terraform so a clean environment can stand up with a single command.</w:t>
      </w:r>
    </w:p>
    <w:p w14:paraId="26DF3E38" w14:textId="77777777" w:rsidR="00E561A4" w:rsidRPr="00E561A4" w:rsidRDefault="00E561A4" w:rsidP="00E561A4">
      <w:pPr>
        <w:numPr>
          <w:ilvl w:val="0"/>
          <w:numId w:val="12"/>
        </w:numPr>
        <w:spacing w:before="600"/>
        <w:jc w:val="center"/>
        <w:rPr>
          <w:lang w:val="en-IN"/>
        </w:rPr>
      </w:pPr>
      <w:r w:rsidRPr="00E561A4">
        <w:rPr>
          <w:b/>
          <w:bCs/>
          <w:lang w:val="en-IN"/>
        </w:rPr>
        <w:t xml:space="preserve">Automated transformation documentation: </w:t>
      </w:r>
      <w:proofErr w:type="spellStart"/>
      <w:r w:rsidRPr="00E561A4">
        <w:rPr>
          <w:lang w:val="en-IN"/>
        </w:rPr>
        <w:t>dbt</w:t>
      </w:r>
      <w:proofErr w:type="spellEnd"/>
      <w:r w:rsidRPr="00E561A4">
        <w:rPr>
          <w:lang w:val="en-IN"/>
        </w:rPr>
        <w:t xml:space="preserve"> docs generate, with full interactive column-lineage maps and descriptions on every staging and mart model.</w:t>
      </w:r>
    </w:p>
    <w:p w14:paraId="5D62AE61" w14:textId="77777777" w:rsidR="00E561A4" w:rsidRPr="00E561A4" w:rsidRDefault="00E561A4" w:rsidP="00E561A4">
      <w:pPr>
        <w:spacing w:before="600"/>
        <w:jc w:val="center"/>
        <w:rPr>
          <w:b/>
          <w:bCs/>
          <w:lang w:val="en-IN"/>
        </w:rPr>
      </w:pPr>
      <w:r w:rsidRPr="00E561A4">
        <w:rPr>
          <w:b/>
          <w:bCs/>
          <w:lang w:val="en-IN"/>
        </w:rPr>
        <w:lastRenderedPageBreak/>
        <w:t>12.2 Medium-term objectives (6–18 months)</w:t>
      </w:r>
    </w:p>
    <w:p w14:paraId="2DC89662" w14:textId="77777777" w:rsidR="00E561A4" w:rsidRPr="00E561A4" w:rsidRDefault="00E561A4" w:rsidP="00E561A4">
      <w:pPr>
        <w:numPr>
          <w:ilvl w:val="0"/>
          <w:numId w:val="12"/>
        </w:numPr>
        <w:spacing w:before="600"/>
        <w:jc w:val="center"/>
        <w:rPr>
          <w:lang w:val="en-IN"/>
        </w:rPr>
      </w:pPr>
      <w:r w:rsidRPr="00E561A4">
        <w:rPr>
          <w:b/>
          <w:bCs/>
          <w:lang w:val="en-IN"/>
        </w:rPr>
        <w:t xml:space="preserve">Real wearable API integrations: </w:t>
      </w:r>
      <w:r w:rsidRPr="00E561A4">
        <w:rPr>
          <w:lang w:val="en-IN"/>
        </w:rPr>
        <w:t>replace the synthetic simulator with secure connectors to Garmin Connect, the Fitbit API, Google Fit, and Apple HealthKit.</w:t>
      </w:r>
    </w:p>
    <w:p w14:paraId="033DEA99" w14:textId="77777777" w:rsidR="00E561A4" w:rsidRPr="00E561A4" w:rsidRDefault="00E561A4" w:rsidP="00E561A4">
      <w:pPr>
        <w:numPr>
          <w:ilvl w:val="0"/>
          <w:numId w:val="12"/>
        </w:numPr>
        <w:spacing w:before="600"/>
        <w:jc w:val="center"/>
        <w:rPr>
          <w:lang w:val="en-IN"/>
        </w:rPr>
      </w:pPr>
      <w:r w:rsidRPr="00E561A4">
        <w:rPr>
          <w:b/>
          <w:bCs/>
          <w:lang w:val="en-IN"/>
        </w:rPr>
        <w:t xml:space="preserve">A real streaming backbone: </w:t>
      </w:r>
      <w:r w:rsidRPr="00E561A4">
        <w:rPr>
          <w:lang w:val="en-IN"/>
        </w:rPr>
        <w:t>move past batch-triggered processing entirely with a dedicated Kafka or Amazon MSK layer for genuine real-time ingestion velocity.</w:t>
      </w:r>
    </w:p>
    <w:p w14:paraId="795D9D83" w14:textId="77777777" w:rsidR="00E561A4" w:rsidRPr="00E561A4" w:rsidRDefault="00E561A4" w:rsidP="00E561A4">
      <w:pPr>
        <w:numPr>
          <w:ilvl w:val="0"/>
          <w:numId w:val="12"/>
        </w:numPr>
        <w:spacing w:before="600"/>
        <w:jc w:val="center"/>
        <w:rPr>
          <w:lang w:val="en-IN"/>
        </w:rPr>
      </w:pPr>
      <w:r w:rsidRPr="00E561A4">
        <w:rPr>
          <w:b/>
          <w:bCs/>
          <w:lang w:val="en-IN"/>
        </w:rPr>
        <w:t xml:space="preserve">Containerized microservices: </w:t>
      </w:r>
      <w:r w:rsidRPr="00E561A4">
        <w:rPr>
          <w:lang w:val="en-IN"/>
        </w:rPr>
        <w:t>standardize ingestion and local processing modules as Docker images, orchestrated via Kubernetes.</w:t>
      </w:r>
    </w:p>
    <w:p w14:paraId="177091B2" w14:textId="77777777" w:rsidR="00E561A4" w:rsidRPr="00E561A4" w:rsidRDefault="00E561A4" w:rsidP="00E561A4">
      <w:pPr>
        <w:spacing w:before="600"/>
        <w:jc w:val="center"/>
        <w:rPr>
          <w:b/>
          <w:bCs/>
          <w:lang w:val="en-IN"/>
        </w:rPr>
      </w:pPr>
      <w:r w:rsidRPr="00E561A4">
        <w:rPr>
          <w:b/>
          <w:bCs/>
          <w:lang w:val="en-IN"/>
        </w:rPr>
        <w:t>12.3 Long-term objectives (18+ months)</w:t>
      </w:r>
    </w:p>
    <w:p w14:paraId="549221D2" w14:textId="77777777" w:rsidR="00E561A4" w:rsidRPr="00E561A4" w:rsidRDefault="00E561A4" w:rsidP="00E561A4">
      <w:pPr>
        <w:numPr>
          <w:ilvl w:val="0"/>
          <w:numId w:val="12"/>
        </w:numPr>
        <w:spacing w:before="600"/>
        <w:jc w:val="center"/>
        <w:rPr>
          <w:lang w:val="en-IN"/>
        </w:rPr>
      </w:pPr>
      <w:r w:rsidRPr="00E561A4">
        <w:rPr>
          <w:b/>
          <w:bCs/>
          <w:lang w:val="en-IN"/>
        </w:rPr>
        <w:t xml:space="preserve">A predictive AI coach engine: </w:t>
      </w:r>
      <w:r w:rsidRPr="00E561A4">
        <w:rPr>
          <w:lang w:val="en-IN"/>
        </w:rPr>
        <w:t xml:space="preserve">move beyond the current rule-based overtraining flag toward a </w:t>
      </w:r>
      <w:proofErr w:type="gramStart"/>
      <w:r w:rsidRPr="00E561A4">
        <w:rPr>
          <w:lang w:val="en-IN"/>
        </w:rPr>
        <w:t>model tracking rolling health vectors</w:t>
      </w:r>
      <w:proofErr w:type="gramEnd"/>
      <w:r w:rsidRPr="00E561A4">
        <w:rPr>
          <w:lang w:val="en-IN"/>
        </w:rPr>
        <w:t xml:space="preserve"> via </w:t>
      </w:r>
      <w:proofErr w:type="spellStart"/>
      <w:r w:rsidRPr="00E561A4">
        <w:rPr>
          <w:lang w:val="en-IN"/>
        </w:rPr>
        <w:t>MLflow</w:t>
      </w:r>
      <w:proofErr w:type="spellEnd"/>
      <w:r w:rsidRPr="00E561A4">
        <w:rPr>
          <w:lang w:val="en-IN"/>
        </w:rPr>
        <w:t xml:space="preserve"> and a unified Feature Store — directly the SageMaker/</w:t>
      </w:r>
      <w:proofErr w:type="spellStart"/>
      <w:r w:rsidRPr="00E561A4">
        <w:rPr>
          <w:lang w:val="en-IN"/>
        </w:rPr>
        <w:t>MLflow</w:t>
      </w:r>
      <w:proofErr w:type="spellEnd"/>
      <w:r w:rsidRPr="00E561A4">
        <w:rPr>
          <w:lang w:val="en-IN"/>
        </w:rPr>
        <w:t xml:space="preserve"> use case already reasoned through in the Master Handbook §4.3.</w:t>
      </w:r>
    </w:p>
    <w:p w14:paraId="05284C0F" w14:textId="77777777" w:rsidR="00E561A4" w:rsidRPr="00E561A4" w:rsidRDefault="00E561A4" w:rsidP="00E561A4">
      <w:pPr>
        <w:numPr>
          <w:ilvl w:val="0"/>
          <w:numId w:val="12"/>
        </w:numPr>
        <w:spacing w:before="600"/>
        <w:jc w:val="center"/>
        <w:rPr>
          <w:lang w:val="en-IN"/>
        </w:rPr>
      </w:pPr>
      <w:r w:rsidRPr="00E561A4">
        <w:rPr>
          <w:b/>
          <w:bCs/>
          <w:lang w:val="en-IN"/>
        </w:rPr>
        <w:t xml:space="preserve">Real-time risk alerting: </w:t>
      </w:r>
      <w:r w:rsidRPr="00E561A4">
        <w:rPr>
          <w:lang w:val="en-IN"/>
        </w:rPr>
        <w:t>streaming analysis that fires the moment biometric signals indicate elevated recovery risk.</w:t>
      </w:r>
    </w:p>
    <w:p w14:paraId="75FA9BF6" w14:textId="77777777" w:rsidR="00E561A4" w:rsidRPr="00E561A4" w:rsidRDefault="00E561A4" w:rsidP="00E561A4">
      <w:pPr>
        <w:numPr>
          <w:ilvl w:val="0"/>
          <w:numId w:val="12"/>
        </w:numPr>
        <w:spacing w:before="600"/>
        <w:jc w:val="center"/>
        <w:rPr>
          <w:lang w:val="en-IN"/>
        </w:rPr>
      </w:pPr>
      <w:r w:rsidRPr="00E561A4">
        <w:rPr>
          <w:b/>
          <w:bCs/>
          <w:lang w:val="en-IN"/>
        </w:rPr>
        <w:t xml:space="preserve">Lakehouse AI: </w:t>
      </w:r>
      <w:r w:rsidRPr="00E561A4">
        <w:rPr>
          <w:lang w:val="en-IN"/>
        </w:rPr>
        <w:t>an agentic, RAG-based assistant over a vector database and the Lakehouse, letting coaches query athlete training history in natural language.</w:t>
      </w:r>
    </w:p>
    <w:p w14:paraId="7287EB15" w14:textId="77777777" w:rsidR="00E561A4" w:rsidRDefault="00E561A4" w:rsidP="00E561A4">
      <w:pPr>
        <w:pStyle w:val="Heading1"/>
      </w:pPr>
      <w:r>
        <w:t>13. Glossary</w:t>
      </w:r>
    </w:p>
    <w:p w14:paraId="635283DB" w14:textId="77777777" w:rsidR="00E561A4" w:rsidRDefault="00E561A4" w:rsidP="00E561A4">
      <w:pPr>
        <w:spacing w:after="160"/>
      </w:pPr>
      <w:r>
        <w:t>Every term used across the handbook and its companion guides, defined the way it would actually be explained out loud in an interview — not just a dictionary definition.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E561A4" w14:paraId="67CBFD0E" w14:textId="77777777" w:rsidTr="00E33433">
        <w:tblPrEx>
          <w:tblCellMar>
            <w:top w:w="0" w:type="dxa"/>
            <w:bottom w:w="0" w:type="dxa"/>
          </w:tblCellMar>
        </w:tblPrEx>
        <w:trPr>
          <w:tblHeader/>
        </w:trPr>
        <w:tc>
          <w:tcPr>
            <w:tcW w:w="2300" w:type="dxa"/>
            <w:tcBorders>
              <w:top w:val="single" w:sz="2" w:space="0" w:color="B9C6D9"/>
              <w:left w:val="single" w:sz="2" w:space="0" w:color="B9C6D9"/>
              <w:bottom w:val="single" w:sz="2" w:space="0" w:color="B9C6D9"/>
              <w:right w:val="single" w:sz="2" w:space="0" w:color="B9C6D9"/>
            </w:tcBorders>
            <w:shd w:val="clear" w:color="auto" w:fill="1F3864"/>
            <w:tcMar>
              <w:top w:w="80" w:type="dxa"/>
              <w:left w:w="110" w:type="dxa"/>
              <w:bottom w:w="80" w:type="dxa"/>
              <w:right w:w="110" w:type="dxa"/>
            </w:tcMar>
            <w:vAlign w:val="center"/>
          </w:tcPr>
          <w:p w14:paraId="6F9952E1" w14:textId="77777777" w:rsidR="00E561A4" w:rsidRDefault="00E561A4" w:rsidP="00E33433">
            <w:r>
              <w:rPr>
                <w:b/>
                <w:bCs/>
                <w:color w:val="FFFFFF"/>
                <w:sz w:val="21"/>
                <w:szCs w:val="21"/>
              </w:rPr>
              <w:t>Term</w:t>
            </w:r>
          </w:p>
        </w:tc>
        <w:tc>
          <w:tcPr>
            <w:tcW w:w="7060" w:type="dxa"/>
            <w:tcBorders>
              <w:top w:val="single" w:sz="2" w:space="0" w:color="B9C6D9"/>
              <w:left w:val="single" w:sz="2" w:space="0" w:color="B9C6D9"/>
              <w:bottom w:val="single" w:sz="2" w:space="0" w:color="B9C6D9"/>
              <w:right w:val="single" w:sz="2" w:space="0" w:color="B9C6D9"/>
            </w:tcBorders>
            <w:shd w:val="clear" w:color="auto" w:fill="1F3864"/>
            <w:tcMar>
              <w:top w:w="80" w:type="dxa"/>
              <w:left w:w="110" w:type="dxa"/>
              <w:bottom w:w="80" w:type="dxa"/>
              <w:right w:w="110" w:type="dxa"/>
            </w:tcMar>
            <w:vAlign w:val="center"/>
          </w:tcPr>
          <w:p w14:paraId="680D7846" w14:textId="77777777" w:rsidR="00E561A4" w:rsidRDefault="00E561A4" w:rsidP="00E33433">
            <w:r>
              <w:rPr>
                <w:b/>
                <w:bCs/>
                <w:color w:val="FFFFFF"/>
                <w:sz w:val="21"/>
                <w:szCs w:val="21"/>
              </w:rPr>
              <w:t>Definition</w:t>
            </w:r>
          </w:p>
        </w:tc>
      </w:tr>
      <w:tr w:rsidR="00E561A4" w14:paraId="00CF7543" w14:textId="77777777" w:rsidTr="00E33433">
        <w:tblPrEx>
          <w:tblCellMar>
            <w:top w:w="0" w:type="dxa"/>
            <w:bottom w:w="0" w:type="dxa"/>
          </w:tblCellMar>
        </w:tblPrEx>
        <w:tc>
          <w:tcPr>
            <w:tcW w:w="2300" w:type="dxa"/>
            <w:tcBorders>
              <w:top w:val="single" w:sz="2" w:space="0" w:color="B9C6D9"/>
              <w:left w:val="single" w:sz="2" w:space="0" w:color="B9C6D9"/>
              <w:bottom w:val="single" w:sz="2" w:space="0" w:color="B9C6D9"/>
              <w:right w:val="single" w:sz="2" w:space="0" w:color="B9C6D9"/>
            </w:tcBorders>
            <w:tcMar>
              <w:top w:w="80" w:type="dxa"/>
              <w:left w:w="110" w:type="dxa"/>
              <w:bottom w:w="80" w:type="dxa"/>
              <w:right w:w="110" w:type="dxa"/>
            </w:tcMar>
            <w:vAlign w:val="center"/>
          </w:tcPr>
          <w:p w14:paraId="17B7E3F2" w14:textId="77777777" w:rsidR="00E561A4" w:rsidRDefault="00E561A4" w:rsidP="00E33433">
            <w:r>
              <w:rPr>
                <w:color w:val="1A1A1A"/>
                <w:sz w:val="21"/>
                <w:szCs w:val="21"/>
              </w:rPr>
              <w:t>Athena</w:t>
            </w:r>
          </w:p>
        </w:tc>
        <w:tc>
          <w:tcPr>
            <w:tcW w:w="7060" w:type="dxa"/>
            <w:tcBorders>
              <w:top w:val="single" w:sz="2" w:space="0" w:color="B9C6D9"/>
              <w:left w:val="single" w:sz="2" w:space="0" w:color="B9C6D9"/>
              <w:bottom w:val="single" w:sz="2" w:space="0" w:color="B9C6D9"/>
              <w:right w:val="single" w:sz="2" w:space="0" w:color="B9C6D9"/>
            </w:tcBorders>
            <w:tcMar>
              <w:top w:w="80" w:type="dxa"/>
              <w:left w:w="110" w:type="dxa"/>
              <w:bottom w:w="80" w:type="dxa"/>
              <w:right w:w="110" w:type="dxa"/>
            </w:tcMar>
          </w:tcPr>
          <w:p w14:paraId="04B076F0" w14:textId="77777777" w:rsidR="00E561A4" w:rsidRDefault="00E561A4" w:rsidP="00E33433">
            <w:r>
              <w:rPr>
                <w:sz w:val="21"/>
                <w:szCs w:val="21"/>
              </w:rPr>
              <w:t>An interactive, serverless AWS query service that runs standard SQL directly against raw files in S3, using schema definitions from the Glue Data Catalog. Query-only — it never moves or transforms pipeline data.</w:t>
            </w:r>
          </w:p>
        </w:tc>
      </w:tr>
      <w:tr w:rsidR="00E561A4" w14:paraId="42E89DE8" w14:textId="77777777" w:rsidTr="00E33433">
        <w:tblPrEx>
          <w:tblCellMar>
            <w:top w:w="0" w:type="dxa"/>
            <w:bottom w:w="0" w:type="dxa"/>
          </w:tblCellMar>
        </w:tblPrEx>
        <w:tc>
          <w:tcPr>
            <w:tcW w:w="2300" w:type="dxa"/>
            <w:tcBorders>
              <w:top w:val="single" w:sz="2" w:space="0" w:color="B9C6D9"/>
              <w:left w:val="single" w:sz="2" w:space="0" w:color="B9C6D9"/>
              <w:bottom w:val="single" w:sz="2" w:space="0" w:color="B9C6D9"/>
              <w:right w:val="single" w:sz="2" w:space="0" w:color="B9C6D9"/>
            </w:tcBorders>
            <w:shd w:val="clear" w:color="auto" w:fill="EEF3FA"/>
            <w:tcMar>
              <w:top w:w="80" w:type="dxa"/>
              <w:left w:w="110" w:type="dxa"/>
              <w:bottom w:w="80" w:type="dxa"/>
              <w:right w:w="110" w:type="dxa"/>
            </w:tcMar>
            <w:vAlign w:val="center"/>
          </w:tcPr>
          <w:p w14:paraId="31D234ED" w14:textId="77777777" w:rsidR="00E561A4" w:rsidRDefault="00E561A4" w:rsidP="00E33433">
            <w:r>
              <w:rPr>
                <w:color w:val="1A1A1A"/>
                <w:sz w:val="21"/>
                <w:szCs w:val="21"/>
              </w:rPr>
              <w:t>Auto Loader (</w:t>
            </w:r>
            <w:proofErr w:type="spellStart"/>
            <w:r>
              <w:rPr>
                <w:color w:val="1A1A1A"/>
                <w:sz w:val="21"/>
                <w:szCs w:val="21"/>
              </w:rPr>
              <w:t>cloudFiles</w:t>
            </w:r>
            <w:proofErr w:type="spellEnd"/>
            <w:r>
              <w:rPr>
                <w:color w:val="1A1A1A"/>
                <w:sz w:val="21"/>
                <w:szCs w:val="21"/>
              </w:rPr>
              <w:t>)</w:t>
            </w:r>
          </w:p>
        </w:tc>
        <w:tc>
          <w:tcPr>
            <w:tcW w:w="7060" w:type="dxa"/>
            <w:tcBorders>
              <w:top w:val="single" w:sz="2" w:space="0" w:color="B9C6D9"/>
              <w:left w:val="single" w:sz="2" w:space="0" w:color="B9C6D9"/>
              <w:bottom w:val="single" w:sz="2" w:space="0" w:color="B9C6D9"/>
              <w:right w:val="single" w:sz="2" w:space="0" w:color="B9C6D9"/>
            </w:tcBorders>
            <w:shd w:val="clear" w:color="auto" w:fill="EEF3FA"/>
            <w:tcMar>
              <w:top w:w="80" w:type="dxa"/>
              <w:left w:w="110" w:type="dxa"/>
              <w:bottom w:w="80" w:type="dxa"/>
              <w:right w:w="110" w:type="dxa"/>
            </w:tcMar>
          </w:tcPr>
          <w:p w14:paraId="68453AAB" w14:textId="77777777" w:rsidR="00E561A4" w:rsidRDefault="00E561A4" w:rsidP="00E33433">
            <w:r>
              <w:rPr>
                <w:sz w:val="21"/>
                <w:szCs w:val="21"/>
              </w:rPr>
              <w:t xml:space="preserve">A native Databricks ingestion tool that incrementally and efficiently processes new files as they land in cloud storage, tracking file state via </w:t>
            </w:r>
            <w:r>
              <w:rPr>
                <w:sz w:val="21"/>
                <w:szCs w:val="21"/>
              </w:rPr>
              <w:lastRenderedPageBreak/>
              <w:t>checkpoints rather than repeated directory listing.</w:t>
            </w:r>
          </w:p>
        </w:tc>
      </w:tr>
      <w:tr w:rsidR="00E561A4" w14:paraId="42DA64FD" w14:textId="77777777" w:rsidTr="00E33433">
        <w:tblPrEx>
          <w:tblCellMar>
            <w:top w:w="0" w:type="dxa"/>
            <w:bottom w:w="0" w:type="dxa"/>
          </w:tblCellMar>
        </w:tblPrEx>
        <w:tc>
          <w:tcPr>
            <w:tcW w:w="2300" w:type="dxa"/>
            <w:tcBorders>
              <w:top w:val="single" w:sz="2" w:space="0" w:color="B9C6D9"/>
              <w:left w:val="single" w:sz="2" w:space="0" w:color="B9C6D9"/>
              <w:bottom w:val="single" w:sz="2" w:space="0" w:color="B9C6D9"/>
              <w:right w:val="single" w:sz="2" w:space="0" w:color="B9C6D9"/>
            </w:tcBorders>
            <w:tcMar>
              <w:top w:w="80" w:type="dxa"/>
              <w:left w:w="110" w:type="dxa"/>
              <w:bottom w:w="80" w:type="dxa"/>
              <w:right w:w="110" w:type="dxa"/>
            </w:tcMar>
            <w:vAlign w:val="center"/>
          </w:tcPr>
          <w:p w14:paraId="70FE9F1A" w14:textId="77777777" w:rsidR="00E561A4" w:rsidRDefault="00E561A4" w:rsidP="00E33433">
            <w:r>
              <w:rPr>
                <w:color w:val="1A1A1A"/>
                <w:sz w:val="21"/>
                <w:szCs w:val="21"/>
              </w:rPr>
              <w:lastRenderedPageBreak/>
              <w:t>Bronze layer</w:t>
            </w:r>
          </w:p>
        </w:tc>
        <w:tc>
          <w:tcPr>
            <w:tcW w:w="7060" w:type="dxa"/>
            <w:tcBorders>
              <w:top w:val="single" w:sz="2" w:space="0" w:color="B9C6D9"/>
              <w:left w:val="single" w:sz="2" w:space="0" w:color="B9C6D9"/>
              <w:bottom w:val="single" w:sz="2" w:space="0" w:color="B9C6D9"/>
              <w:right w:val="single" w:sz="2" w:space="0" w:color="B9C6D9"/>
            </w:tcBorders>
            <w:tcMar>
              <w:top w:w="80" w:type="dxa"/>
              <w:left w:w="110" w:type="dxa"/>
              <w:bottom w:w="80" w:type="dxa"/>
              <w:right w:w="110" w:type="dxa"/>
            </w:tcMar>
          </w:tcPr>
          <w:p w14:paraId="732A8FC5" w14:textId="77777777" w:rsidR="00E561A4" w:rsidRDefault="00E561A4" w:rsidP="00E33433">
            <w:r>
              <w:rPr>
                <w:sz w:val="21"/>
                <w:szCs w:val="21"/>
              </w:rPr>
              <w:t>The first landing zone in a medallion architecture — raw, untransformed data exactly as it arrived, append-only, kept immutable so any downstream failure can always be recovered by reprocessing from here.</w:t>
            </w:r>
          </w:p>
        </w:tc>
      </w:tr>
      <w:tr w:rsidR="00E561A4" w14:paraId="20BE33CF" w14:textId="77777777" w:rsidTr="00E33433">
        <w:tblPrEx>
          <w:tblCellMar>
            <w:top w:w="0" w:type="dxa"/>
            <w:bottom w:w="0" w:type="dxa"/>
          </w:tblCellMar>
        </w:tblPrEx>
        <w:tc>
          <w:tcPr>
            <w:tcW w:w="2300" w:type="dxa"/>
            <w:tcBorders>
              <w:top w:val="single" w:sz="2" w:space="0" w:color="B9C6D9"/>
              <w:left w:val="single" w:sz="2" w:space="0" w:color="B9C6D9"/>
              <w:bottom w:val="single" w:sz="2" w:space="0" w:color="B9C6D9"/>
              <w:right w:val="single" w:sz="2" w:space="0" w:color="B9C6D9"/>
            </w:tcBorders>
            <w:shd w:val="clear" w:color="auto" w:fill="EEF3FA"/>
            <w:tcMar>
              <w:top w:w="80" w:type="dxa"/>
              <w:left w:w="110" w:type="dxa"/>
              <w:bottom w:w="80" w:type="dxa"/>
              <w:right w:w="110" w:type="dxa"/>
            </w:tcMar>
            <w:vAlign w:val="center"/>
          </w:tcPr>
          <w:p w14:paraId="4F611174" w14:textId="77777777" w:rsidR="00E561A4" w:rsidRDefault="00E561A4" w:rsidP="00E33433">
            <w:r>
              <w:rPr>
                <w:color w:val="1A1A1A"/>
                <w:sz w:val="21"/>
                <w:szCs w:val="21"/>
              </w:rPr>
              <w:t>CDC (Change Data Capture)</w:t>
            </w:r>
          </w:p>
        </w:tc>
        <w:tc>
          <w:tcPr>
            <w:tcW w:w="7060" w:type="dxa"/>
            <w:tcBorders>
              <w:top w:val="single" w:sz="2" w:space="0" w:color="B9C6D9"/>
              <w:left w:val="single" w:sz="2" w:space="0" w:color="B9C6D9"/>
              <w:bottom w:val="single" w:sz="2" w:space="0" w:color="B9C6D9"/>
              <w:right w:val="single" w:sz="2" w:space="0" w:color="B9C6D9"/>
            </w:tcBorders>
            <w:shd w:val="clear" w:color="auto" w:fill="EEF3FA"/>
            <w:tcMar>
              <w:top w:w="80" w:type="dxa"/>
              <w:left w:w="110" w:type="dxa"/>
              <w:bottom w:w="80" w:type="dxa"/>
              <w:right w:w="110" w:type="dxa"/>
            </w:tcMar>
          </w:tcPr>
          <w:p w14:paraId="59E77D49" w14:textId="77777777" w:rsidR="00E561A4" w:rsidRDefault="00E561A4" w:rsidP="00E33433">
            <w:r>
              <w:rPr>
                <w:sz w:val="21"/>
                <w:szCs w:val="21"/>
              </w:rPr>
              <w:t xml:space="preserve">A pattern that tracks and surfaces inserts, updates, and deletes on a source as a continuous stream of events. In this project, </w:t>
            </w:r>
            <w:proofErr w:type="spellStart"/>
            <w:r>
              <w:rPr>
                <w:sz w:val="21"/>
                <w:szCs w:val="21"/>
              </w:rPr>
              <w:t>user_profile</w:t>
            </w:r>
            <w:proofErr w:type="spellEnd"/>
            <w:r>
              <w:rPr>
                <w:sz w:val="21"/>
                <w:szCs w:val="21"/>
              </w:rPr>
              <w:t xml:space="preserve"> is a deliberately CDC-style stream — the same user can appear more than once with different attribute values.</w:t>
            </w:r>
          </w:p>
        </w:tc>
      </w:tr>
      <w:tr w:rsidR="00E561A4" w14:paraId="4AA1FD9D" w14:textId="77777777" w:rsidTr="00E33433">
        <w:tblPrEx>
          <w:tblCellMar>
            <w:top w:w="0" w:type="dxa"/>
            <w:bottom w:w="0" w:type="dxa"/>
          </w:tblCellMar>
        </w:tblPrEx>
        <w:tc>
          <w:tcPr>
            <w:tcW w:w="2300" w:type="dxa"/>
            <w:tcBorders>
              <w:top w:val="single" w:sz="2" w:space="0" w:color="B9C6D9"/>
              <w:left w:val="single" w:sz="2" w:space="0" w:color="B9C6D9"/>
              <w:bottom w:val="single" w:sz="2" w:space="0" w:color="B9C6D9"/>
              <w:right w:val="single" w:sz="2" w:space="0" w:color="B9C6D9"/>
            </w:tcBorders>
            <w:tcMar>
              <w:top w:w="80" w:type="dxa"/>
              <w:left w:w="110" w:type="dxa"/>
              <w:bottom w:w="80" w:type="dxa"/>
              <w:right w:w="110" w:type="dxa"/>
            </w:tcMar>
            <w:vAlign w:val="center"/>
          </w:tcPr>
          <w:p w14:paraId="3BD66151" w14:textId="77777777" w:rsidR="00E561A4" w:rsidRDefault="00E561A4" w:rsidP="00E33433">
            <w:r>
              <w:rPr>
                <w:color w:val="1A1A1A"/>
                <w:sz w:val="21"/>
                <w:szCs w:val="21"/>
              </w:rPr>
              <w:t>COPY</w:t>
            </w:r>
          </w:p>
        </w:tc>
        <w:tc>
          <w:tcPr>
            <w:tcW w:w="7060" w:type="dxa"/>
            <w:tcBorders>
              <w:top w:val="single" w:sz="2" w:space="0" w:color="B9C6D9"/>
              <w:left w:val="single" w:sz="2" w:space="0" w:color="B9C6D9"/>
              <w:bottom w:val="single" w:sz="2" w:space="0" w:color="B9C6D9"/>
              <w:right w:val="single" w:sz="2" w:space="0" w:color="B9C6D9"/>
            </w:tcBorders>
            <w:tcMar>
              <w:top w:w="80" w:type="dxa"/>
              <w:left w:w="110" w:type="dxa"/>
              <w:bottom w:w="80" w:type="dxa"/>
              <w:right w:w="110" w:type="dxa"/>
            </w:tcMar>
          </w:tcPr>
          <w:p w14:paraId="2A604774" w14:textId="77777777" w:rsidR="00E561A4" w:rsidRDefault="00E561A4" w:rsidP="00E33433">
            <w:r>
              <w:rPr>
                <w:sz w:val="21"/>
                <w:szCs w:val="21"/>
              </w:rPr>
              <w:t>A high-throughput Redshift command that bulk-loads Parquet/CSV directly from S3 into a table — far more efficient than row-by-row insert.</w:t>
            </w:r>
          </w:p>
        </w:tc>
      </w:tr>
      <w:tr w:rsidR="00E561A4" w14:paraId="49694D28" w14:textId="77777777" w:rsidTr="00E33433">
        <w:tblPrEx>
          <w:tblCellMar>
            <w:top w:w="0" w:type="dxa"/>
            <w:bottom w:w="0" w:type="dxa"/>
          </w:tblCellMar>
        </w:tblPrEx>
        <w:tc>
          <w:tcPr>
            <w:tcW w:w="2300" w:type="dxa"/>
            <w:tcBorders>
              <w:top w:val="single" w:sz="2" w:space="0" w:color="B9C6D9"/>
              <w:left w:val="single" w:sz="2" w:space="0" w:color="B9C6D9"/>
              <w:bottom w:val="single" w:sz="2" w:space="0" w:color="B9C6D9"/>
              <w:right w:val="single" w:sz="2" w:space="0" w:color="B9C6D9"/>
            </w:tcBorders>
            <w:shd w:val="clear" w:color="auto" w:fill="EEF3FA"/>
            <w:tcMar>
              <w:top w:w="80" w:type="dxa"/>
              <w:left w:w="110" w:type="dxa"/>
              <w:bottom w:w="80" w:type="dxa"/>
              <w:right w:w="110" w:type="dxa"/>
            </w:tcMar>
            <w:vAlign w:val="center"/>
          </w:tcPr>
          <w:p w14:paraId="438B4D05" w14:textId="77777777" w:rsidR="00E561A4" w:rsidRDefault="00E561A4" w:rsidP="00E33433">
            <w:r>
              <w:rPr>
                <w:color w:val="1A1A1A"/>
                <w:sz w:val="21"/>
                <w:szCs w:val="21"/>
              </w:rPr>
              <w:t>Data Mesh</w:t>
            </w:r>
          </w:p>
        </w:tc>
        <w:tc>
          <w:tcPr>
            <w:tcW w:w="7060" w:type="dxa"/>
            <w:tcBorders>
              <w:top w:val="single" w:sz="2" w:space="0" w:color="B9C6D9"/>
              <w:left w:val="single" w:sz="2" w:space="0" w:color="B9C6D9"/>
              <w:bottom w:val="single" w:sz="2" w:space="0" w:color="B9C6D9"/>
              <w:right w:val="single" w:sz="2" w:space="0" w:color="B9C6D9"/>
            </w:tcBorders>
            <w:shd w:val="clear" w:color="auto" w:fill="EEF3FA"/>
            <w:tcMar>
              <w:top w:w="80" w:type="dxa"/>
              <w:left w:w="110" w:type="dxa"/>
              <w:bottom w:w="80" w:type="dxa"/>
              <w:right w:w="110" w:type="dxa"/>
            </w:tcMar>
          </w:tcPr>
          <w:p w14:paraId="5216A29D" w14:textId="77777777" w:rsidR="00E561A4" w:rsidRDefault="00E561A4" w:rsidP="00E33433">
            <w:r>
              <w:rPr>
                <w:sz w:val="21"/>
                <w:szCs w:val="21"/>
              </w:rPr>
              <w:t>An organizational pattern that moves data ownership away from one centralized team toward decentralized, domain-specific teams that treat their data as a product with its own SLAs and stewardship.</w:t>
            </w:r>
          </w:p>
        </w:tc>
      </w:tr>
      <w:tr w:rsidR="00E561A4" w14:paraId="2696D374" w14:textId="77777777" w:rsidTr="00E33433">
        <w:tblPrEx>
          <w:tblCellMar>
            <w:top w:w="0" w:type="dxa"/>
            <w:bottom w:w="0" w:type="dxa"/>
          </w:tblCellMar>
        </w:tblPrEx>
        <w:tc>
          <w:tcPr>
            <w:tcW w:w="2300" w:type="dxa"/>
            <w:tcBorders>
              <w:top w:val="single" w:sz="2" w:space="0" w:color="B9C6D9"/>
              <w:left w:val="single" w:sz="2" w:space="0" w:color="B9C6D9"/>
              <w:bottom w:val="single" w:sz="2" w:space="0" w:color="B9C6D9"/>
              <w:right w:val="single" w:sz="2" w:space="0" w:color="B9C6D9"/>
            </w:tcBorders>
            <w:tcMar>
              <w:top w:w="80" w:type="dxa"/>
              <w:left w:w="110" w:type="dxa"/>
              <w:bottom w:w="80" w:type="dxa"/>
              <w:right w:w="110" w:type="dxa"/>
            </w:tcMar>
            <w:vAlign w:val="center"/>
          </w:tcPr>
          <w:p w14:paraId="67C1D57D" w14:textId="77777777" w:rsidR="00E561A4" w:rsidRDefault="00E561A4" w:rsidP="00E33433">
            <w:proofErr w:type="spellStart"/>
            <w:r>
              <w:rPr>
                <w:color w:val="1A1A1A"/>
                <w:sz w:val="21"/>
                <w:szCs w:val="21"/>
              </w:rPr>
              <w:t>dbt</w:t>
            </w:r>
            <w:proofErr w:type="spellEnd"/>
            <w:r>
              <w:rPr>
                <w:color w:val="1A1A1A"/>
                <w:sz w:val="21"/>
                <w:szCs w:val="21"/>
              </w:rPr>
              <w:t xml:space="preserve"> (data build tool)</w:t>
            </w:r>
          </w:p>
        </w:tc>
        <w:tc>
          <w:tcPr>
            <w:tcW w:w="7060" w:type="dxa"/>
            <w:tcBorders>
              <w:top w:val="single" w:sz="2" w:space="0" w:color="B9C6D9"/>
              <w:left w:val="single" w:sz="2" w:space="0" w:color="B9C6D9"/>
              <w:bottom w:val="single" w:sz="2" w:space="0" w:color="B9C6D9"/>
              <w:right w:val="single" w:sz="2" w:space="0" w:color="B9C6D9"/>
            </w:tcBorders>
            <w:tcMar>
              <w:top w:w="80" w:type="dxa"/>
              <w:left w:w="110" w:type="dxa"/>
              <w:bottom w:w="80" w:type="dxa"/>
              <w:right w:w="110" w:type="dxa"/>
            </w:tcMar>
          </w:tcPr>
          <w:p w14:paraId="12281413" w14:textId="77777777" w:rsidR="00E561A4" w:rsidRDefault="00E561A4" w:rsidP="00E33433">
            <w:r>
              <w:rPr>
                <w:sz w:val="21"/>
                <w:szCs w:val="21"/>
              </w:rPr>
              <w:t>A transformation framework that lets a team write SQL select statements as version-controlled, testable models on top of data already inside a warehouse — not a warehouse or pipeline-orchestration tool itself.</w:t>
            </w:r>
          </w:p>
        </w:tc>
      </w:tr>
      <w:tr w:rsidR="00E561A4" w14:paraId="3D16EDD0" w14:textId="77777777" w:rsidTr="00E33433">
        <w:tblPrEx>
          <w:tblCellMar>
            <w:top w:w="0" w:type="dxa"/>
            <w:bottom w:w="0" w:type="dxa"/>
          </w:tblCellMar>
        </w:tblPrEx>
        <w:tc>
          <w:tcPr>
            <w:tcW w:w="2300" w:type="dxa"/>
            <w:tcBorders>
              <w:top w:val="single" w:sz="2" w:space="0" w:color="B9C6D9"/>
              <w:left w:val="single" w:sz="2" w:space="0" w:color="B9C6D9"/>
              <w:bottom w:val="single" w:sz="2" w:space="0" w:color="B9C6D9"/>
              <w:right w:val="single" w:sz="2" w:space="0" w:color="B9C6D9"/>
            </w:tcBorders>
            <w:shd w:val="clear" w:color="auto" w:fill="EEF3FA"/>
            <w:tcMar>
              <w:top w:w="80" w:type="dxa"/>
              <w:left w:w="110" w:type="dxa"/>
              <w:bottom w:w="80" w:type="dxa"/>
              <w:right w:w="110" w:type="dxa"/>
            </w:tcMar>
            <w:vAlign w:val="center"/>
          </w:tcPr>
          <w:p w14:paraId="033AC59D" w14:textId="77777777" w:rsidR="00E561A4" w:rsidRDefault="00E561A4" w:rsidP="00E33433">
            <w:r>
              <w:rPr>
                <w:color w:val="1A1A1A"/>
                <w:sz w:val="21"/>
                <w:szCs w:val="21"/>
              </w:rPr>
              <w:t>Delta Lake</w:t>
            </w:r>
          </w:p>
        </w:tc>
        <w:tc>
          <w:tcPr>
            <w:tcW w:w="7060" w:type="dxa"/>
            <w:tcBorders>
              <w:top w:val="single" w:sz="2" w:space="0" w:color="B9C6D9"/>
              <w:left w:val="single" w:sz="2" w:space="0" w:color="B9C6D9"/>
              <w:bottom w:val="single" w:sz="2" w:space="0" w:color="B9C6D9"/>
              <w:right w:val="single" w:sz="2" w:space="0" w:color="B9C6D9"/>
            </w:tcBorders>
            <w:shd w:val="clear" w:color="auto" w:fill="EEF3FA"/>
            <w:tcMar>
              <w:top w:w="80" w:type="dxa"/>
              <w:left w:w="110" w:type="dxa"/>
              <w:bottom w:w="80" w:type="dxa"/>
              <w:right w:w="110" w:type="dxa"/>
            </w:tcMar>
          </w:tcPr>
          <w:p w14:paraId="00BBBB8E" w14:textId="77777777" w:rsidR="00E561A4" w:rsidRDefault="00E561A4" w:rsidP="00E33433">
            <w:r>
              <w:rPr>
                <w:sz w:val="21"/>
                <w:szCs w:val="21"/>
              </w:rPr>
              <w:t>An open-source storage layer on top of cloud object storage (typically Parquet) adding ACID transactions, time travel, and schema enforcement/evolution.</w:t>
            </w:r>
          </w:p>
        </w:tc>
      </w:tr>
      <w:tr w:rsidR="00E561A4" w14:paraId="746837AD" w14:textId="77777777" w:rsidTr="00E33433">
        <w:tblPrEx>
          <w:tblCellMar>
            <w:top w:w="0" w:type="dxa"/>
            <w:bottom w:w="0" w:type="dxa"/>
          </w:tblCellMar>
        </w:tblPrEx>
        <w:tc>
          <w:tcPr>
            <w:tcW w:w="2300" w:type="dxa"/>
            <w:tcBorders>
              <w:top w:val="single" w:sz="2" w:space="0" w:color="B9C6D9"/>
              <w:left w:val="single" w:sz="2" w:space="0" w:color="B9C6D9"/>
              <w:bottom w:val="single" w:sz="2" w:space="0" w:color="B9C6D9"/>
              <w:right w:val="single" w:sz="2" w:space="0" w:color="B9C6D9"/>
            </w:tcBorders>
            <w:tcMar>
              <w:top w:w="80" w:type="dxa"/>
              <w:left w:w="110" w:type="dxa"/>
              <w:bottom w:w="80" w:type="dxa"/>
              <w:right w:w="110" w:type="dxa"/>
            </w:tcMar>
            <w:vAlign w:val="center"/>
          </w:tcPr>
          <w:p w14:paraId="33AE0A04" w14:textId="77777777" w:rsidR="00E561A4" w:rsidRDefault="00E561A4" w:rsidP="00E33433">
            <w:r>
              <w:rPr>
                <w:color w:val="1A1A1A"/>
                <w:sz w:val="21"/>
                <w:szCs w:val="21"/>
              </w:rPr>
              <w:t>Delta Sharing</w:t>
            </w:r>
          </w:p>
        </w:tc>
        <w:tc>
          <w:tcPr>
            <w:tcW w:w="7060" w:type="dxa"/>
            <w:tcBorders>
              <w:top w:val="single" w:sz="2" w:space="0" w:color="B9C6D9"/>
              <w:left w:val="single" w:sz="2" w:space="0" w:color="B9C6D9"/>
              <w:bottom w:val="single" w:sz="2" w:space="0" w:color="B9C6D9"/>
              <w:right w:val="single" w:sz="2" w:space="0" w:color="B9C6D9"/>
            </w:tcBorders>
            <w:tcMar>
              <w:top w:w="80" w:type="dxa"/>
              <w:left w:w="110" w:type="dxa"/>
              <w:bottom w:w="80" w:type="dxa"/>
              <w:right w:w="110" w:type="dxa"/>
            </w:tcMar>
          </w:tcPr>
          <w:p w14:paraId="36C310CC" w14:textId="77777777" w:rsidR="00E561A4" w:rsidRDefault="00E561A4" w:rsidP="00E33433">
            <w:r>
              <w:rPr>
                <w:sz w:val="21"/>
                <w:szCs w:val="21"/>
              </w:rPr>
              <w:t>An open, vendor-agnostic protocol for sharing live Delta tables across organizations or platforms without copying the underlying data.</w:t>
            </w:r>
          </w:p>
        </w:tc>
      </w:tr>
      <w:tr w:rsidR="00E561A4" w14:paraId="1C5A43A9" w14:textId="77777777" w:rsidTr="00E33433">
        <w:tblPrEx>
          <w:tblCellMar>
            <w:top w:w="0" w:type="dxa"/>
            <w:bottom w:w="0" w:type="dxa"/>
          </w:tblCellMar>
        </w:tblPrEx>
        <w:tc>
          <w:tcPr>
            <w:tcW w:w="2300" w:type="dxa"/>
            <w:tcBorders>
              <w:top w:val="single" w:sz="2" w:space="0" w:color="B9C6D9"/>
              <w:left w:val="single" w:sz="2" w:space="0" w:color="B9C6D9"/>
              <w:bottom w:val="single" w:sz="2" w:space="0" w:color="B9C6D9"/>
              <w:right w:val="single" w:sz="2" w:space="0" w:color="B9C6D9"/>
            </w:tcBorders>
            <w:shd w:val="clear" w:color="auto" w:fill="EEF3FA"/>
            <w:tcMar>
              <w:top w:w="80" w:type="dxa"/>
              <w:left w:w="110" w:type="dxa"/>
              <w:bottom w:w="80" w:type="dxa"/>
              <w:right w:w="110" w:type="dxa"/>
            </w:tcMar>
            <w:vAlign w:val="center"/>
          </w:tcPr>
          <w:p w14:paraId="5D2CD252" w14:textId="77777777" w:rsidR="00E561A4" w:rsidRDefault="00E561A4" w:rsidP="00E33433">
            <w:r>
              <w:rPr>
                <w:color w:val="1A1A1A"/>
                <w:sz w:val="21"/>
                <w:szCs w:val="21"/>
              </w:rPr>
              <w:t>Glue Data Catalog</w:t>
            </w:r>
          </w:p>
        </w:tc>
        <w:tc>
          <w:tcPr>
            <w:tcW w:w="7060" w:type="dxa"/>
            <w:tcBorders>
              <w:top w:val="single" w:sz="2" w:space="0" w:color="B9C6D9"/>
              <w:left w:val="single" w:sz="2" w:space="0" w:color="B9C6D9"/>
              <w:bottom w:val="single" w:sz="2" w:space="0" w:color="B9C6D9"/>
              <w:right w:val="single" w:sz="2" w:space="0" w:color="B9C6D9"/>
            </w:tcBorders>
            <w:shd w:val="clear" w:color="auto" w:fill="EEF3FA"/>
            <w:tcMar>
              <w:top w:w="80" w:type="dxa"/>
              <w:left w:w="110" w:type="dxa"/>
              <w:bottom w:w="80" w:type="dxa"/>
              <w:right w:w="110" w:type="dxa"/>
            </w:tcMar>
          </w:tcPr>
          <w:p w14:paraId="1B8D71FA" w14:textId="77777777" w:rsidR="00E561A4" w:rsidRDefault="00E561A4" w:rsidP="00E33433">
            <w:r>
              <w:rPr>
                <w:sz w:val="21"/>
                <w:szCs w:val="21"/>
              </w:rPr>
              <w:t>AWS's centralized, Hive-compatible metadata registry, storing table schema definitions across S3 and Redshift so Athena/Glue/Spark can query consistently.</w:t>
            </w:r>
          </w:p>
        </w:tc>
      </w:tr>
      <w:tr w:rsidR="00E561A4" w14:paraId="22F7618B" w14:textId="77777777" w:rsidTr="00E33433">
        <w:tblPrEx>
          <w:tblCellMar>
            <w:top w:w="0" w:type="dxa"/>
            <w:bottom w:w="0" w:type="dxa"/>
          </w:tblCellMar>
        </w:tblPrEx>
        <w:tc>
          <w:tcPr>
            <w:tcW w:w="2300" w:type="dxa"/>
            <w:tcBorders>
              <w:top w:val="single" w:sz="2" w:space="0" w:color="B9C6D9"/>
              <w:left w:val="single" w:sz="2" w:space="0" w:color="B9C6D9"/>
              <w:bottom w:val="single" w:sz="2" w:space="0" w:color="B9C6D9"/>
              <w:right w:val="single" w:sz="2" w:space="0" w:color="B9C6D9"/>
            </w:tcBorders>
            <w:tcMar>
              <w:top w:w="80" w:type="dxa"/>
              <w:left w:w="110" w:type="dxa"/>
              <w:bottom w:w="80" w:type="dxa"/>
              <w:right w:w="110" w:type="dxa"/>
            </w:tcMar>
            <w:vAlign w:val="center"/>
          </w:tcPr>
          <w:p w14:paraId="4DE27AF1" w14:textId="77777777" w:rsidR="00E561A4" w:rsidRDefault="00E561A4" w:rsidP="00E33433">
            <w:r>
              <w:rPr>
                <w:color w:val="1A1A1A"/>
                <w:sz w:val="21"/>
                <w:szCs w:val="21"/>
              </w:rPr>
              <w:t>Gold layer</w:t>
            </w:r>
          </w:p>
        </w:tc>
        <w:tc>
          <w:tcPr>
            <w:tcW w:w="7060" w:type="dxa"/>
            <w:tcBorders>
              <w:top w:val="single" w:sz="2" w:space="0" w:color="B9C6D9"/>
              <w:left w:val="single" w:sz="2" w:space="0" w:color="B9C6D9"/>
              <w:bottom w:val="single" w:sz="2" w:space="0" w:color="B9C6D9"/>
              <w:right w:val="single" w:sz="2" w:space="0" w:color="B9C6D9"/>
            </w:tcBorders>
            <w:tcMar>
              <w:top w:w="80" w:type="dxa"/>
              <w:left w:w="110" w:type="dxa"/>
              <w:bottom w:w="80" w:type="dxa"/>
              <w:right w:w="110" w:type="dxa"/>
            </w:tcMar>
          </w:tcPr>
          <w:p w14:paraId="04935382" w14:textId="77777777" w:rsidR="00E561A4" w:rsidRDefault="00E561A4" w:rsidP="00E33433">
            <w:r>
              <w:rPr>
                <w:sz w:val="21"/>
                <w:szCs w:val="21"/>
              </w:rPr>
              <w:t>The final, business-facing zone in a medallion architecture — polished aggregates and star-schema-ready tables meant for direct BI or ML consumption.</w:t>
            </w:r>
          </w:p>
        </w:tc>
      </w:tr>
      <w:tr w:rsidR="00E561A4" w14:paraId="5C6C0827" w14:textId="77777777" w:rsidTr="00E33433">
        <w:tblPrEx>
          <w:tblCellMar>
            <w:top w:w="0" w:type="dxa"/>
            <w:bottom w:w="0" w:type="dxa"/>
          </w:tblCellMar>
        </w:tblPrEx>
        <w:tc>
          <w:tcPr>
            <w:tcW w:w="2300" w:type="dxa"/>
            <w:tcBorders>
              <w:top w:val="single" w:sz="2" w:space="0" w:color="B9C6D9"/>
              <w:left w:val="single" w:sz="2" w:space="0" w:color="B9C6D9"/>
              <w:bottom w:val="single" w:sz="2" w:space="0" w:color="B9C6D9"/>
              <w:right w:val="single" w:sz="2" w:space="0" w:color="B9C6D9"/>
            </w:tcBorders>
            <w:shd w:val="clear" w:color="auto" w:fill="EEF3FA"/>
            <w:tcMar>
              <w:top w:w="80" w:type="dxa"/>
              <w:left w:w="110" w:type="dxa"/>
              <w:bottom w:w="80" w:type="dxa"/>
              <w:right w:w="110" w:type="dxa"/>
            </w:tcMar>
            <w:vAlign w:val="center"/>
          </w:tcPr>
          <w:p w14:paraId="0765D7A2" w14:textId="77777777" w:rsidR="00E561A4" w:rsidRDefault="00E561A4" w:rsidP="00E33433">
            <w:r>
              <w:rPr>
                <w:color w:val="1A1A1A"/>
                <w:sz w:val="21"/>
                <w:szCs w:val="21"/>
              </w:rPr>
              <w:t>Idempotency</w:t>
            </w:r>
          </w:p>
        </w:tc>
        <w:tc>
          <w:tcPr>
            <w:tcW w:w="7060" w:type="dxa"/>
            <w:tcBorders>
              <w:top w:val="single" w:sz="2" w:space="0" w:color="B9C6D9"/>
              <w:left w:val="single" w:sz="2" w:space="0" w:color="B9C6D9"/>
              <w:bottom w:val="single" w:sz="2" w:space="0" w:color="B9C6D9"/>
              <w:right w:val="single" w:sz="2" w:space="0" w:color="B9C6D9"/>
            </w:tcBorders>
            <w:shd w:val="clear" w:color="auto" w:fill="EEF3FA"/>
            <w:tcMar>
              <w:top w:w="80" w:type="dxa"/>
              <w:left w:w="110" w:type="dxa"/>
              <w:bottom w:w="80" w:type="dxa"/>
              <w:right w:w="110" w:type="dxa"/>
            </w:tcMar>
          </w:tcPr>
          <w:p w14:paraId="690E15ED" w14:textId="77777777" w:rsidR="00E561A4" w:rsidRDefault="00E561A4" w:rsidP="00E33433">
            <w:r>
              <w:rPr>
                <w:sz w:val="21"/>
                <w:szCs w:val="21"/>
              </w:rPr>
              <w:t xml:space="preserve">The property that re-running an operation produces the same result as running it once. Argued layer-by-layer in this project: MERGE INTO gives it at Silver (stable row identity), full overwrite gives it at Gold (no natural </w:t>
            </w:r>
            <w:r>
              <w:rPr>
                <w:sz w:val="21"/>
                <w:szCs w:val="21"/>
              </w:rPr>
              <w:lastRenderedPageBreak/>
              <w:t>merge key on an aggregate).</w:t>
            </w:r>
          </w:p>
        </w:tc>
      </w:tr>
      <w:tr w:rsidR="00E561A4" w14:paraId="78EF3F3A" w14:textId="77777777" w:rsidTr="00E33433">
        <w:tblPrEx>
          <w:tblCellMar>
            <w:top w:w="0" w:type="dxa"/>
            <w:bottom w:w="0" w:type="dxa"/>
          </w:tblCellMar>
        </w:tblPrEx>
        <w:tc>
          <w:tcPr>
            <w:tcW w:w="2300" w:type="dxa"/>
            <w:tcBorders>
              <w:top w:val="single" w:sz="2" w:space="0" w:color="B9C6D9"/>
              <w:left w:val="single" w:sz="2" w:space="0" w:color="B9C6D9"/>
              <w:bottom w:val="single" w:sz="2" w:space="0" w:color="B9C6D9"/>
              <w:right w:val="single" w:sz="2" w:space="0" w:color="B9C6D9"/>
            </w:tcBorders>
            <w:tcMar>
              <w:top w:w="80" w:type="dxa"/>
              <w:left w:w="110" w:type="dxa"/>
              <w:bottom w:w="80" w:type="dxa"/>
              <w:right w:w="110" w:type="dxa"/>
            </w:tcMar>
            <w:vAlign w:val="center"/>
          </w:tcPr>
          <w:p w14:paraId="37819EF4" w14:textId="77777777" w:rsidR="00E561A4" w:rsidRDefault="00E561A4" w:rsidP="00E33433">
            <w:r>
              <w:rPr>
                <w:color w:val="1A1A1A"/>
                <w:sz w:val="21"/>
                <w:szCs w:val="21"/>
              </w:rPr>
              <w:lastRenderedPageBreak/>
              <w:t>Lake Formation</w:t>
            </w:r>
          </w:p>
        </w:tc>
        <w:tc>
          <w:tcPr>
            <w:tcW w:w="7060" w:type="dxa"/>
            <w:tcBorders>
              <w:top w:val="single" w:sz="2" w:space="0" w:color="B9C6D9"/>
              <w:left w:val="single" w:sz="2" w:space="0" w:color="B9C6D9"/>
              <w:bottom w:val="single" w:sz="2" w:space="0" w:color="B9C6D9"/>
              <w:right w:val="single" w:sz="2" w:space="0" w:color="B9C6D9"/>
            </w:tcBorders>
            <w:tcMar>
              <w:top w:w="80" w:type="dxa"/>
              <w:left w:w="110" w:type="dxa"/>
              <w:bottom w:w="80" w:type="dxa"/>
              <w:right w:w="110" w:type="dxa"/>
            </w:tcMar>
          </w:tcPr>
          <w:p w14:paraId="02BBC7DE" w14:textId="77777777" w:rsidR="00E561A4" w:rsidRDefault="00E561A4" w:rsidP="00E33433">
            <w:r>
              <w:rPr>
                <w:sz w:val="21"/>
                <w:szCs w:val="21"/>
              </w:rPr>
              <w:t>An AWS service layered on top of the Glue Data Catalog that adds fine-grained, column- and row-level access control across analytical engines — the AWS equivalent of what Unity Catalog provides natively on Databricks.</w:t>
            </w:r>
          </w:p>
        </w:tc>
      </w:tr>
      <w:tr w:rsidR="00E561A4" w14:paraId="4A9F98D9" w14:textId="77777777" w:rsidTr="00E33433">
        <w:tblPrEx>
          <w:tblCellMar>
            <w:top w:w="0" w:type="dxa"/>
            <w:bottom w:w="0" w:type="dxa"/>
          </w:tblCellMar>
        </w:tblPrEx>
        <w:tc>
          <w:tcPr>
            <w:tcW w:w="2300" w:type="dxa"/>
            <w:tcBorders>
              <w:top w:val="single" w:sz="2" w:space="0" w:color="B9C6D9"/>
              <w:left w:val="single" w:sz="2" w:space="0" w:color="B9C6D9"/>
              <w:bottom w:val="single" w:sz="2" w:space="0" w:color="B9C6D9"/>
              <w:right w:val="single" w:sz="2" w:space="0" w:color="B9C6D9"/>
            </w:tcBorders>
            <w:shd w:val="clear" w:color="auto" w:fill="EEF3FA"/>
            <w:tcMar>
              <w:top w:w="80" w:type="dxa"/>
              <w:left w:w="110" w:type="dxa"/>
              <w:bottom w:w="80" w:type="dxa"/>
              <w:right w:w="110" w:type="dxa"/>
            </w:tcMar>
            <w:vAlign w:val="center"/>
          </w:tcPr>
          <w:p w14:paraId="0D597B07" w14:textId="77777777" w:rsidR="00E561A4" w:rsidRDefault="00E561A4" w:rsidP="00E33433">
            <w:r>
              <w:rPr>
                <w:color w:val="1A1A1A"/>
                <w:sz w:val="21"/>
                <w:szCs w:val="21"/>
              </w:rPr>
              <w:t>Lakehouse</w:t>
            </w:r>
          </w:p>
        </w:tc>
        <w:tc>
          <w:tcPr>
            <w:tcW w:w="7060" w:type="dxa"/>
            <w:tcBorders>
              <w:top w:val="single" w:sz="2" w:space="0" w:color="B9C6D9"/>
              <w:left w:val="single" w:sz="2" w:space="0" w:color="B9C6D9"/>
              <w:bottom w:val="single" w:sz="2" w:space="0" w:color="B9C6D9"/>
              <w:right w:val="single" w:sz="2" w:space="0" w:color="B9C6D9"/>
            </w:tcBorders>
            <w:shd w:val="clear" w:color="auto" w:fill="EEF3FA"/>
            <w:tcMar>
              <w:top w:w="80" w:type="dxa"/>
              <w:left w:w="110" w:type="dxa"/>
              <w:bottom w:w="80" w:type="dxa"/>
              <w:right w:w="110" w:type="dxa"/>
            </w:tcMar>
          </w:tcPr>
          <w:p w14:paraId="3CD175C3" w14:textId="77777777" w:rsidR="00E561A4" w:rsidRDefault="00E561A4" w:rsidP="00E33433">
            <w:r>
              <w:rPr>
                <w:sz w:val="21"/>
                <w:szCs w:val="21"/>
              </w:rPr>
              <w:t>A platform design that unifies a data warehouse's governance/transactional/indexing features with a data lake's cheap, flexible object storage — Delta Lake + Unity Catalog is this project's concrete example.</w:t>
            </w:r>
          </w:p>
        </w:tc>
      </w:tr>
      <w:tr w:rsidR="00E561A4" w14:paraId="3AA6ABFD" w14:textId="77777777" w:rsidTr="00E33433">
        <w:tblPrEx>
          <w:tblCellMar>
            <w:top w:w="0" w:type="dxa"/>
            <w:bottom w:w="0" w:type="dxa"/>
          </w:tblCellMar>
        </w:tblPrEx>
        <w:tc>
          <w:tcPr>
            <w:tcW w:w="2300" w:type="dxa"/>
            <w:tcBorders>
              <w:top w:val="single" w:sz="2" w:space="0" w:color="B9C6D9"/>
              <w:left w:val="single" w:sz="2" w:space="0" w:color="B9C6D9"/>
              <w:bottom w:val="single" w:sz="2" w:space="0" w:color="B9C6D9"/>
              <w:right w:val="single" w:sz="2" w:space="0" w:color="B9C6D9"/>
            </w:tcBorders>
            <w:tcMar>
              <w:top w:w="80" w:type="dxa"/>
              <w:left w:w="110" w:type="dxa"/>
              <w:bottom w:w="80" w:type="dxa"/>
              <w:right w:w="110" w:type="dxa"/>
            </w:tcMar>
            <w:vAlign w:val="center"/>
          </w:tcPr>
          <w:p w14:paraId="67B7A2F5" w14:textId="77777777" w:rsidR="00E561A4" w:rsidRDefault="00E561A4" w:rsidP="00E33433">
            <w:r>
              <w:rPr>
                <w:color w:val="1A1A1A"/>
                <w:sz w:val="21"/>
                <w:szCs w:val="21"/>
              </w:rPr>
              <w:t>Medallion architecture</w:t>
            </w:r>
          </w:p>
        </w:tc>
        <w:tc>
          <w:tcPr>
            <w:tcW w:w="7060" w:type="dxa"/>
            <w:tcBorders>
              <w:top w:val="single" w:sz="2" w:space="0" w:color="B9C6D9"/>
              <w:left w:val="single" w:sz="2" w:space="0" w:color="B9C6D9"/>
              <w:bottom w:val="single" w:sz="2" w:space="0" w:color="B9C6D9"/>
              <w:right w:val="single" w:sz="2" w:space="0" w:color="B9C6D9"/>
            </w:tcBorders>
            <w:tcMar>
              <w:top w:w="80" w:type="dxa"/>
              <w:left w:w="110" w:type="dxa"/>
              <w:bottom w:w="80" w:type="dxa"/>
              <w:right w:w="110" w:type="dxa"/>
            </w:tcMar>
          </w:tcPr>
          <w:p w14:paraId="0AF380F3" w14:textId="77777777" w:rsidR="00E561A4" w:rsidRDefault="00E561A4" w:rsidP="00E33433">
            <w:r>
              <w:rPr>
                <w:sz w:val="21"/>
                <w:szCs w:val="21"/>
              </w:rPr>
              <w:t>The Bronze → Silver → Gold layering pattern this entire project is built around — each layer systematically improves data quality and usability over the last.</w:t>
            </w:r>
          </w:p>
        </w:tc>
      </w:tr>
      <w:tr w:rsidR="00E561A4" w14:paraId="2B639EE6" w14:textId="77777777" w:rsidTr="00E33433">
        <w:tblPrEx>
          <w:tblCellMar>
            <w:top w:w="0" w:type="dxa"/>
            <w:bottom w:w="0" w:type="dxa"/>
          </w:tblCellMar>
        </w:tblPrEx>
        <w:tc>
          <w:tcPr>
            <w:tcW w:w="2300" w:type="dxa"/>
            <w:tcBorders>
              <w:top w:val="single" w:sz="2" w:space="0" w:color="B9C6D9"/>
              <w:left w:val="single" w:sz="2" w:space="0" w:color="B9C6D9"/>
              <w:bottom w:val="single" w:sz="2" w:space="0" w:color="B9C6D9"/>
              <w:right w:val="single" w:sz="2" w:space="0" w:color="B9C6D9"/>
            </w:tcBorders>
            <w:shd w:val="clear" w:color="auto" w:fill="EEF3FA"/>
            <w:tcMar>
              <w:top w:w="80" w:type="dxa"/>
              <w:left w:w="110" w:type="dxa"/>
              <w:bottom w:w="80" w:type="dxa"/>
              <w:right w:w="110" w:type="dxa"/>
            </w:tcMar>
            <w:vAlign w:val="center"/>
          </w:tcPr>
          <w:p w14:paraId="2720EE37" w14:textId="77777777" w:rsidR="00E561A4" w:rsidRDefault="00E561A4" w:rsidP="00E33433">
            <w:r>
              <w:rPr>
                <w:color w:val="1A1A1A"/>
                <w:sz w:val="21"/>
                <w:szCs w:val="21"/>
              </w:rPr>
              <w:t>MERGE INTO</w:t>
            </w:r>
          </w:p>
        </w:tc>
        <w:tc>
          <w:tcPr>
            <w:tcW w:w="7060" w:type="dxa"/>
            <w:tcBorders>
              <w:top w:val="single" w:sz="2" w:space="0" w:color="B9C6D9"/>
              <w:left w:val="single" w:sz="2" w:space="0" w:color="B9C6D9"/>
              <w:bottom w:val="single" w:sz="2" w:space="0" w:color="B9C6D9"/>
              <w:right w:val="single" w:sz="2" w:space="0" w:color="B9C6D9"/>
            </w:tcBorders>
            <w:shd w:val="clear" w:color="auto" w:fill="EEF3FA"/>
            <w:tcMar>
              <w:top w:w="80" w:type="dxa"/>
              <w:left w:w="110" w:type="dxa"/>
              <w:bottom w:w="80" w:type="dxa"/>
              <w:right w:w="110" w:type="dxa"/>
            </w:tcMar>
          </w:tcPr>
          <w:p w14:paraId="355F7DA3" w14:textId="77777777" w:rsidR="00E561A4" w:rsidRDefault="00E561A4" w:rsidP="00E33433">
            <w:r>
              <w:rPr>
                <w:sz w:val="21"/>
                <w:szCs w:val="21"/>
              </w:rPr>
              <w:t xml:space="preserve">An </w:t>
            </w:r>
            <w:proofErr w:type="spellStart"/>
            <w:r>
              <w:rPr>
                <w:sz w:val="21"/>
                <w:szCs w:val="21"/>
              </w:rPr>
              <w:t>upsert</w:t>
            </w:r>
            <w:proofErr w:type="spellEnd"/>
            <w:r>
              <w:rPr>
                <w:sz w:val="21"/>
                <w:szCs w:val="21"/>
              </w:rPr>
              <w:t xml:space="preserve"> SQL statement: matching rows update in place, non-matching rows insert as new. Used at Silver wherever a record has stable identity (e.g. </w:t>
            </w:r>
            <w:proofErr w:type="spellStart"/>
            <w:r>
              <w:rPr>
                <w:sz w:val="21"/>
                <w:szCs w:val="21"/>
              </w:rPr>
              <w:t>user_profile</w:t>
            </w:r>
            <w:proofErr w:type="spellEnd"/>
            <w:r>
              <w:rPr>
                <w:sz w:val="21"/>
                <w:szCs w:val="21"/>
              </w:rPr>
              <w:t>).</w:t>
            </w:r>
          </w:p>
        </w:tc>
      </w:tr>
      <w:tr w:rsidR="00E561A4" w14:paraId="60F0DD70" w14:textId="77777777" w:rsidTr="00E33433">
        <w:tblPrEx>
          <w:tblCellMar>
            <w:top w:w="0" w:type="dxa"/>
            <w:bottom w:w="0" w:type="dxa"/>
          </w:tblCellMar>
        </w:tblPrEx>
        <w:tc>
          <w:tcPr>
            <w:tcW w:w="2300" w:type="dxa"/>
            <w:tcBorders>
              <w:top w:val="single" w:sz="2" w:space="0" w:color="B9C6D9"/>
              <w:left w:val="single" w:sz="2" w:space="0" w:color="B9C6D9"/>
              <w:bottom w:val="single" w:sz="2" w:space="0" w:color="B9C6D9"/>
              <w:right w:val="single" w:sz="2" w:space="0" w:color="B9C6D9"/>
            </w:tcBorders>
            <w:tcMar>
              <w:top w:w="80" w:type="dxa"/>
              <w:left w:w="110" w:type="dxa"/>
              <w:bottom w:w="80" w:type="dxa"/>
              <w:right w:w="110" w:type="dxa"/>
            </w:tcMar>
            <w:vAlign w:val="center"/>
          </w:tcPr>
          <w:p w14:paraId="27D39860" w14:textId="77777777" w:rsidR="00E561A4" w:rsidRDefault="00E561A4" w:rsidP="00E33433">
            <w:r>
              <w:rPr>
                <w:color w:val="1A1A1A"/>
                <w:sz w:val="21"/>
                <w:szCs w:val="21"/>
              </w:rPr>
              <w:t>Parquet</w:t>
            </w:r>
          </w:p>
        </w:tc>
        <w:tc>
          <w:tcPr>
            <w:tcW w:w="7060" w:type="dxa"/>
            <w:tcBorders>
              <w:top w:val="single" w:sz="2" w:space="0" w:color="B9C6D9"/>
              <w:left w:val="single" w:sz="2" w:space="0" w:color="B9C6D9"/>
              <w:bottom w:val="single" w:sz="2" w:space="0" w:color="B9C6D9"/>
              <w:right w:val="single" w:sz="2" w:space="0" w:color="B9C6D9"/>
            </w:tcBorders>
            <w:tcMar>
              <w:top w:w="80" w:type="dxa"/>
              <w:left w:w="110" w:type="dxa"/>
              <w:bottom w:w="80" w:type="dxa"/>
              <w:right w:w="110" w:type="dxa"/>
            </w:tcMar>
          </w:tcPr>
          <w:p w14:paraId="7B8964E7" w14:textId="77777777" w:rsidR="00E561A4" w:rsidRDefault="00E561A4" w:rsidP="00E33433">
            <w:r>
              <w:rPr>
                <w:sz w:val="21"/>
                <w:szCs w:val="21"/>
              </w:rPr>
              <w:t xml:space="preserve">An open-source, columnar file format optimized for analytical scan performance and compression — the on-disk shape shared conceptually by Local's Parquet, AWS's S3 Parquet, and the Parquet files underneath </w:t>
            </w:r>
            <w:proofErr w:type="spellStart"/>
            <w:r>
              <w:rPr>
                <w:sz w:val="21"/>
                <w:szCs w:val="21"/>
              </w:rPr>
              <w:t>Databricks's</w:t>
            </w:r>
            <w:proofErr w:type="spellEnd"/>
            <w:r>
              <w:rPr>
                <w:sz w:val="21"/>
                <w:szCs w:val="21"/>
              </w:rPr>
              <w:t xml:space="preserve"> Delta tables.</w:t>
            </w:r>
          </w:p>
        </w:tc>
      </w:tr>
      <w:tr w:rsidR="00E561A4" w14:paraId="5B972022" w14:textId="77777777" w:rsidTr="00E33433">
        <w:tblPrEx>
          <w:tblCellMar>
            <w:top w:w="0" w:type="dxa"/>
            <w:bottom w:w="0" w:type="dxa"/>
          </w:tblCellMar>
        </w:tblPrEx>
        <w:tc>
          <w:tcPr>
            <w:tcW w:w="2300" w:type="dxa"/>
            <w:tcBorders>
              <w:top w:val="single" w:sz="2" w:space="0" w:color="B9C6D9"/>
              <w:left w:val="single" w:sz="2" w:space="0" w:color="B9C6D9"/>
              <w:bottom w:val="single" w:sz="2" w:space="0" w:color="B9C6D9"/>
              <w:right w:val="single" w:sz="2" w:space="0" w:color="B9C6D9"/>
            </w:tcBorders>
            <w:shd w:val="clear" w:color="auto" w:fill="EEF3FA"/>
            <w:tcMar>
              <w:top w:w="80" w:type="dxa"/>
              <w:left w:w="110" w:type="dxa"/>
              <w:bottom w:w="80" w:type="dxa"/>
              <w:right w:w="110" w:type="dxa"/>
            </w:tcMar>
            <w:vAlign w:val="center"/>
          </w:tcPr>
          <w:p w14:paraId="136C04B5" w14:textId="77777777" w:rsidR="00E561A4" w:rsidRDefault="00E561A4" w:rsidP="00E33433">
            <w:r>
              <w:rPr>
                <w:color w:val="1A1A1A"/>
                <w:sz w:val="21"/>
                <w:szCs w:val="21"/>
              </w:rPr>
              <w:t>Quarantine</w:t>
            </w:r>
          </w:p>
        </w:tc>
        <w:tc>
          <w:tcPr>
            <w:tcW w:w="7060" w:type="dxa"/>
            <w:tcBorders>
              <w:top w:val="single" w:sz="2" w:space="0" w:color="B9C6D9"/>
              <w:left w:val="single" w:sz="2" w:space="0" w:color="B9C6D9"/>
              <w:bottom w:val="single" w:sz="2" w:space="0" w:color="B9C6D9"/>
              <w:right w:val="single" w:sz="2" w:space="0" w:color="B9C6D9"/>
            </w:tcBorders>
            <w:shd w:val="clear" w:color="auto" w:fill="EEF3FA"/>
            <w:tcMar>
              <w:top w:w="80" w:type="dxa"/>
              <w:left w:w="110" w:type="dxa"/>
              <w:bottom w:w="80" w:type="dxa"/>
              <w:right w:w="110" w:type="dxa"/>
            </w:tcMar>
          </w:tcPr>
          <w:p w14:paraId="31FD4043" w14:textId="77777777" w:rsidR="00E561A4" w:rsidRDefault="00E561A4" w:rsidP="00E33433">
            <w:r>
              <w:rPr>
                <w:sz w:val="21"/>
                <w:szCs w:val="21"/>
              </w:rPr>
              <w:t xml:space="preserve">This project's standing answer to bad data — never silently dropped, never allowed to fail an entire batch. Routed to an isolated table/path with an explicit </w:t>
            </w:r>
            <w:proofErr w:type="spellStart"/>
            <w:r>
              <w:rPr>
                <w:sz w:val="21"/>
                <w:szCs w:val="21"/>
              </w:rPr>
              <w:t>failure_reason</w:t>
            </w:r>
            <w:proofErr w:type="spellEnd"/>
            <w:r>
              <w:rPr>
                <w:sz w:val="21"/>
                <w:szCs w:val="21"/>
              </w:rPr>
              <w:t>.</w:t>
            </w:r>
          </w:p>
        </w:tc>
      </w:tr>
      <w:tr w:rsidR="00E561A4" w14:paraId="7C35F58C" w14:textId="77777777" w:rsidTr="00E33433">
        <w:tblPrEx>
          <w:tblCellMar>
            <w:top w:w="0" w:type="dxa"/>
            <w:bottom w:w="0" w:type="dxa"/>
          </w:tblCellMar>
        </w:tblPrEx>
        <w:tc>
          <w:tcPr>
            <w:tcW w:w="2300" w:type="dxa"/>
            <w:tcBorders>
              <w:top w:val="single" w:sz="2" w:space="0" w:color="B9C6D9"/>
              <w:left w:val="single" w:sz="2" w:space="0" w:color="B9C6D9"/>
              <w:bottom w:val="single" w:sz="2" w:space="0" w:color="B9C6D9"/>
              <w:right w:val="single" w:sz="2" w:space="0" w:color="B9C6D9"/>
            </w:tcBorders>
            <w:tcMar>
              <w:top w:w="80" w:type="dxa"/>
              <w:left w:w="110" w:type="dxa"/>
              <w:bottom w:w="80" w:type="dxa"/>
              <w:right w:w="110" w:type="dxa"/>
            </w:tcMar>
            <w:vAlign w:val="center"/>
          </w:tcPr>
          <w:p w14:paraId="4FB8915E" w14:textId="77777777" w:rsidR="00E561A4" w:rsidRDefault="00E561A4" w:rsidP="00E33433">
            <w:r>
              <w:rPr>
                <w:color w:val="1A1A1A"/>
                <w:sz w:val="21"/>
                <w:szCs w:val="21"/>
              </w:rPr>
              <w:t>SCD Type 2 (Slowly Changing Dimension)</w:t>
            </w:r>
          </w:p>
        </w:tc>
        <w:tc>
          <w:tcPr>
            <w:tcW w:w="7060" w:type="dxa"/>
            <w:tcBorders>
              <w:top w:val="single" w:sz="2" w:space="0" w:color="B9C6D9"/>
              <w:left w:val="single" w:sz="2" w:space="0" w:color="B9C6D9"/>
              <w:bottom w:val="single" w:sz="2" w:space="0" w:color="B9C6D9"/>
              <w:right w:val="single" w:sz="2" w:space="0" w:color="B9C6D9"/>
            </w:tcBorders>
            <w:tcMar>
              <w:top w:w="80" w:type="dxa"/>
              <w:left w:w="110" w:type="dxa"/>
              <w:bottom w:w="80" w:type="dxa"/>
              <w:right w:w="110" w:type="dxa"/>
            </w:tcMar>
          </w:tcPr>
          <w:p w14:paraId="76AD94E4" w14:textId="77777777" w:rsidR="00E561A4" w:rsidRDefault="00E561A4" w:rsidP="00E33433">
            <w:r>
              <w:rPr>
                <w:sz w:val="21"/>
                <w:szCs w:val="21"/>
              </w:rPr>
              <w:t xml:space="preserve">A dimensional-modeling technique that preserves history by inserting a new row per attribute change, bounded by </w:t>
            </w:r>
            <w:proofErr w:type="spellStart"/>
            <w:r>
              <w:rPr>
                <w:sz w:val="21"/>
                <w:szCs w:val="21"/>
              </w:rPr>
              <w:t>effective_date</w:t>
            </w:r>
            <w:proofErr w:type="spellEnd"/>
            <w:r>
              <w:rPr>
                <w:sz w:val="21"/>
                <w:szCs w:val="21"/>
              </w:rPr>
              <w:t>/</w:t>
            </w:r>
            <w:proofErr w:type="spellStart"/>
            <w:r>
              <w:rPr>
                <w:sz w:val="21"/>
                <w:szCs w:val="21"/>
              </w:rPr>
              <w:t>end_date</w:t>
            </w:r>
            <w:proofErr w:type="spellEnd"/>
            <w:r>
              <w:rPr>
                <w:sz w:val="21"/>
                <w:szCs w:val="21"/>
              </w:rPr>
              <w:t xml:space="preserve"> columns, rather than overwriting the old value in place. Applied to </w:t>
            </w:r>
            <w:proofErr w:type="spellStart"/>
            <w:r>
              <w:rPr>
                <w:sz w:val="21"/>
                <w:szCs w:val="21"/>
              </w:rPr>
              <w:t>dim_user</w:t>
            </w:r>
            <w:proofErr w:type="spellEnd"/>
            <w:r>
              <w:rPr>
                <w:sz w:val="21"/>
                <w:szCs w:val="21"/>
              </w:rPr>
              <w:t xml:space="preserve"> specifically because </w:t>
            </w:r>
            <w:proofErr w:type="spellStart"/>
            <w:r>
              <w:rPr>
                <w:sz w:val="21"/>
                <w:szCs w:val="21"/>
              </w:rPr>
              <w:t>job_type</w:t>
            </w:r>
            <w:proofErr w:type="spellEnd"/>
            <w:r>
              <w:rPr>
                <w:sz w:val="21"/>
                <w:szCs w:val="21"/>
              </w:rPr>
              <w:t>/</w:t>
            </w:r>
            <w:proofErr w:type="spellStart"/>
            <w:r>
              <w:rPr>
                <w:sz w:val="21"/>
                <w:szCs w:val="21"/>
              </w:rPr>
              <w:t>fitness_goal</w:t>
            </w:r>
            <w:proofErr w:type="spellEnd"/>
            <w:r>
              <w:rPr>
                <w:sz w:val="21"/>
                <w:szCs w:val="21"/>
              </w:rPr>
              <w:t>/</w:t>
            </w:r>
            <w:proofErr w:type="spellStart"/>
            <w:r>
              <w:rPr>
                <w:sz w:val="21"/>
                <w:szCs w:val="21"/>
              </w:rPr>
              <w:t>medical_history</w:t>
            </w:r>
            <w:proofErr w:type="spellEnd"/>
            <w:r>
              <w:rPr>
                <w:sz w:val="21"/>
                <w:szCs w:val="21"/>
              </w:rPr>
              <w:t xml:space="preserve"> genuinely change over a user's history.</w:t>
            </w:r>
          </w:p>
        </w:tc>
      </w:tr>
      <w:tr w:rsidR="00E561A4" w14:paraId="45101C0D" w14:textId="77777777" w:rsidTr="00E33433">
        <w:tblPrEx>
          <w:tblCellMar>
            <w:top w:w="0" w:type="dxa"/>
            <w:bottom w:w="0" w:type="dxa"/>
          </w:tblCellMar>
        </w:tblPrEx>
        <w:tc>
          <w:tcPr>
            <w:tcW w:w="2300" w:type="dxa"/>
            <w:tcBorders>
              <w:top w:val="single" w:sz="2" w:space="0" w:color="B9C6D9"/>
              <w:left w:val="single" w:sz="2" w:space="0" w:color="B9C6D9"/>
              <w:bottom w:val="single" w:sz="2" w:space="0" w:color="B9C6D9"/>
              <w:right w:val="single" w:sz="2" w:space="0" w:color="B9C6D9"/>
            </w:tcBorders>
            <w:shd w:val="clear" w:color="auto" w:fill="EEF3FA"/>
            <w:tcMar>
              <w:top w:w="80" w:type="dxa"/>
              <w:left w:w="110" w:type="dxa"/>
              <w:bottom w:w="80" w:type="dxa"/>
              <w:right w:w="110" w:type="dxa"/>
            </w:tcMar>
            <w:vAlign w:val="center"/>
          </w:tcPr>
          <w:p w14:paraId="3D19EC7A" w14:textId="77777777" w:rsidR="00E561A4" w:rsidRDefault="00E561A4" w:rsidP="00E33433">
            <w:r>
              <w:rPr>
                <w:color w:val="1A1A1A"/>
                <w:sz w:val="21"/>
                <w:szCs w:val="21"/>
              </w:rPr>
              <w:t>Silver layer</w:t>
            </w:r>
          </w:p>
        </w:tc>
        <w:tc>
          <w:tcPr>
            <w:tcW w:w="7060" w:type="dxa"/>
            <w:tcBorders>
              <w:top w:val="single" w:sz="2" w:space="0" w:color="B9C6D9"/>
              <w:left w:val="single" w:sz="2" w:space="0" w:color="B9C6D9"/>
              <w:bottom w:val="single" w:sz="2" w:space="0" w:color="B9C6D9"/>
              <w:right w:val="single" w:sz="2" w:space="0" w:color="B9C6D9"/>
            </w:tcBorders>
            <w:shd w:val="clear" w:color="auto" w:fill="EEF3FA"/>
            <w:tcMar>
              <w:top w:w="80" w:type="dxa"/>
              <w:left w:w="110" w:type="dxa"/>
              <w:bottom w:w="80" w:type="dxa"/>
              <w:right w:w="110" w:type="dxa"/>
            </w:tcMar>
          </w:tcPr>
          <w:p w14:paraId="2691DE76" w14:textId="77777777" w:rsidR="00E561A4" w:rsidRDefault="00E561A4" w:rsidP="00E33433">
            <w:r>
              <w:rPr>
                <w:sz w:val="21"/>
                <w:szCs w:val="21"/>
              </w:rPr>
              <w:t>The middle medallion zone — validated, typed, deduplicated, and (where applicable) enriched data, one table per record type, with failures routed to quarantine rather than dropped.</w:t>
            </w:r>
          </w:p>
        </w:tc>
      </w:tr>
      <w:tr w:rsidR="00E561A4" w14:paraId="19F08AA6" w14:textId="77777777" w:rsidTr="00E33433">
        <w:tblPrEx>
          <w:tblCellMar>
            <w:top w:w="0" w:type="dxa"/>
            <w:bottom w:w="0" w:type="dxa"/>
          </w:tblCellMar>
        </w:tblPrEx>
        <w:tc>
          <w:tcPr>
            <w:tcW w:w="2300" w:type="dxa"/>
            <w:tcBorders>
              <w:top w:val="single" w:sz="2" w:space="0" w:color="B9C6D9"/>
              <w:left w:val="single" w:sz="2" w:space="0" w:color="B9C6D9"/>
              <w:bottom w:val="single" w:sz="2" w:space="0" w:color="B9C6D9"/>
              <w:right w:val="single" w:sz="2" w:space="0" w:color="B9C6D9"/>
            </w:tcBorders>
            <w:tcMar>
              <w:top w:w="80" w:type="dxa"/>
              <w:left w:w="110" w:type="dxa"/>
              <w:bottom w:w="80" w:type="dxa"/>
              <w:right w:w="110" w:type="dxa"/>
            </w:tcMar>
            <w:vAlign w:val="center"/>
          </w:tcPr>
          <w:p w14:paraId="1610E7A1" w14:textId="77777777" w:rsidR="00E561A4" w:rsidRDefault="00E561A4" w:rsidP="00E33433">
            <w:r>
              <w:rPr>
                <w:color w:val="1A1A1A"/>
                <w:sz w:val="21"/>
                <w:szCs w:val="21"/>
              </w:rPr>
              <w:t>SQL Warehouse (Databricks)</w:t>
            </w:r>
          </w:p>
        </w:tc>
        <w:tc>
          <w:tcPr>
            <w:tcW w:w="7060" w:type="dxa"/>
            <w:tcBorders>
              <w:top w:val="single" w:sz="2" w:space="0" w:color="B9C6D9"/>
              <w:left w:val="single" w:sz="2" w:space="0" w:color="B9C6D9"/>
              <w:bottom w:val="single" w:sz="2" w:space="0" w:color="B9C6D9"/>
              <w:right w:val="single" w:sz="2" w:space="0" w:color="B9C6D9"/>
            </w:tcBorders>
            <w:tcMar>
              <w:top w:w="80" w:type="dxa"/>
              <w:left w:w="110" w:type="dxa"/>
              <w:bottom w:w="80" w:type="dxa"/>
              <w:right w:w="110" w:type="dxa"/>
            </w:tcMar>
          </w:tcPr>
          <w:p w14:paraId="2192DB37" w14:textId="77777777" w:rsidR="00E561A4" w:rsidRDefault="00E561A4" w:rsidP="00E33433">
            <w:r>
              <w:rPr>
                <w:sz w:val="21"/>
                <w:szCs w:val="21"/>
              </w:rPr>
              <w:t xml:space="preserve">Serverless, ANSI-SQL-optimized compute for querying Delta tables — a compute endpoint, not a second copy of the data, which is the core </w:t>
            </w:r>
            <w:r>
              <w:rPr>
                <w:sz w:val="21"/>
                <w:szCs w:val="21"/>
              </w:rPr>
              <w:lastRenderedPageBreak/>
              <w:t>structural difference from Redshift needing a COPY from S3.</w:t>
            </w:r>
          </w:p>
        </w:tc>
      </w:tr>
      <w:tr w:rsidR="00E561A4" w14:paraId="5934C176" w14:textId="77777777" w:rsidTr="00E33433">
        <w:tblPrEx>
          <w:tblCellMar>
            <w:top w:w="0" w:type="dxa"/>
            <w:bottom w:w="0" w:type="dxa"/>
          </w:tblCellMar>
        </w:tblPrEx>
        <w:tc>
          <w:tcPr>
            <w:tcW w:w="2300" w:type="dxa"/>
            <w:tcBorders>
              <w:top w:val="single" w:sz="2" w:space="0" w:color="B9C6D9"/>
              <w:left w:val="single" w:sz="2" w:space="0" w:color="B9C6D9"/>
              <w:bottom w:val="single" w:sz="2" w:space="0" w:color="B9C6D9"/>
              <w:right w:val="single" w:sz="2" w:space="0" w:color="B9C6D9"/>
            </w:tcBorders>
            <w:shd w:val="clear" w:color="auto" w:fill="EEF3FA"/>
            <w:tcMar>
              <w:top w:w="80" w:type="dxa"/>
              <w:left w:w="110" w:type="dxa"/>
              <w:bottom w:w="80" w:type="dxa"/>
              <w:right w:w="110" w:type="dxa"/>
            </w:tcMar>
            <w:vAlign w:val="center"/>
          </w:tcPr>
          <w:p w14:paraId="3C03C897" w14:textId="77777777" w:rsidR="00E561A4" w:rsidRDefault="00E561A4" w:rsidP="00E33433">
            <w:r>
              <w:rPr>
                <w:color w:val="1A1A1A"/>
                <w:sz w:val="21"/>
                <w:szCs w:val="21"/>
              </w:rPr>
              <w:lastRenderedPageBreak/>
              <w:t>Unity Catalog</w:t>
            </w:r>
          </w:p>
        </w:tc>
        <w:tc>
          <w:tcPr>
            <w:tcW w:w="7060" w:type="dxa"/>
            <w:tcBorders>
              <w:top w:val="single" w:sz="2" w:space="0" w:color="B9C6D9"/>
              <w:left w:val="single" w:sz="2" w:space="0" w:color="B9C6D9"/>
              <w:bottom w:val="single" w:sz="2" w:space="0" w:color="B9C6D9"/>
              <w:right w:val="single" w:sz="2" w:space="0" w:color="B9C6D9"/>
            </w:tcBorders>
            <w:shd w:val="clear" w:color="auto" w:fill="EEF3FA"/>
            <w:tcMar>
              <w:top w:w="80" w:type="dxa"/>
              <w:left w:w="110" w:type="dxa"/>
              <w:bottom w:w="80" w:type="dxa"/>
              <w:right w:w="110" w:type="dxa"/>
            </w:tcMar>
          </w:tcPr>
          <w:p w14:paraId="78330ADD" w14:textId="77777777" w:rsidR="00E561A4" w:rsidRDefault="00E561A4" w:rsidP="00E33433">
            <w:proofErr w:type="spellStart"/>
            <w:r>
              <w:rPr>
                <w:sz w:val="21"/>
                <w:szCs w:val="21"/>
              </w:rPr>
              <w:t>Databricks's</w:t>
            </w:r>
            <w:proofErr w:type="spellEnd"/>
            <w:r>
              <w:rPr>
                <w:sz w:val="21"/>
                <w:szCs w:val="21"/>
              </w:rPr>
              <w:t xml:space="preserve"> unified governance layer — lineage, fine-grained access control, and audit logging across catalogs/schemas/tables, automatic and built-in rather than bolted on.</w:t>
            </w:r>
          </w:p>
        </w:tc>
      </w:tr>
    </w:tbl>
    <w:p w14:paraId="57EEAB66" w14:textId="77777777" w:rsidR="00E561A4" w:rsidRDefault="00E561A4" w:rsidP="00E561A4">
      <w:pPr>
        <w:pStyle w:val="Heading1"/>
        <w:pageBreakBefore/>
      </w:pPr>
      <w:r>
        <w:lastRenderedPageBreak/>
        <w:t>14. References</w:t>
      </w:r>
    </w:p>
    <w:p w14:paraId="7A325898" w14:textId="77777777" w:rsidR="00E561A4" w:rsidRDefault="00E561A4" w:rsidP="00E561A4">
      <w:pPr>
        <w:spacing w:after="160"/>
      </w:pPr>
      <w:r>
        <w:t>The physiological research and technical sources this project's Gold-layer scoring formulas and architectural reasoning are grounded in — included so every claim in the handbook traces back to something checkable, the same discipline applied to the pipeline's own data.</w:t>
      </w:r>
    </w:p>
    <w:p w14:paraId="787DB8AD" w14:textId="77777777" w:rsidR="00E561A4" w:rsidRDefault="00E561A4" w:rsidP="00E561A4">
      <w:pPr>
        <w:pStyle w:val="Heading2"/>
      </w:pPr>
      <w:r>
        <w:t>14.1 Physiological / sports-science grounding</w:t>
      </w:r>
    </w:p>
    <w:p w14:paraId="0A22AFA0" w14:textId="77777777" w:rsidR="00E561A4" w:rsidRDefault="00E561A4" w:rsidP="00E561A4">
      <w:pPr>
        <w:pStyle w:val="ListParagraph"/>
        <w:numPr>
          <w:ilvl w:val="0"/>
          <w:numId w:val="13"/>
        </w:numPr>
        <w:spacing w:after="80" w:line="240" w:lineRule="auto"/>
        <w:contextualSpacing w:val="0"/>
      </w:pPr>
      <w:r>
        <w:t>Foster, C. et al. (2001). "A new approach to monitoring exercise training." Journal of Strength and Conditioning Research — the basis for the Session-RPE training-load methodology used in this project's fatigue scoring.</w:t>
      </w:r>
    </w:p>
    <w:p w14:paraId="6FB83A74" w14:textId="77777777" w:rsidR="00E561A4" w:rsidRDefault="00E561A4" w:rsidP="00E561A4">
      <w:pPr>
        <w:pStyle w:val="ListParagraph"/>
        <w:numPr>
          <w:ilvl w:val="0"/>
          <w:numId w:val="13"/>
        </w:numPr>
        <w:spacing w:after="80" w:line="240" w:lineRule="auto"/>
        <w:contextualSpacing w:val="0"/>
      </w:pPr>
      <w:r>
        <w:t>Van Dongen, H.P.A. et al. (2003). "The cumulative cost of additional wakefulness." Sleep — the sleep-debt model underlying the recovery-readiness calculation's sleep component.</w:t>
      </w:r>
    </w:p>
    <w:p w14:paraId="09A7703A" w14:textId="77777777" w:rsidR="00E561A4" w:rsidRDefault="00E561A4" w:rsidP="00E561A4">
      <w:pPr>
        <w:pStyle w:val="ListParagraph"/>
        <w:numPr>
          <w:ilvl w:val="0"/>
          <w:numId w:val="13"/>
        </w:numPr>
        <w:spacing w:after="80" w:line="240" w:lineRule="auto"/>
        <w:contextualSpacing w:val="0"/>
      </w:pPr>
      <w:r>
        <w:t>Meeusen, R. et al. (2013). "Prevention, diagnosis, and treatment of the overtraining syndrome." European College of Sport Science (ECSS) consensus statement — the basis for this project's overtraining-flag threshold logic.</w:t>
      </w:r>
    </w:p>
    <w:p w14:paraId="77890CC0" w14:textId="77777777" w:rsidR="00E561A4" w:rsidRDefault="00E561A4" w:rsidP="00E561A4">
      <w:pPr>
        <w:pStyle w:val="Heading2"/>
      </w:pPr>
      <w:r>
        <w:t>14.2 Data engineering / platform documentation</w:t>
      </w:r>
    </w:p>
    <w:p w14:paraId="5FBB1DFB" w14:textId="77777777" w:rsidR="00E561A4" w:rsidRDefault="00E561A4" w:rsidP="00E561A4">
      <w:pPr>
        <w:pStyle w:val="ListParagraph"/>
        <w:numPr>
          <w:ilvl w:val="0"/>
          <w:numId w:val="13"/>
        </w:numPr>
        <w:spacing w:after="80" w:line="240" w:lineRule="auto"/>
        <w:contextualSpacing w:val="0"/>
      </w:pPr>
      <w:r>
        <w:t>Kimball, R. &amp; Ross, M. The Data Warehouse Toolkit — dimensional modeling, SCD Type 2, and the early-arriving-fact/late-arriving-dimension pattern this project hit (and named) on both the AWS and Databricks legs.</w:t>
      </w:r>
    </w:p>
    <w:p w14:paraId="287A0651" w14:textId="77777777" w:rsidR="00E561A4" w:rsidRDefault="00E561A4" w:rsidP="00E561A4">
      <w:pPr>
        <w:pStyle w:val="ListParagraph"/>
        <w:numPr>
          <w:ilvl w:val="0"/>
          <w:numId w:val="13"/>
        </w:numPr>
        <w:spacing w:after="80" w:line="240" w:lineRule="auto"/>
        <w:contextualSpacing w:val="0"/>
      </w:pPr>
      <w:r>
        <w:t>Kleppmann, M. Designing Data-Intensive Applications — the general reference for streaming/batch trade-offs, idempotency, and the Lambda Architecture pattern named throughout this project's decision log.</w:t>
      </w:r>
    </w:p>
    <w:p w14:paraId="6C512CFC" w14:textId="77777777" w:rsidR="00E561A4" w:rsidRDefault="00E561A4" w:rsidP="00E561A4">
      <w:pPr>
        <w:pStyle w:val="ListParagraph"/>
        <w:numPr>
          <w:ilvl w:val="0"/>
          <w:numId w:val="13"/>
        </w:numPr>
        <w:spacing w:after="80" w:line="240" w:lineRule="auto"/>
        <w:contextualSpacing w:val="0"/>
      </w:pPr>
      <w:r>
        <w:t>AWS documentation: Kinesis Data Streams, Lambda, Glue, Redshift Serverless, Athena, Lake Formation, SageMaker.</w:t>
      </w:r>
    </w:p>
    <w:p w14:paraId="0137BE68" w14:textId="77777777" w:rsidR="00E561A4" w:rsidRDefault="00E561A4" w:rsidP="00E561A4">
      <w:pPr>
        <w:pStyle w:val="ListParagraph"/>
        <w:numPr>
          <w:ilvl w:val="0"/>
          <w:numId w:val="13"/>
        </w:numPr>
        <w:spacing w:after="80" w:line="240" w:lineRule="auto"/>
        <w:contextualSpacing w:val="0"/>
      </w:pPr>
      <w:r>
        <w:t>Databricks documentation: Delta Lake, Unity Catalog, Auto Loader, Databricks Workflows, Databricks SQL / Lakeview, Delta Sharing, Lakehouse Federation.</w:t>
      </w:r>
    </w:p>
    <w:p w14:paraId="52903CD3" w14:textId="77777777" w:rsidR="00E561A4" w:rsidRDefault="00E561A4" w:rsidP="00E561A4">
      <w:pPr>
        <w:pStyle w:val="ListParagraph"/>
        <w:numPr>
          <w:ilvl w:val="0"/>
          <w:numId w:val="13"/>
        </w:numPr>
        <w:spacing w:after="80" w:line="240" w:lineRule="auto"/>
        <w:contextualSpacing w:val="0"/>
      </w:pPr>
      <w:proofErr w:type="spellStart"/>
      <w:r>
        <w:t>dbt</w:t>
      </w:r>
      <w:proofErr w:type="spellEnd"/>
      <w:r>
        <w:t xml:space="preserve"> </w:t>
      </w:r>
      <w:proofErr w:type="gramStart"/>
      <w:r>
        <w:t>Labs</w:t>
      </w:r>
      <w:proofErr w:type="gramEnd"/>
      <w:r>
        <w:t xml:space="preserve"> documentation: </w:t>
      </w:r>
      <w:proofErr w:type="spellStart"/>
      <w:r>
        <w:t>dbt</w:t>
      </w:r>
      <w:proofErr w:type="spellEnd"/>
      <w:r>
        <w:t xml:space="preserve">-core, </w:t>
      </w:r>
      <w:proofErr w:type="spellStart"/>
      <w:r>
        <w:t>dbt</w:t>
      </w:r>
      <w:proofErr w:type="spellEnd"/>
      <w:r>
        <w:t>-redshift adapter, testing and snapshot patterns.</w:t>
      </w:r>
    </w:p>
    <w:p w14:paraId="027A4878" w14:textId="77777777" w:rsidR="00E561A4" w:rsidRDefault="00E561A4" w:rsidP="00E561A4">
      <w:pPr>
        <w:pStyle w:val="ListParagraph"/>
        <w:numPr>
          <w:ilvl w:val="0"/>
          <w:numId w:val="13"/>
        </w:numPr>
        <w:spacing w:after="80" w:line="240" w:lineRule="auto"/>
        <w:contextualSpacing w:val="0"/>
      </w:pPr>
      <w:r>
        <w:t>Snowflake documentation: storage integrations, Secure Data Sharing, virtual warehouses.</w:t>
      </w:r>
    </w:p>
    <w:p w14:paraId="181B2E24" w14:textId="77777777" w:rsidR="00E561A4" w:rsidRDefault="00E561A4">
      <w:pPr>
        <w:spacing w:before="600"/>
        <w:jc w:val="center"/>
      </w:pPr>
    </w:p>
    <w:sectPr w:rsidR="00E561A4" w:rsidSect="00034616">
      <w:headerReference w:type="default" r:id="rId8"/>
      <w:footerReference w:type="default" r:id="rId9"/>
      <w:pgSz w:w="12240" w:h="15840"/>
      <w:pgMar w:top="1296" w:right="1296" w:bottom="1296"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A75CB1" w14:textId="77777777" w:rsidR="006D6C3D" w:rsidRDefault="006D6C3D">
      <w:pPr>
        <w:spacing w:after="0" w:line="240" w:lineRule="auto"/>
      </w:pPr>
      <w:r>
        <w:separator/>
      </w:r>
    </w:p>
  </w:endnote>
  <w:endnote w:type="continuationSeparator" w:id="0">
    <w:p w14:paraId="210771D9" w14:textId="77777777" w:rsidR="006D6C3D" w:rsidRDefault="006D6C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E2977" w14:textId="77777777" w:rsidR="00274775" w:rsidRDefault="00000000">
    <w:pPr>
      <w:pStyle w:val="Footer"/>
      <w:jc w:val="center"/>
    </w:pPr>
    <w:r>
      <w:rPr>
        <w:rFonts w:ascii="Calibri" w:hAnsi="Calibri"/>
        <w:color w:val="595959"/>
        <w:sz w:val="16"/>
      </w:rPr>
      <w:t xml:space="preserve">Page </w:t>
    </w:r>
    <w:r>
      <w:fldChar w:fldCharType="begin"/>
    </w:r>
    <w:r>
      <w:instrText>PAGE</w:instrText>
    </w:r>
    <w:r>
      <w:fldChar w:fldCharType="separate"/>
    </w:r>
    <w:r w:rsidR="000613C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90E41" w14:textId="77777777" w:rsidR="006D6C3D" w:rsidRDefault="006D6C3D">
      <w:pPr>
        <w:spacing w:after="0" w:line="240" w:lineRule="auto"/>
      </w:pPr>
      <w:r>
        <w:separator/>
      </w:r>
    </w:p>
  </w:footnote>
  <w:footnote w:type="continuationSeparator" w:id="0">
    <w:p w14:paraId="6D4879AB" w14:textId="77777777" w:rsidR="006D6C3D" w:rsidRDefault="006D6C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0E440" w14:textId="77777777" w:rsidR="00274775" w:rsidRDefault="00000000">
    <w:pPr>
      <w:pStyle w:val="Header"/>
      <w:jc w:val="right"/>
    </w:pPr>
    <w:r>
      <w:rPr>
        <w:rFonts w:ascii="Calibri" w:hAnsi="Calibri"/>
        <w:color w:val="595959"/>
        <w:sz w:val="16"/>
      </w:rPr>
      <w:t>Fitness Streaming Analytics Platform — Master Handbook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7812CE"/>
    <w:multiLevelType w:val="hybridMultilevel"/>
    <w:tmpl w:val="5C0CB912"/>
    <w:lvl w:ilvl="0" w:tplc="73CA6C42">
      <w:start w:val="1"/>
      <w:numFmt w:val="bullet"/>
      <w:lvlText w:val="•"/>
      <w:lvlJc w:val="left"/>
      <w:pPr>
        <w:ind w:left="540" w:hanging="270"/>
      </w:pPr>
    </w:lvl>
    <w:lvl w:ilvl="1" w:tplc="BF62A672">
      <w:start w:val="1"/>
      <w:numFmt w:val="bullet"/>
      <w:lvlText w:val="◦"/>
      <w:lvlJc w:val="left"/>
      <w:pPr>
        <w:ind w:left="900" w:hanging="270"/>
      </w:pPr>
    </w:lvl>
    <w:lvl w:ilvl="2" w:tplc="D7E4F7F6">
      <w:numFmt w:val="decimal"/>
      <w:lvlText w:val=""/>
      <w:lvlJc w:val="left"/>
    </w:lvl>
    <w:lvl w:ilvl="3" w:tplc="2C869138">
      <w:numFmt w:val="decimal"/>
      <w:lvlText w:val=""/>
      <w:lvlJc w:val="left"/>
    </w:lvl>
    <w:lvl w:ilvl="4" w:tplc="A20AF2CE">
      <w:numFmt w:val="decimal"/>
      <w:lvlText w:val=""/>
      <w:lvlJc w:val="left"/>
    </w:lvl>
    <w:lvl w:ilvl="5" w:tplc="67D831EA">
      <w:numFmt w:val="decimal"/>
      <w:lvlText w:val=""/>
      <w:lvlJc w:val="left"/>
    </w:lvl>
    <w:lvl w:ilvl="6" w:tplc="6F6AA4C4">
      <w:numFmt w:val="decimal"/>
      <w:lvlText w:val=""/>
      <w:lvlJc w:val="left"/>
    </w:lvl>
    <w:lvl w:ilvl="7" w:tplc="6270F486">
      <w:numFmt w:val="decimal"/>
      <w:lvlText w:val=""/>
      <w:lvlJc w:val="left"/>
    </w:lvl>
    <w:lvl w:ilvl="8" w:tplc="4C68AA98">
      <w:numFmt w:val="decimal"/>
      <w:lvlText w:val=""/>
      <w:lvlJc w:val="left"/>
    </w:lvl>
  </w:abstractNum>
  <w:abstractNum w:abstractNumId="10" w15:restartNumberingAfterBreak="0">
    <w:nsid w:val="27440AFD"/>
    <w:multiLevelType w:val="hybridMultilevel"/>
    <w:tmpl w:val="81E0FDB8"/>
    <w:lvl w:ilvl="0" w:tplc="10CCC322">
      <w:start w:val="1"/>
      <w:numFmt w:val="decimal"/>
      <w:lvlText w:val="%1."/>
      <w:lvlJc w:val="left"/>
      <w:pPr>
        <w:ind w:left="540" w:hanging="270"/>
      </w:pPr>
    </w:lvl>
    <w:lvl w:ilvl="1" w:tplc="9F4EF668">
      <w:numFmt w:val="decimal"/>
      <w:lvlText w:val=""/>
      <w:lvlJc w:val="left"/>
    </w:lvl>
    <w:lvl w:ilvl="2" w:tplc="BC34B1E6">
      <w:numFmt w:val="decimal"/>
      <w:lvlText w:val=""/>
      <w:lvlJc w:val="left"/>
    </w:lvl>
    <w:lvl w:ilvl="3" w:tplc="5E8EC324">
      <w:numFmt w:val="decimal"/>
      <w:lvlText w:val=""/>
      <w:lvlJc w:val="left"/>
    </w:lvl>
    <w:lvl w:ilvl="4" w:tplc="D0642CC8">
      <w:numFmt w:val="decimal"/>
      <w:lvlText w:val=""/>
      <w:lvlJc w:val="left"/>
    </w:lvl>
    <w:lvl w:ilvl="5" w:tplc="6980C162">
      <w:numFmt w:val="decimal"/>
      <w:lvlText w:val=""/>
      <w:lvlJc w:val="left"/>
    </w:lvl>
    <w:lvl w:ilvl="6" w:tplc="508A1B00">
      <w:numFmt w:val="decimal"/>
      <w:lvlText w:val=""/>
      <w:lvlJc w:val="left"/>
    </w:lvl>
    <w:lvl w:ilvl="7" w:tplc="2D568AD0">
      <w:numFmt w:val="decimal"/>
      <w:lvlText w:val=""/>
      <w:lvlJc w:val="left"/>
    </w:lvl>
    <w:lvl w:ilvl="8" w:tplc="C1EABBF4">
      <w:numFmt w:val="decimal"/>
      <w:lvlText w:val=""/>
      <w:lvlJc w:val="left"/>
    </w:lvl>
  </w:abstractNum>
  <w:abstractNum w:abstractNumId="11" w15:restartNumberingAfterBreak="0">
    <w:nsid w:val="3CD16F03"/>
    <w:multiLevelType w:val="hybridMultilevel"/>
    <w:tmpl w:val="47169498"/>
    <w:lvl w:ilvl="0" w:tplc="2F74C444">
      <w:start w:val="1"/>
      <w:numFmt w:val="bullet"/>
      <w:lvlText w:val="•"/>
      <w:lvlJc w:val="left"/>
      <w:pPr>
        <w:ind w:left="540" w:hanging="270"/>
      </w:pPr>
    </w:lvl>
    <w:lvl w:ilvl="1" w:tplc="D9A05896">
      <w:start w:val="1"/>
      <w:numFmt w:val="bullet"/>
      <w:lvlText w:val="◦"/>
      <w:lvlJc w:val="left"/>
      <w:pPr>
        <w:ind w:left="900" w:hanging="270"/>
      </w:pPr>
    </w:lvl>
    <w:lvl w:ilvl="2" w:tplc="EC6CA512">
      <w:numFmt w:val="decimal"/>
      <w:lvlText w:val=""/>
      <w:lvlJc w:val="left"/>
      <w:pPr>
        <w:ind w:left="0" w:firstLine="0"/>
      </w:pPr>
    </w:lvl>
    <w:lvl w:ilvl="3" w:tplc="2AD0B16C">
      <w:numFmt w:val="decimal"/>
      <w:lvlText w:val=""/>
      <w:lvlJc w:val="left"/>
      <w:pPr>
        <w:ind w:left="0" w:firstLine="0"/>
      </w:pPr>
    </w:lvl>
    <w:lvl w:ilvl="4" w:tplc="0F50D972">
      <w:numFmt w:val="decimal"/>
      <w:lvlText w:val=""/>
      <w:lvlJc w:val="left"/>
      <w:pPr>
        <w:ind w:left="0" w:firstLine="0"/>
      </w:pPr>
    </w:lvl>
    <w:lvl w:ilvl="5" w:tplc="77E4C91C">
      <w:numFmt w:val="decimal"/>
      <w:lvlText w:val=""/>
      <w:lvlJc w:val="left"/>
      <w:pPr>
        <w:ind w:left="0" w:firstLine="0"/>
      </w:pPr>
    </w:lvl>
    <w:lvl w:ilvl="6" w:tplc="E556BBF4">
      <w:numFmt w:val="decimal"/>
      <w:lvlText w:val=""/>
      <w:lvlJc w:val="left"/>
      <w:pPr>
        <w:ind w:left="0" w:firstLine="0"/>
      </w:pPr>
    </w:lvl>
    <w:lvl w:ilvl="7" w:tplc="2F6C87D4">
      <w:numFmt w:val="decimal"/>
      <w:lvlText w:val=""/>
      <w:lvlJc w:val="left"/>
      <w:pPr>
        <w:ind w:left="0" w:firstLine="0"/>
      </w:pPr>
    </w:lvl>
    <w:lvl w:ilvl="8" w:tplc="5D5C0BC4">
      <w:numFmt w:val="decimal"/>
      <w:lvlText w:val=""/>
      <w:lvlJc w:val="left"/>
      <w:pPr>
        <w:ind w:left="0" w:firstLine="0"/>
      </w:pPr>
    </w:lvl>
  </w:abstractNum>
  <w:abstractNum w:abstractNumId="12" w15:restartNumberingAfterBreak="0">
    <w:nsid w:val="65484329"/>
    <w:multiLevelType w:val="hybridMultilevel"/>
    <w:tmpl w:val="58E26D5E"/>
    <w:lvl w:ilvl="0" w:tplc="20B291DC">
      <w:start w:val="1"/>
      <w:numFmt w:val="bullet"/>
      <w:lvlText w:val="•"/>
      <w:lvlJc w:val="left"/>
      <w:pPr>
        <w:ind w:left="540" w:hanging="270"/>
      </w:pPr>
    </w:lvl>
    <w:lvl w:ilvl="1" w:tplc="4856607A">
      <w:start w:val="1"/>
      <w:numFmt w:val="bullet"/>
      <w:lvlText w:val="◦"/>
      <w:lvlJc w:val="left"/>
      <w:pPr>
        <w:ind w:left="900" w:hanging="270"/>
      </w:pPr>
    </w:lvl>
    <w:lvl w:ilvl="2" w:tplc="9AB8F78C">
      <w:numFmt w:val="decimal"/>
      <w:lvlText w:val=""/>
      <w:lvlJc w:val="left"/>
    </w:lvl>
    <w:lvl w:ilvl="3" w:tplc="7390FC2C">
      <w:numFmt w:val="decimal"/>
      <w:lvlText w:val=""/>
      <w:lvlJc w:val="left"/>
    </w:lvl>
    <w:lvl w:ilvl="4" w:tplc="D5A81910">
      <w:numFmt w:val="decimal"/>
      <w:lvlText w:val=""/>
      <w:lvlJc w:val="left"/>
    </w:lvl>
    <w:lvl w:ilvl="5" w:tplc="C4DA7E5C">
      <w:numFmt w:val="decimal"/>
      <w:lvlText w:val=""/>
      <w:lvlJc w:val="left"/>
    </w:lvl>
    <w:lvl w:ilvl="6" w:tplc="EC981360">
      <w:numFmt w:val="decimal"/>
      <w:lvlText w:val=""/>
      <w:lvlJc w:val="left"/>
    </w:lvl>
    <w:lvl w:ilvl="7" w:tplc="B0A420DE">
      <w:numFmt w:val="decimal"/>
      <w:lvlText w:val=""/>
      <w:lvlJc w:val="left"/>
    </w:lvl>
    <w:lvl w:ilvl="8" w:tplc="463A9396">
      <w:numFmt w:val="decimal"/>
      <w:lvlText w:val=""/>
      <w:lvlJc w:val="left"/>
    </w:lvl>
  </w:abstractNum>
  <w:num w:numId="1" w16cid:durableId="134836685">
    <w:abstractNumId w:val="8"/>
  </w:num>
  <w:num w:numId="2" w16cid:durableId="150408360">
    <w:abstractNumId w:val="6"/>
  </w:num>
  <w:num w:numId="3" w16cid:durableId="652947450">
    <w:abstractNumId w:val="5"/>
  </w:num>
  <w:num w:numId="4" w16cid:durableId="1016615408">
    <w:abstractNumId w:val="4"/>
  </w:num>
  <w:num w:numId="5" w16cid:durableId="1882134713">
    <w:abstractNumId w:val="7"/>
  </w:num>
  <w:num w:numId="6" w16cid:durableId="1463621426">
    <w:abstractNumId w:val="3"/>
  </w:num>
  <w:num w:numId="7" w16cid:durableId="104543652">
    <w:abstractNumId w:val="2"/>
  </w:num>
  <w:num w:numId="8" w16cid:durableId="809126980">
    <w:abstractNumId w:val="1"/>
  </w:num>
  <w:num w:numId="9" w16cid:durableId="1256284570">
    <w:abstractNumId w:val="0"/>
  </w:num>
  <w:num w:numId="10" w16cid:durableId="1218932499">
    <w:abstractNumId w:val="12"/>
    <w:lvlOverride w:ilvl="0">
      <w:startOverride w:val="1"/>
    </w:lvlOverride>
  </w:num>
  <w:num w:numId="11" w16cid:durableId="1964462360">
    <w:abstractNumId w:val="10"/>
    <w:lvlOverride w:ilvl="0">
      <w:startOverride w:val="1"/>
    </w:lvlOverride>
  </w:num>
  <w:num w:numId="12" w16cid:durableId="2054847423">
    <w:abstractNumId w:val="11"/>
    <w:lvlOverride w:ilvl="0"/>
    <w:lvlOverride w:ilvl="1"/>
    <w:lvlOverride w:ilvl="2"/>
    <w:lvlOverride w:ilvl="3"/>
    <w:lvlOverride w:ilvl="4"/>
    <w:lvlOverride w:ilvl="5"/>
    <w:lvlOverride w:ilvl="6"/>
    <w:lvlOverride w:ilvl="7"/>
    <w:lvlOverride w:ilvl="8"/>
  </w:num>
  <w:num w:numId="13" w16cid:durableId="490025993">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3CD"/>
    <w:rsid w:val="0015074B"/>
    <w:rsid w:val="00176ED4"/>
    <w:rsid w:val="00274775"/>
    <w:rsid w:val="0029639D"/>
    <w:rsid w:val="00326F90"/>
    <w:rsid w:val="00483E8D"/>
    <w:rsid w:val="00526372"/>
    <w:rsid w:val="00531450"/>
    <w:rsid w:val="005A23A3"/>
    <w:rsid w:val="006D6C3D"/>
    <w:rsid w:val="009F3A20"/>
    <w:rsid w:val="00A5216A"/>
    <w:rsid w:val="00AA14A2"/>
    <w:rsid w:val="00AA1D8D"/>
    <w:rsid w:val="00B47730"/>
    <w:rsid w:val="00BE4B55"/>
    <w:rsid w:val="00CB0664"/>
    <w:rsid w:val="00E561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8A8415"/>
  <w14:defaultImageDpi w14:val="300"/>
  <w15:docId w15:val="{D0422728-3117-4693-835C-43F2182A2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273</TotalTime>
  <Pages>37</Pages>
  <Words>8992</Words>
  <Characters>51261</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60133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nikil sivakumar</cp:lastModifiedBy>
  <cp:revision>7</cp:revision>
  <dcterms:created xsi:type="dcterms:W3CDTF">2013-12-23T23:15:00Z</dcterms:created>
  <dcterms:modified xsi:type="dcterms:W3CDTF">2026-06-29T12:20:00Z</dcterms:modified>
  <cp:category/>
</cp:coreProperties>
</file>