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Light" w:cs="Calibri Light" w:eastAsia="Calibri Light" w:hAnsi="Calibri Light"/>
          <w:b/>
          <w:bCs/>
          <w:color w:val="00509E"/>
          <w:sz w:val="56"/>
          <w:szCs w:val="56"/>
        </w:rPr>
        <w:t xml:space="preserve">SMART INDIA HACKATHON</w:t>
      </w:r>
    </w:p>
    <w:p>
      <w:pPr>
        <w:spacing w:after="300"/>
      </w:pPr>
      <w:r>
        <w:rPr>
          <w:rFonts w:ascii="Calibri" w:cs="Calibri" w:eastAsia="Calibri" w:hAnsi="Calibri"/>
          <w:color w:val="555555"/>
          <w:sz w:val="32"/>
          <w:szCs w:val="32"/>
        </w:rPr>
        <w:t xml:space="preserve">College Round — Research Report</w:t>
      </w:r>
    </w:p>
    <w:p>
      <w:pPr>
        <w:pBdr>
          <w:bottom w:val="single" w:color="E0EAF5" w:sz="6" w:space="6"/>
        </w:pBdr>
        <w:spacing w:after="160" w:before="320"/>
      </w:pPr>
      <w:r>
        <w:rPr>
          <w:rFonts w:ascii="Calibri Light" w:cs="Calibri Light" w:eastAsia="Calibri Light" w:hAnsi="Calibri Light"/>
          <w:b/>
          <w:bCs/>
          <w:color w:val="00509E"/>
          <w:sz w:val="32"/>
          <w:szCs w:val="32"/>
        </w:rPr>
        <w:t xml:space="preserve">PROBLEM STATEMENT RESEARCH REPORT</w:t>
      </w:r>
    </w:p>
    <w:p>
      <w:pPr>
        <w:spacing w:after="60"/>
      </w:pPr>
      <w:r>
        <w:rPr>
          <w:rFonts w:ascii="Calibri" w:cs="Calibri" w:eastAsia="Calibri" w:hAnsi="Calibri"/>
          <w:b/>
          <w:bCs/>
          <w:color w:val="555555"/>
          <w:sz w:val="32"/>
          <w:szCs w:val="32"/>
        </w:rPr>
        <w:t xml:space="preserve">SETU — Planning-to-Execution Bridge</w:t>
      </w:r>
    </w:p>
    <w:p>
      <w:pPr>
        <w:spacing w:after="240" w:line="276"/>
      </w:pPr>
      <w:r>
        <w:rPr>
          <w:rFonts w:ascii="Calibri" w:cs="Calibri" w:eastAsia="Calibri" w:hAnsi="Calibri"/>
          <w:color w:val="555555"/>
          <w:sz w:val="21"/>
          <w:szCs w:val="21"/>
        </w:rPr>
        <w:t xml:space="preserve">A schedule-linking layer that reads the progress reporting a project already produces and links every entry to the right L5/L6 activity, with a confidence score and an audit trail.</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2200"/>
        <w:gridCol w:w="6440"/>
      </w:tblGrid>
      <w:tr>
        <w:tc>
          <w:tcPr>
            <w:tcW w:type="dxa" w:w="2200"/>
            <w:tcMar>
              <w:top w:type="dxa" w:w="80"/>
              <w:left w:type="dxa" w:w="120"/>
              <w:bottom w:type="dxa" w:w="80"/>
              <w:right w:type="dxa" w:w="120"/>
            </w:tcMar>
          </w:tcPr>
          <w:p>
            <w:pPr>
              <w:spacing w:after="40" w:before="40" w:line="264"/>
            </w:pPr>
            <w:r>
              <w:rPr>
                <w:rFonts w:ascii="Calibri" w:cs="Calibri" w:eastAsia="Calibri" w:hAnsi="Calibri"/>
                <w:b/>
                <w:bCs/>
                <w:color w:val="333333"/>
                <w:sz w:val="20"/>
                <w:szCs w:val="20"/>
              </w:rPr>
              <w:t xml:space="preserve">Problem Statement ID</w:t>
            </w:r>
          </w:p>
        </w:tc>
        <w:tc>
          <w:tcPr>
            <w:tcW w:type="dxa" w:w="6440"/>
            <w:tcMar>
              <w:top w:type="dxa" w:w="80"/>
              <w:left w:type="dxa" w:w="120"/>
              <w:bottom w:type="dxa" w:w="80"/>
              <w:right w:type="dxa" w:w="120"/>
            </w:tcMar>
          </w:tcPr>
          <w:p>
            <w:pPr>
              <w:spacing w:after="40" w:before="40" w:line="264"/>
            </w:pPr>
            <w:r>
              <w:rPr>
                <w:rFonts w:ascii="Calibri" w:cs="Calibri" w:eastAsia="Calibri" w:hAnsi="Calibri"/>
                <w:b w:val="false"/>
                <w:bCs w:val="false"/>
                <w:color w:val="333333"/>
                <w:sz w:val="20"/>
                <w:szCs w:val="20"/>
              </w:rPr>
              <w:t xml:space="preserve">SIH26-26122</w:t>
            </w:r>
          </w:p>
        </w:tc>
      </w:tr>
      <w:tr>
        <w:tc>
          <w:tcPr>
            <w:tcW w:type="dxa" w:w="2200"/>
            <w:tcMar>
              <w:top w:type="dxa" w:w="80"/>
              <w:left w:type="dxa" w:w="120"/>
              <w:bottom w:type="dxa" w:w="80"/>
              <w:right w:type="dxa" w:w="120"/>
            </w:tcMar>
          </w:tcPr>
          <w:p>
            <w:pPr>
              <w:spacing w:after="40" w:before="40" w:line="264"/>
            </w:pPr>
            <w:r>
              <w:rPr>
                <w:rFonts w:ascii="Calibri" w:cs="Calibri" w:eastAsia="Calibri" w:hAnsi="Calibri"/>
                <w:b/>
                <w:bCs/>
                <w:color w:val="333333"/>
                <w:sz w:val="20"/>
                <w:szCs w:val="20"/>
              </w:rPr>
              <w:t xml:space="preserve">Problem Statement Title</w:t>
            </w:r>
          </w:p>
        </w:tc>
        <w:tc>
          <w:tcPr>
            <w:tcW w:type="dxa" w:w="6440"/>
            <w:tcMar>
              <w:top w:type="dxa" w:w="80"/>
              <w:left w:type="dxa" w:w="120"/>
              <w:bottom w:type="dxa" w:w="80"/>
              <w:right w:type="dxa" w:w="120"/>
            </w:tcMar>
          </w:tcPr>
          <w:p>
            <w:pPr>
              <w:spacing w:after="40" w:before="40" w:line="264"/>
            </w:pPr>
            <w:r>
              <w:rPr>
                <w:rFonts w:ascii="Calibri" w:cs="Calibri" w:eastAsia="Calibri" w:hAnsi="Calibri"/>
                <w:b w:val="false"/>
                <w:bCs w:val="false"/>
                <w:color w:val="333333"/>
                <w:sz w:val="20"/>
                <w:szCs w:val="20"/>
              </w:rPr>
              <w:t xml:space="preserve">Intelligent Data Capture &amp; Schedule-Linking Layer for Infrastructure Project Management: Real-Time Actual Progress Tracking (Planning-to-Execution Bridge)</w:t>
            </w:r>
          </w:p>
        </w:tc>
      </w:tr>
      <w:tr>
        <w:tc>
          <w:tcPr>
            <w:tcW w:type="dxa" w:w="2200"/>
            <w:tcMar>
              <w:top w:type="dxa" w:w="80"/>
              <w:left w:type="dxa" w:w="120"/>
              <w:bottom w:type="dxa" w:w="80"/>
              <w:right w:type="dxa" w:w="120"/>
            </w:tcMar>
          </w:tcPr>
          <w:p>
            <w:pPr>
              <w:spacing w:after="40" w:before="40" w:line="264"/>
            </w:pPr>
            <w:r>
              <w:rPr>
                <w:rFonts w:ascii="Calibri" w:cs="Calibri" w:eastAsia="Calibri" w:hAnsi="Calibri"/>
                <w:b/>
                <w:bCs/>
                <w:color w:val="333333"/>
                <w:sz w:val="20"/>
                <w:szCs w:val="20"/>
              </w:rPr>
              <w:t xml:space="preserve">Theme / Organisation</w:t>
            </w:r>
          </w:p>
        </w:tc>
        <w:tc>
          <w:tcPr>
            <w:tcW w:type="dxa" w:w="6440"/>
            <w:tcMar>
              <w:top w:type="dxa" w:w="80"/>
              <w:left w:type="dxa" w:w="120"/>
              <w:bottom w:type="dxa" w:w="80"/>
              <w:right w:type="dxa" w:w="120"/>
            </w:tcMar>
          </w:tcPr>
          <w:p>
            <w:pPr>
              <w:spacing w:after="40" w:before="40" w:line="264"/>
            </w:pPr>
            <w:r>
              <w:rPr>
                <w:rFonts w:ascii="Calibri" w:cs="Calibri" w:eastAsia="Calibri" w:hAnsi="Calibri"/>
                <w:b w:val="false"/>
                <w:bCs w:val="false"/>
                <w:color w:val="333333"/>
                <w:sz w:val="20"/>
                <w:szCs w:val="20"/>
              </w:rPr>
              <w:t xml:space="preserve">Smart Automation — Oil India Limited</w:t>
            </w:r>
          </w:p>
        </w:tc>
      </w:tr>
      <w:tr>
        <w:tc>
          <w:tcPr>
            <w:tcW w:type="dxa" w:w="2200"/>
            <w:tcMar>
              <w:top w:type="dxa" w:w="80"/>
              <w:left w:type="dxa" w:w="120"/>
              <w:bottom w:type="dxa" w:w="80"/>
              <w:right w:type="dxa" w:w="120"/>
            </w:tcMar>
          </w:tcPr>
          <w:p>
            <w:pPr>
              <w:spacing w:after="40" w:before="40" w:line="264"/>
            </w:pPr>
            <w:r>
              <w:rPr>
                <w:rFonts w:ascii="Calibri" w:cs="Calibri" w:eastAsia="Calibri" w:hAnsi="Calibri"/>
                <w:b/>
                <w:bCs/>
                <w:color w:val="333333"/>
                <w:sz w:val="20"/>
                <w:szCs w:val="20"/>
              </w:rPr>
              <w:t xml:space="preserve">Team Name</w:t>
            </w:r>
          </w:p>
        </w:tc>
        <w:tc>
          <w:tcPr>
            <w:tcW w:type="dxa" w:w="6440"/>
            <w:tcMar>
              <w:top w:type="dxa" w:w="80"/>
              <w:left w:type="dxa" w:w="120"/>
              <w:bottom w:type="dxa" w:w="80"/>
              <w:right w:type="dxa" w:w="120"/>
            </w:tcMar>
          </w:tcPr>
          <w:p>
            <w:pPr>
              <w:spacing w:after="40" w:before="40" w:line="264"/>
            </w:pPr>
            <w:r>
              <w:rPr>
                <w:rFonts w:ascii="Calibri" w:cs="Calibri" w:eastAsia="Calibri" w:hAnsi="Calibri"/>
                <w:b w:val="false"/>
                <w:bCs w:val="false"/>
                <w:color w:val="333333"/>
                <w:sz w:val="20"/>
                <w:szCs w:val="20"/>
              </w:rPr>
              <w:t xml:space="preserve">Aethrix</w:t>
            </w:r>
          </w:p>
        </w:tc>
      </w:tr>
      <w:tr>
        <w:tc>
          <w:tcPr>
            <w:tcW w:type="dxa" w:w="2200"/>
            <w:tcMar>
              <w:top w:type="dxa" w:w="80"/>
              <w:left w:type="dxa" w:w="120"/>
              <w:bottom w:type="dxa" w:w="80"/>
              <w:right w:type="dxa" w:w="120"/>
            </w:tcMar>
          </w:tcPr>
          <w:p>
            <w:pPr>
              <w:spacing w:after="40" w:before="40" w:line="264"/>
            </w:pPr>
            <w:r>
              <w:rPr>
                <w:rFonts w:ascii="Calibri" w:cs="Calibri" w:eastAsia="Calibri" w:hAnsi="Calibri"/>
                <w:b/>
                <w:bCs/>
                <w:color w:val="333333"/>
                <w:sz w:val="20"/>
                <w:szCs w:val="20"/>
              </w:rPr>
              <w:t xml:space="preserve">Team / Registration ID</w:t>
            </w:r>
          </w:p>
        </w:tc>
        <w:tc>
          <w:tcPr>
            <w:tcW w:type="dxa" w:w="6440"/>
            <w:tcMar>
              <w:top w:type="dxa" w:w="80"/>
              <w:left w:type="dxa" w:w="120"/>
              <w:bottom w:type="dxa" w:w="80"/>
              <w:right w:type="dxa" w:w="120"/>
            </w:tcMar>
          </w:tcPr>
          <w:p>
            <w:pPr>
              <w:spacing w:after="40" w:before="40" w:line="264"/>
            </w:pPr>
            <w:r>
              <w:rPr>
                <w:rFonts w:ascii="Calibri" w:cs="Calibri" w:eastAsia="Calibri" w:hAnsi="Calibri"/>
                <w:b w:val="false"/>
                <w:bCs w:val="false"/>
                <w:color w:val="333333"/>
                <w:sz w:val="20"/>
                <w:szCs w:val="20"/>
              </w:rPr>
              <w:t xml:space="preserve">AMITY-2026-4FF6C876</w:t>
            </w:r>
          </w:p>
        </w:tc>
      </w:tr>
    </w:tbl>
    <w:p>
      <w:pPr>
        <w:pBdr>
          <w:bottom w:val="single" w:color="E0EAF5" w:sz="6" w:space="6"/>
        </w:pBdr>
        <w:spacing w:after="160" w:before="320"/>
      </w:pPr>
      <w:r>
        <w:rPr>
          <w:rFonts w:ascii="Calibri Light" w:cs="Calibri Light" w:eastAsia="Calibri Light" w:hAnsi="Calibri Light"/>
          <w:b/>
          <w:bCs/>
          <w:color w:val="00509E"/>
          <w:sz w:val="32"/>
          <w:szCs w:val="32"/>
        </w:rPr>
        <w:t xml:space="preserve">1. Team Details</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2400"/>
        <w:gridCol w:w="4200"/>
        <w:gridCol w:w="2040"/>
      </w:tblGrid>
      <w:tr>
        <w:trPr>
          <w:tblHeader/>
        </w:trPr>
        <w:tc>
          <w:tcPr>
            <w:tcW w:type="dxa" w:w="24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Name</w:t>
            </w:r>
          </w:p>
        </w:tc>
        <w:tc>
          <w:tcPr>
            <w:tcW w:type="dxa" w:w="42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Role / What they'll work on</w:t>
            </w:r>
          </w:p>
        </w:tc>
        <w:tc>
          <w:tcPr>
            <w:tcW w:type="dxa" w:w="20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Branch &amp; Year</w:t>
            </w:r>
          </w:p>
        </w:tc>
      </w:tr>
      <w:tr>
        <w:tc>
          <w:tcPr>
            <w:tcW w:type="dxa" w:w="2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Linking engine — tag grammar, retrieval, constraint re-ranking</w:t>
            </w:r>
          </w:p>
        </w:tc>
        <w:tc>
          <w:tcPr>
            <w:tcW w:type="dxa" w:w="2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r>
        <w:tc>
          <w:tcPr>
            <w:tcW w:type="dxa" w:w="2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Ingestion — report parsers, spreadsheet and voice-log readers</w:t>
            </w:r>
          </w:p>
        </w:tc>
        <w:tc>
          <w:tcPr>
            <w:tcW w:type="dxa" w:w="20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r>
        <w:tc>
          <w:tcPr>
            <w:tcW w:type="dxa" w:w="2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Web app — planner console, field entry app, live updates</w:t>
            </w:r>
          </w:p>
        </w:tc>
        <w:tc>
          <w:tcPr>
            <w:tcW w:type="dxa" w:w="2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r>
        <w:tc>
          <w:tcPr>
            <w:tcW w:type="dxa" w:w="2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Evaluation — gold set, threshold fitting, test suite</w:t>
            </w:r>
          </w:p>
        </w:tc>
        <w:tc>
          <w:tcPr>
            <w:tcW w:type="dxa" w:w="20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r>
        <w:tc>
          <w:tcPr>
            <w:tcW w:type="dxa" w:w="2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Domain research — EPC tag conventions, P6 export formats</w:t>
            </w:r>
          </w:p>
        </w:tc>
        <w:tc>
          <w:tcPr>
            <w:tcW w:type="dxa" w:w="2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r>
        <w:tc>
          <w:tcPr>
            <w:tcW w:type="dxa" w:w="2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c>
          <w:tcPr>
            <w:tcW w:type="dxa" w:w="42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Documentation and pitch</w:t>
            </w:r>
          </w:p>
        </w:tc>
        <w:tc>
          <w:tcPr>
            <w:tcW w:type="dxa" w:w="20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
            </w:r>
          </w:p>
        </w:tc>
      </w:tr>
    </w:tbl>
    <w:p>
      <w:pPr>
        <w:spacing w:after="60" w:line="276"/>
      </w:pPr>
      <w:r>
        <w:rPr>
          <w:rFonts w:ascii="Calibri" w:cs="Calibri" w:eastAsia="Calibri" w:hAnsi="Calibri"/>
          <w:color w:val="555555"/>
          <w:sz w:val="19"/>
          <w:szCs w:val="19"/>
        </w:rPr>
        <w:t xml:space="preserve">Fill in names and branches before submitting. Roles are listed the way the work actually split up while building the prototype.</w:t>
      </w:r>
    </w:p>
    <w:p>
      <w:pPr>
        <w:pBdr>
          <w:bottom w:val="single" w:color="E0EAF5" w:sz="6" w:space="6"/>
        </w:pBdr>
        <w:spacing w:after="160" w:before="320"/>
      </w:pPr>
      <w:r>
        <w:rPr>
          <w:rFonts w:ascii="Calibri Light" w:cs="Calibri Light" w:eastAsia="Calibri Light" w:hAnsi="Calibri Light"/>
          <w:b/>
          <w:bCs/>
          <w:color w:val="00509E"/>
          <w:sz w:val="32"/>
          <w:szCs w:val="32"/>
        </w:rPr>
        <w:t xml:space="preserve">2. Understand the Problem</w:t>
      </w:r>
    </w:p>
    <w:p>
      <w:pPr>
        <w:spacing w:after="140" w:line="276"/>
      </w:pPr>
      <w:r>
        <w:rPr>
          <w:rFonts w:ascii="Calibri" w:cs="Calibri" w:eastAsia="Calibri" w:hAnsi="Calibri"/>
          <w:color w:val="333333"/>
          <w:sz w:val="22"/>
          <w:szCs w:val="22"/>
        </w:rPr>
        <w:t xml:space="preserve">On a large plant or pipeline job the plan lives in Primavera as a few hundred small activities, each with an ID and a name like “Erect Line 24"-PG-1002 Spools (Sec-2)”. Almost nothing that comes back from site looks like that. A piping supervisor writes “spool erection completed for process gas line Sec-2” in the daily report. A civil contractor’s clerk types “reinforcement fixing done at Sec-2” into his own spreadsheet. An electrical foreman sends a WhatsApp voice note on the drive home. Someone in the planning cell then sits with all of that and decides, sentence by sentence, which activity ID each one belongs to, and types the actual dates into P6.</w:t>
      </w:r>
    </w:p>
    <w:p>
      <w:pPr>
        <w:spacing w:after="140" w:line="276"/>
      </w:pPr>
      <w:r>
        <w:rPr>
          <w:rFonts w:ascii="Calibri" w:cs="Calibri" w:eastAsia="Calibri" w:hAnsi="Calibri"/>
          <w:color w:val="333333"/>
          <w:sz w:val="22"/>
          <w:szCs w:val="22"/>
        </w:rPr>
        <w:t xml:space="preserve">That last step is the problem. It runs to a few hundred activities across five or six disciplines, every single day, and the planning cell is one small team facing many contractors. So it lags — a few days on a well-run project, a few weeks on a bad one. And because the reconciliation is manual and undocumented, nobody downstream can tell which actual dates are solid and which were a tired guess at 9pm.</w:t>
      </w:r>
    </w:p>
    <w:p>
      <w:pPr>
        <w:spacing w:after="100" w:before="220"/>
      </w:pPr>
      <w:r>
        <w:rPr>
          <w:rFonts w:ascii="Calibri" w:cs="Calibri" w:eastAsia="Calibri" w:hAnsi="Calibri"/>
          <w:b/>
          <w:bCs/>
          <w:color w:val="00509E"/>
          <w:sz w:val="24"/>
          <w:szCs w:val="24"/>
        </w:rPr>
        <w:t xml:space="preserve">Why it happens in the first place</w:t>
      </w:r>
    </w:p>
    <w:p>
      <w:pPr>
        <w:pStyle w:val="ListParagraph"/>
        <w:numPr>
          <w:ilvl w:val="0"/>
          <w:numId w:val="2"/>
        </w:numPr>
        <w:spacing w:after="90" w:line="276"/>
      </w:pPr>
      <w:r>
        <w:rPr>
          <w:rFonts w:ascii="Calibri" w:cs="Calibri" w:eastAsia="Calibri" w:hAnsi="Calibri"/>
          <w:b/>
          <w:bCs/>
          <w:color w:val="333333"/>
          <w:sz w:val="22"/>
          <w:szCs w:val="22"/>
        </w:rPr>
        <w:t xml:space="preserve">Nobody at site knows the activity IDs, and there is no reason they should. </w:t>
      </w:r>
      <w:r>
        <w:rPr>
          <w:rFonts w:ascii="Calibri" w:cs="Calibri" w:eastAsia="Calibri" w:hAnsi="Calibri"/>
          <w:color w:val="333333"/>
          <w:sz w:val="22"/>
          <w:szCs w:val="22"/>
        </w:rPr>
        <w:t xml:space="preserve">A fitter’s job is to erect the spool, not to remember that it is node OIL-A1-PIP-L6-0002.</w:t>
      </w:r>
    </w:p>
    <w:p>
      <w:pPr>
        <w:pStyle w:val="ListParagraph"/>
        <w:numPr>
          <w:ilvl w:val="0"/>
          <w:numId w:val="2"/>
        </w:numPr>
        <w:spacing w:after="90" w:line="276"/>
      </w:pPr>
      <w:r>
        <w:rPr>
          <w:rFonts w:ascii="Calibri" w:cs="Calibri" w:eastAsia="Calibri" w:hAnsi="Calibri"/>
          <w:b/>
          <w:bCs/>
          <w:color w:val="333333"/>
          <w:sz w:val="22"/>
          <w:szCs w:val="22"/>
        </w:rPr>
        <w:t xml:space="preserve">Every contractor already has a reporting format </w:t>
      </w:r>
      <w:r>
        <w:rPr>
          <w:rFonts w:ascii="Calibri" w:cs="Calibri" w:eastAsia="Calibri" w:hAnsi="Calibri"/>
          <w:color w:val="333333"/>
          <w:sz w:val="22"/>
          <w:szCs w:val="22"/>
        </w:rPr>
        <w:t xml:space="preserve">and will not change it because the client bought new software. Free text, Excel and WhatsApp are the real interface.</w:t>
      </w:r>
    </w:p>
    <w:p>
      <w:pPr>
        <w:pStyle w:val="ListParagraph"/>
        <w:numPr>
          <w:ilvl w:val="0"/>
          <w:numId w:val="2"/>
        </w:numPr>
        <w:spacing w:after="90" w:line="276"/>
      </w:pPr>
      <w:r>
        <w:rPr>
          <w:rFonts w:ascii="Calibri" w:cs="Calibri" w:eastAsia="Calibri" w:hAnsi="Calibri"/>
          <w:b/>
          <w:bCs/>
          <w:color w:val="333333"/>
          <w:sz w:val="22"/>
          <w:szCs w:val="22"/>
        </w:rPr>
        <w:t xml:space="preserve">Field work is finer than the plan. </w:t>
      </w:r>
      <w:r>
        <w:rPr>
          <w:rFonts w:ascii="Calibri" w:cs="Calibri" w:eastAsia="Calibri" w:hAnsi="Calibri"/>
          <w:color w:val="333333"/>
          <w:sz w:val="22"/>
          <w:szCs w:val="22"/>
        </w:rPr>
        <w:t xml:space="preserve">One L6 node can be three days of work by two crews, so entries genuinely do not map one-to-one onto activities. Forcing a 1:1 link is wrong, not just inconvenient.</w:t>
      </w:r>
    </w:p>
    <w:p>
      <w:pPr>
        <w:pStyle w:val="ListParagraph"/>
        <w:numPr>
          <w:ilvl w:val="0"/>
          <w:numId w:val="2"/>
        </w:numPr>
        <w:spacing w:after="90" w:line="276"/>
      </w:pPr>
      <w:r>
        <w:rPr>
          <w:rFonts w:ascii="Calibri" w:cs="Calibri" w:eastAsia="Calibri" w:hAnsi="Calibri"/>
          <w:b/>
          <w:bCs/>
          <w:color w:val="333333"/>
          <w:sz w:val="22"/>
          <w:szCs w:val="22"/>
        </w:rPr>
        <w:t xml:space="preserve">Disciplines describe the same physical thing differently. </w:t>
      </w:r>
      <w:r>
        <w:rPr>
          <w:rFonts w:ascii="Calibri" w:cs="Calibri" w:eastAsia="Calibri" w:hAnsi="Calibri"/>
          <w:color w:val="333333"/>
          <w:sz w:val="22"/>
          <w:szCs w:val="22"/>
        </w:rPr>
        <w:t xml:space="preserve">“Spool erected”, “line-up done” and “erection complete” can all mean the same node, and the plan says none of them.</w:t>
      </w:r>
    </w:p>
    <w:p>
      <w:pPr>
        <w:pStyle w:val="ListParagraph"/>
        <w:numPr>
          <w:ilvl w:val="0"/>
          <w:numId w:val="2"/>
        </w:numPr>
        <w:spacing w:after="90" w:line="276"/>
      </w:pPr>
      <w:r>
        <w:rPr>
          <w:rFonts w:ascii="Calibri" w:cs="Calibri" w:eastAsia="Calibri" w:hAnsi="Calibri"/>
          <w:b/>
          <w:bCs/>
          <w:color w:val="333333"/>
          <w:sz w:val="22"/>
          <w:szCs w:val="22"/>
        </w:rPr>
        <w:t xml:space="preserve">When the project closes it all becomes PDFs. </w:t>
      </w:r>
      <w:r>
        <w:rPr>
          <w:rFonts w:ascii="Calibri" w:cs="Calibri" w:eastAsia="Calibri" w:hAnsi="Calibri"/>
          <w:color w:val="333333"/>
          <w:sz w:val="22"/>
          <w:szCs w:val="22"/>
        </w:rPr>
        <w:t xml:space="preserve">The real durations, the recurring bottlenecks and the reasons work actually slipped stay in a few people’s heads and leave with them.</w:t>
      </w:r>
    </w:p>
    <w:p>
      <w:pPr>
        <w:pBdr>
          <w:bottom w:val="single" w:color="E0EAF5" w:sz="6" w:space="6"/>
        </w:pBdr>
        <w:spacing w:after="160" w:before="320"/>
      </w:pPr>
      <w:r>
        <w:rPr>
          <w:rFonts w:ascii="Calibri Light" w:cs="Calibri Light" w:eastAsia="Calibri Light" w:hAnsi="Calibri Light"/>
          <w:b/>
          <w:bCs/>
          <w:color w:val="00509E"/>
          <w:sz w:val="32"/>
          <w:szCs w:val="32"/>
        </w:rPr>
        <w:t xml:space="preserve">3. Has This Been Solved Before?</w:t>
      </w:r>
    </w:p>
    <w:p>
      <w:pPr>
        <w:spacing w:after="140" w:line="276"/>
      </w:pPr>
      <w:r>
        <w:rPr>
          <w:rFonts w:ascii="Calibri" w:cs="Calibri" w:eastAsia="Calibri" w:hAnsi="Calibri"/>
          <w:color w:val="333333"/>
          <w:sz w:val="22"/>
          <w:szCs w:val="22"/>
        </w:rPr>
        <w:t xml:space="preserve">Three groups of products touch this problem and one group of researchers has attacked it directly. None of them closes it for a multi-contractor Indian EPC site.</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2200"/>
        <w:gridCol w:w="4340"/>
        <w:gridCol w:w="2100"/>
      </w:tblGrid>
      <w:tr>
        <w:trPr>
          <w:tblHeader/>
        </w:trPr>
        <w:tc>
          <w:tcPr>
            <w:tcW w:type="dxa" w:w="22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What already exists</w:t>
            </w:r>
          </w:p>
        </w:tc>
        <w:tc>
          <w:tcPr>
            <w:tcW w:type="dxa" w:w="43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What it does well / where it falls short</w:t>
            </w:r>
          </w:p>
        </w:tc>
        <w:tc>
          <w:tcPr>
            <w:tcW w:type="dxa" w:w="21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Source</w:t>
            </w:r>
          </w:p>
        </w:tc>
      </w:tr>
      <w:tr>
        <w:tc>
          <w:tcPr>
            <w:tcW w:type="dxa" w:w="2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Vision-based progress tracking — OpenSpace, Buildots, Doxel</w:t>
            </w:r>
          </w:p>
        </w:tc>
        <w:tc>
          <w:tcPr>
            <w:tcW w:type="dxa" w:w="43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Well: measures progress directly and accurately from 360° walkthrough video, hard-hat cameras or LiDAR, compared against a BIM model.</w:t>
            </w:r>
          </w:p>
          <w:p>
            <w:pPr>
              <w:spacing w:after="40" w:before="40" w:line="264"/>
            </w:pPr>
            <w:r>
              <w:rPr>
                <w:rFonts w:ascii="Calibri" w:cs="Calibri" w:eastAsia="Calibri" w:hAnsi="Calibri"/>
                <w:color w:val="333333"/>
                <w:sz w:val="20"/>
                <w:szCs w:val="20"/>
              </w:rPr>
              <w:t xml:space="preserve">Short: needs capital hardware, a disciplined capture routine and a BIM model to compare against. Suits vertical building far better than a linear oil-and-gas plant. Does nothing with the reports the project already writes.</w:t>
            </w:r>
          </w:p>
        </w:tc>
        <w:tc>
          <w:tcPr>
            <w:tcW w:type="dxa" w:w="2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[1] [2] [3]</w:t>
            </w:r>
          </w:p>
        </w:tc>
      </w:tr>
      <w:tr>
        <w:tc>
          <w:tcPr>
            <w:tcW w:type="dxa" w:w="22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Field reporting apps — Procore, Fieldwire, Raken</w:t>
            </w:r>
          </w:p>
        </w:tc>
        <w:tc>
          <w:tcPr>
            <w:tcW w:type="dxa" w:w="43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Well: proper structured daily logs, timesheets and production tracking on mobile, and they are mature products.</w:t>
            </w:r>
          </w:p>
          <w:p>
            <w:pPr>
              <w:spacing w:after="40" w:before="40" w:line="264"/>
            </w:pPr>
            <w:r>
              <w:rPr>
                <w:rFonts w:ascii="Calibri" w:cs="Calibri" w:eastAsia="Calibri" w:hAnsi="Calibri"/>
                <w:color w:val="333333"/>
                <w:sz w:val="20"/>
                <w:szCs w:val="20"/>
              </w:rPr>
              <w:t xml:space="preserve">Short: they solve the problem by moving it — the supervisor picks the activity from a list. That works only if every contractor adopts one new app, which is exactly what does not happen on a multi-contractor site.</w:t>
            </w:r>
          </w:p>
        </w:tc>
        <w:tc>
          <w:tcPr>
            <w:tcW w:type="dxa" w:w="21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[4] [5]</w:t>
            </w:r>
          </w:p>
        </w:tc>
      </w:tr>
      <w:tr>
        <w:tc>
          <w:tcPr>
            <w:tcW w:type="dxa" w:w="2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Schedule analytics — SmartPM, nPlan, ALICE, Primavera analytics</w:t>
            </w:r>
          </w:p>
        </w:tc>
        <w:tc>
          <w:tcPr>
            <w:tcW w:type="dxa" w:w="43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Well: forecasting, delay and risk analysis, schedule optimisation, trained on large schedule corpora.</w:t>
            </w:r>
          </w:p>
          <w:p>
            <w:pPr>
              <w:spacing w:after="40" w:before="40" w:line="264"/>
            </w:pPr>
            <w:r>
              <w:rPr>
                <w:rFonts w:ascii="Calibri" w:cs="Calibri" w:eastAsia="Calibri" w:hAnsi="Calibri"/>
                <w:color w:val="333333"/>
                <w:sz w:val="20"/>
                <w:szCs w:val="20"/>
              </w:rPr>
              <w:t xml:space="preserve">Short: all of it sits downstream of the gap. Each one assumes somebody has already produced a clean, current, linked schedule update. That artefact is the thing that does not exist.</w:t>
            </w:r>
          </w:p>
        </w:tc>
        <w:tc>
          <w:tcPr>
            <w:tcW w:type="dxa" w:w="2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[6] [7]</w:t>
            </w:r>
          </w:p>
        </w:tc>
      </w:tr>
      <w:tr>
        <w:tc>
          <w:tcPr>
            <w:tcW w:type="dxa" w:w="22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Academic work on auto-aligning field/look-ahead text to master schedules</w:t>
            </w:r>
          </w:p>
        </w:tc>
        <w:tc>
          <w:tcPr>
            <w:tcW w:type="dxa" w:w="43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Well: this is the same problem, done properly. A multi-stage ranking approach — distance-based candidate generation, then a Transformer re-ranker — validated on real projects, reported at 76.5% precision over a top-five list.</w:t>
            </w:r>
          </w:p>
          <w:p>
            <w:pPr>
              <w:spacing w:after="40" w:before="40" w:line="264"/>
            </w:pPr>
            <w:r>
              <w:rPr>
                <w:rFonts w:ascii="Calibri" w:cs="Calibri" w:eastAsia="Calibri" w:hAnsi="Calibri"/>
                <w:color w:val="333333"/>
                <w:sz w:val="20"/>
                <w:szCs w:val="20"/>
              </w:rPr>
              <w:t xml:space="preserve">Short: a research prototype that hands a planner five options; it aligns look-ahead plans rather than raw field reporting, and it is not a deployable, offline, auditable system.</w:t>
            </w:r>
          </w:p>
        </w:tc>
        <w:tc>
          <w:tcPr>
            <w:tcW w:type="dxa" w:w="21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 [9]</w:t>
            </w:r>
          </w:p>
        </w:tc>
      </w:tr>
      <w:tr>
        <w:tc>
          <w:tcPr>
            <w:tcW w:type="dxa" w:w="22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The actual incumbent — manual reconciliation in Excel</w:t>
            </w:r>
          </w:p>
        </w:tc>
        <w:tc>
          <w:tcPr>
            <w:tcW w:type="dxa" w:w="43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Well: infinitely flexible, needs no procurement, and every planner already knows how.</w:t>
            </w:r>
          </w:p>
          <w:p>
            <w:pPr>
              <w:spacing w:after="40" w:before="40" w:line="264"/>
            </w:pPr>
            <w:r>
              <w:rPr>
                <w:rFonts w:ascii="Calibri" w:cs="Calibri" w:eastAsia="Calibri" w:hAnsi="Calibri"/>
                <w:color w:val="333333"/>
                <w:sz w:val="20"/>
                <w:szCs w:val="20"/>
              </w:rPr>
              <w:t xml:space="preserve">Short: days-to-weeks lag, error-prone, no confidence score, no audit trail, and the reasoning dies with the person who did it.</w:t>
            </w:r>
          </w:p>
        </w:tc>
        <w:tc>
          <w:tcPr>
            <w:tcW w:type="dxa" w:w="2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t>
            </w:r>
          </w:p>
        </w:tc>
      </w:tr>
    </w:tbl>
    <w:p>
      <w:pPr>
        <w:spacing w:after="100" w:before="220"/>
      </w:pPr>
      <w:r>
        <w:rPr>
          <w:rFonts w:ascii="Calibri" w:cs="Calibri" w:eastAsia="Calibri" w:hAnsi="Calibri"/>
          <w:b/>
          <w:bCs/>
          <w:color w:val="00509E"/>
          <w:sz w:val="24"/>
          <w:szCs w:val="24"/>
        </w:rPr>
        <w:t xml:space="preserve">So what is still missing</w:t>
      </w:r>
    </w:p>
    <w:p>
      <w:pPr>
        <w:spacing w:after="140" w:line="276"/>
      </w:pPr>
      <w:r>
        <w:rPr>
          <w:rFonts w:ascii="Calibri" w:cs="Calibri" w:eastAsia="Calibri" w:hAnsi="Calibri"/>
          <w:color w:val="333333"/>
          <w:sz w:val="22"/>
          <w:szCs w:val="22"/>
        </w:rPr>
        <w:t xml:space="preserve">Nothing in that list consumes the reporting a project is already producing and hands the analytics layer a linked, dated, discipline-tagged update. The vision products measure progress but need new hardware and a BIM model. The field apps capture progress but need everyone to change how they work. The analytics tools need the linked update to already exist. The research comes closest and stops at a ranked shortlist for a human.</w:t>
      </w:r>
    </w:p>
    <w:p>
      <w:pPr>
        <w:spacing w:after="140" w:line="276"/>
      </w:pPr>
      <w:r>
        <w:rPr>
          <w:rFonts w:ascii="Calibri" w:cs="Calibri" w:eastAsia="Calibri" w:hAnsi="Calibri"/>
          <w:color w:val="333333"/>
          <w:sz w:val="22"/>
          <w:szCs w:val="22"/>
        </w:rPr>
        <w:t xml:space="preserve">The gap is a linking layer: something that takes free text, spreadsheets and voice notes in whatever shape they arrive, links each entry to the correct L5/L6 node, says how sure it is, shows its working, and refuses to guess when it should not. That is what we built.</w:t>
      </w:r>
    </w:p>
    <w:p>
      <w:pPr>
        <w:pBdr>
          <w:bottom w:val="single" w:color="E0EAF5" w:sz="6" w:space="6"/>
        </w:pBdr>
        <w:spacing w:after="160" w:before="320"/>
      </w:pPr>
      <w:r>
        <w:rPr>
          <w:rFonts w:ascii="Calibri Light" w:cs="Calibri Light" w:eastAsia="Calibri Light" w:hAnsi="Calibri Light"/>
          <w:b/>
          <w:bCs/>
          <w:color w:val="00509E"/>
          <w:sz w:val="32"/>
          <w:szCs w:val="32"/>
        </w:rPr>
        <w:t xml:space="preserve">4. Our Idea</w:t>
      </w:r>
    </w:p>
    <w:p>
      <w:pPr>
        <w:spacing w:after="140" w:line="276"/>
      </w:pPr>
      <w:r>
        <w:rPr>
          <w:rFonts w:ascii="Calibri" w:cs="Calibri" w:eastAsia="Calibri" w:hAnsi="Calibri"/>
          <w:color w:val="333333"/>
          <w:sz w:val="22"/>
          <w:szCs w:val="22"/>
        </w:rPr>
        <w:t xml:space="preserve">SETU is that linking layer. It sits between whatever the site already writes and the baseline schedule: it reads the reports as they are, works out which L5/L6 activity each entry belongs to, and writes the actual dates back with a confidence score and a record of why it chose that activity.</w:t>
      </w:r>
    </w:p>
    <w:p>
      <w:pPr>
        <w:spacing w:after="100" w:before="220"/>
      </w:pPr>
      <w:r>
        <w:rPr>
          <w:rFonts w:ascii="Calibri" w:cs="Calibri" w:eastAsia="Calibri" w:hAnsi="Calibri"/>
          <w:b/>
          <w:bCs/>
          <w:color w:val="00509E"/>
          <w:sz w:val="24"/>
          <w:szCs w:val="24"/>
        </w:rPr>
        <w:t xml:space="preserve">How it actually works</w:t>
      </w:r>
    </w:p>
    <w:p>
      <w:pPr>
        <w:pStyle w:val="ListParagraph"/>
        <w:numPr>
          <w:ilvl w:val="0"/>
          <w:numId w:val="2"/>
        </w:numPr>
        <w:spacing w:after="90" w:line="276"/>
      </w:pPr>
      <w:r>
        <w:rPr>
          <w:rFonts w:ascii="Calibri" w:cs="Calibri" w:eastAsia="Calibri" w:hAnsi="Calibri"/>
          <w:b/>
          <w:bCs/>
          <w:color w:val="333333"/>
          <w:sz w:val="22"/>
          <w:szCs w:val="22"/>
        </w:rPr>
        <w:t xml:space="preserve">Ingest. </w:t>
      </w:r>
      <w:r>
        <w:rPr>
          <w:rFonts w:ascii="Calibri" w:cs="Calibri" w:eastAsia="Calibri" w:hAnsi="Calibri"/>
          <w:color w:val="333333"/>
          <w:sz w:val="22"/>
          <w:szCs w:val="22"/>
        </w:rPr>
        <w:t xml:space="preserve">Three parsers today — a free-text daily progress report, a discipline-wise .xlsx register, and a WhatsApp-style supervisor transcript. Each format carries different metadata, and that matters: the DPR states its area in a header, the spreadsheet has an Area column, and the voice log states neither. The plan itself is read from a Primavera activity export.</w:t>
      </w:r>
    </w:p>
    <w:p>
      <w:pPr>
        <w:pStyle w:val="ListParagraph"/>
        <w:numPr>
          <w:ilvl w:val="0"/>
          <w:numId w:val="2"/>
        </w:numPr>
        <w:spacing w:after="90" w:line="276"/>
      </w:pPr>
      <w:r>
        <w:rPr>
          <w:rFonts w:ascii="Calibri" w:cs="Calibri" w:eastAsia="Calibri" w:hAnsi="Calibri"/>
          <w:b/>
          <w:bCs/>
          <w:color w:val="333333"/>
          <w:sz w:val="22"/>
          <w:szCs w:val="22"/>
        </w:rPr>
        <w:t xml:space="preserve">Extract. </w:t>
      </w:r>
      <w:r>
        <w:rPr>
          <w:rFonts w:ascii="Calibri" w:cs="Calibri" w:eastAsia="Calibri" w:hAnsi="Calibri"/>
          <w:color w:val="333333"/>
          <w:sz w:val="22"/>
          <w:szCs w:val="22"/>
        </w:rPr>
        <w:t xml:space="preserve">Engineering tags come out first, because they are the highest-signal thing in a site sentence — line numbers, ISO drawing numbers, cable, loop and foundation tags, equipment numbers, chainage. Notation is canonicalised, so “24 inch PG 1002” and “24"-PG-1002” become one key. Then verbs and site nouns are normalised, so erected / erection / erect collapse to one stem.</w:t>
      </w:r>
    </w:p>
    <w:p>
      <w:pPr>
        <w:pStyle w:val="ListParagraph"/>
        <w:numPr>
          <w:ilvl w:val="0"/>
          <w:numId w:val="2"/>
        </w:numPr>
        <w:spacing w:after="90" w:line="276"/>
      </w:pPr>
      <w:r>
        <w:rPr>
          <w:rFonts w:ascii="Calibri" w:cs="Calibri" w:eastAsia="Calibri" w:hAnsi="Calibri"/>
          <w:b/>
          <w:bCs/>
          <w:color w:val="333333"/>
          <w:sz w:val="22"/>
          <w:szCs w:val="22"/>
        </w:rPr>
        <w:t xml:space="preserve">Link, in three stages. </w:t>
      </w:r>
      <w:r>
        <w:rPr>
          <w:rFonts w:ascii="Calibri" w:cs="Calibri" w:eastAsia="Calibri" w:hAnsi="Calibri"/>
          <w:color w:val="333333"/>
          <w:sz w:val="22"/>
          <w:szCs w:val="22"/>
        </w:rPr>
        <w:t xml:space="preserve">First, candidate generation: exact tag match, BM25 over normalised tokens, and character n-gram TF-IDF cosine, fused with Reciprocal Rank Fusion. Second — and this is the part we would defend in a viva — constraint re-ranking, where the plan’s own logic prunes the candidates before similarity gets a vote: stated area, discipline, the planned date window (asymmetric, because work slips far more often than it starts early), unit of measure, and whether the reported quantity still fits inside the planned scope. Third, a calibrated confidence built from the evidence score plus the margin over the runner-up.</w:t>
      </w:r>
    </w:p>
    <w:p>
      <w:pPr>
        <w:pStyle w:val="ListParagraph"/>
        <w:numPr>
          <w:ilvl w:val="0"/>
          <w:numId w:val="2"/>
        </w:numPr>
        <w:spacing w:after="90" w:line="276"/>
      </w:pPr>
      <w:r>
        <w:rPr>
          <w:rFonts w:ascii="Calibri" w:cs="Calibri" w:eastAsia="Calibri" w:hAnsi="Calibri"/>
          <w:b/>
          <w:bCs/>
          <w:color w:val="333333"/>
          <w:sz w:val="22"/>
          <w:szCs w:val="22"/>
        </w:rPr>
        <w:t xml:space="preserve">Accrue rather than force a 1:1 map. </w:t>
      </w:r>
      <w:r>
        <w:rPr>
          <w:rFonts w:ascii="Calibri" w:cs="Calibri" w:eastAsia="Calibri" w:hAnsi="Calibri"/>
          <w:color w:val="333333"/>
          <w:sz w:val="22"/>
          <w:szCs w:val="22"/>
        </w:rPr>
        <w:t xml:space="preserve">Because field work is finer than the WBS, several entries accrue against one L6 node as quantity-weighted percent complete. Actual start is the first credited entry; actual finish is when the planned quantity is reached or completion is reported. That is ordinary earned-value practice, applied at L6.</w:t>
      </w:r>
    </w:p>
    <w:p>
      <w:pPr>
        <w:pStyle w:val="ListParagraph"/>
        <w:numPr>
          <w:ilvl w:val="0"/>
          <w:numId w:val="2"/>
        </w:numPr>
        <w:spacing w:after="90" w:line="276"/>
      </w:pPr>
      <w:r>
        <w:rPr>
          <w:rFonts w:ascii="Calibri" w:cs="Calibri" w:eastAsia="Calibri" w:hAnsi="Calibri"/>
          <w:b/>
          <w:bCs/>
          <w:color w:val="333333"/>
          <w:sz w:val="22"/>
          <w:szCs w:val="22"/>
        </w:rPr>
        <w:t xml:space="preserve">Decide, and never discard. </w:t>
      </w:r>
      <w:r>
        <w:rPr>
          <w:rFonts w:ascii="Calibri" w:cs="Calibri" w:eastAsia="Calibri" w:hAnsi="Calibri"/>
          <w:color w:val="333333"/>
          <w:sz w:val="22"/>
          <w:szCs w:val="22"/>
        </w:rPr>
        <w:t xml:space="preserve">Every entry lands in one of three bands: auto-committed, sent to the planner with the reason it stopped, or raised as a possible new activity that is not in the plan at all. An entry the planner rejects stays visible as new work rather than disappearing.</w:t>
      </w:r>
    </w:p>
    <w:p>
      <w:pPr>
        <w:spacing w:after="140" w:line="276"/>
      </w:pPr>
      <w:r>
        <w:rPr>
          <w:rFonts w:ascii="Calibri" w:cs="Calibri" w:eastAsia="Calibri" w:hAnsi="Calibri"/>
          <w:color w:val="333333"/>
          <w:sz w:val="22"/>
          <w:szCs w:val="22"/>
        </w:rPr>
        <w:t xml:space="preserve">It runs on one laptop with no API key, no GPU and no network. We tested it with the wifi switched off, because a PSU is not going to send project data to a hosted model.</w:t>
      </w:r>
    </w:p>
    <w:p>
      <w:pPr>
        <w:spacing w:after="100" w:before="220"/>
      </w:pPr>
      <w:r>
        <w:rPr>
          <w:rFonts w:ascii="Calibri" w:cs="Calibri" w:eastAsia="Calibri" w:hAnsi="Calibri"/>
          <w:b/>
          <w:bCs/>
          <w:color w:val="00509E"/>
          <w:sz w:val="24"/>
          <w:szCs w:val="24"/>
        </w:rPr>
        <w:t xml:space="preserve">What we measured</w:t>
      </w:r>
    </w:p>
    <w:p>
      <w:pPr>
        <w:spacing w:after="140" w:line="276"/>
      </w:pPr>
      <w:r>
        <w:rPr>
          <w:rFonts w:ascii="Calibri" w:cs="Calibri" w:eastAsia="Calibri" w:hAnsi="Calibri"/>
          <w:color w:val="333333"/>
          <w:sz w:val="22"/>
          <w:szCs w:val="22"/>
        </w:rPr>
        <w:t xml:space="preserve">324 L5/L6 activities across three areas and five disciplines; 334 field entries across the three formats; a gold label on every entry. Cold start, no learned aliases. These are the numbers from a run on 07 September 2026, reproducible with one command.</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3400"/>
        <w:gridCol w:w="1500"/>
        <w:gridCol w:w="3740"/>
      </w:tblGrid>
      <w:tr>
        <w:trPr>
          <w:tblHeader/>
        </w:trPr>
        <w:tc>
          <w:tcPr>
            <w:tcW w:type="dxa" w:w="34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Metric</w:t>
            </w:r>
          </w:p>
        </w:tc>
        <w:tc>
          <w:tcPr>
            <w:tcW w:type="dxa" w:w="15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Result</w:t>
            </w:r>
          </w:p>
        </w:tc>
        <w:tc>
          <w:tcPr>
            <w:tcW w:type="dxa" w:w="37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What it means</w:t>
            </w:r>
          </w:p>
        </w:tc>
      </w:tr>
      <w:tr>
        <w:tc>
          <w:tcPr>
            <w:tcW w:type="dxa" w:w="3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Top-1 link accuracy</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91.3%</w:t>
            </w:r>
          </w:p>
        </w:tc>
        <w:tc>
          <w:tcPr>
            <w:tcW w:type="dxa" w:w="37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The right activity was ranked first.</w:t>
            </w:r>
          </w:p>
        </w:tc>
      </w:tr>
      <w:tr>
        <w:tc>
          <w:tcPr>
            <w:tcW w:type="dxa" w:w="3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Top-3 link accuracy</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99.7%</w:t>
            </w:r>
          </w:p>
        </w:tc>
        <w:tc>
          <w:tcPr>
            <w:tcW w:type="dxa" w:w="37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The right activity was in the top three almost always — so the planner’s shortlist is reliable.</w:t>
            </w:r>
          </w:p>
        </w:tc>
      </w:tr>
      <w:tr>
        <w:tc>
          <w:tcPr>
            <w:tcW w:type="dxa" w:w="3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Auto-committed without a human</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85.7%</w:t>
            </w:r>
          </w:p>
        </w:tc>
        <w:tc>
          <w:tcPr>
            <w:tcW w:type="dxa" w:w="37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276 of 322 linkable entries needed no planner at all.</w:t>
            </w:r>
          </w:p>
        </w:tc>
      </w:tr>
      <w:tr>
        <w:tc>
          <w:tcPr>
            <w:tcW w:type="dxa" w:w="3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Auto-commit precision</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97.8%</w:t>
            </w:r>
          </w:p>
        </w:tc>
        <w:tc>
          <w:tcPr>
            <w:tcW w:type="dxa" w:w="37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Of what it committed on its own, this share was correct. This is the number that can corrupt a baseline, so thresholds are fitted to it.</w:t>
            </w:r>
          </w:p>
        </w:tc>
      </w:tr>
      <w:tr>
        <w:tc>
          <w:tcPr>
            <w:tcW w:type="dxa" w:w="3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Review queue</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27 entries</w:t>
            </w:r>
          </w:p>
        </w:tc>
        <w:tc>
          <w:tcPr>
            <w:tcW w:type="dxa" w:w="37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Each one states why it stopped. The proposed activity was right 88.9% of the time.</w:t>
            </w:r>
          </w:p>
        </w:tc>
      </w:tr>
      <w:tr>
        <w:tc>
          <w:tcPr>
            <w:tcW w:type="dxa" w:w="3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Out-of-plan work flagged</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100% (12 of 12)</w:t>
            </w:r>
          </w:p>
        </w:tc>
        <w:tc>
          <w:tcPr>
            <w:tcW w:type="dxa" w:w="37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Work with no plan node was raised as new, not force-fitted.</w:t>
            </w:r>
          </w:p>
        </w:tc>
      </w:tr>
      <w:tr>
        <w:tc>
          <w:tcPr>
            <w:tcW w:type="dxa" w:w="34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Link latency, live app</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18 ms median</w:t>
            </w:r>
          </w:p>
        </w:tc>
        <w:tc>
          <w:tcPr>
            <w:tcW w:type="dxa" w:w="37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Measured end-to-end over 337 entries, POST to linked and persisted.</w:t>
            </w:r>
          </w:p>
        </w:tc>
      </w:tr>
      <w:tr>
        <w:tc>
          <w:tcPr>
            <w:tcW w:type="dxa" w:w="34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Automated tests</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56 passing</w:t>
            </w:r>
          </w:p>
        </w:tc>
        <w:tc>
          <w:tcPr>
            <w:tcW w:type="dxa" w:w="37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Including two bugs the suite caught that had been inflating earlier results.</w:t>
            </w:r>
          </w:p>
        </w:tc>
      </w:tr>
    </w:tbl>
    <w:p>
      <w:pPr>
        <w:spacing w:after="140" w:line="276"/>
      </w:pPr>
      <w:r>
        <w:rPr>
          <w:rFonts w:ascii="Calibri" w:cs="Calibri" w:eastAsia="Calibri" w:hAnsi="Calibri"/>
          <w:color w:val="333333"/>
          <w:sz w:val="22"/>
          <w:szCs w:val="22"/>
        </w:rPr>
        <w:t xml:space="preserve">Per format, and the gap here is the honest part of the story: daily report 92.1% Top-1 at 100% auto-commit precision, spreadsheet 95.5% at 100%, supervisor voice 83.1% at 89.8%. Written reports state their area; a supervisor talking into WhatsApp does not. That one missing field is most of the difference, and the system routes the weaker channel to review instead of guessing.</w:t>
      </w:r>
    </w:p>
    <w:p>
      <w:pPr>
        <w:spacing w:after="100" w:before="220"/>
      </w:pPr>
      <w:r>
        <w:rPr>
          <w:rFonts w:ascii="Calibri" w:cs="Calibri" w:eastAsia="Calibri" w:hAnsi="Calibri"/>
          <w:b/>
          <w:bCs/>
          <w:color w:val="00509E"/>
          <w:sz w:val="24"/>
          <w:szCs w:val="24"/>
        </w:rPr>
        <w:t xml:space="preserve">What happens when the input gets ugly</w:t>
      </w:r>
    </w:p>
    <w:p>
      <w:pPr>
        <w:spacing w:after="140" w:line="276"/>
      </w:pPr>
      <w:r>
        <w:rPr>
          <w:rFonts w:ascii="Calibri" w:cs="Calibri" w:eastAsia="Calibri" w:hAnsi="Calibri"/>
          <w:color w:val="333333"/>
          <w:sz w:val="22"/>
          <w:szCs w:val="22"/>
        </w:rPr>
        <w:t xml:space="preserve">One accuracy number measured on clean synthetic text invites a fair objection — the generator and the linker were written by the same hand, so of course they agree. Rather than argue about that, we made the input worse on purpose and measured the fall. A share of entries is degraded with typos, the engineering tag left out, a digit of the tag mistyped so the entry cites somebody else’s tag, romanised Assamese or Hindi in place of the English verb, site shorthand (fdn, comp., b/f), shouted case, and missing area, discipline or quantity. The right answer never moves: a supervisor who mistypes a tag is still reporting the same work.</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1900"/>
        <w:gridCol w:w="1300"/>
        <w:gridCol w:w="1300"/>
        <w:gridCol w:w="2140"/>
        <w:gridCol w:w="2000"/>
      </w:tblGrid>
      <w:tr>
        <w:trPr>
          <w:tblHeader/>
        </w:trPr>
        <w:tc>
          <w:tcPr>
            <w:tcW w:type="dxa" w:w="19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Entries degraded</w:t>
            </w:r>
          </w:p>
        </w:tc>
        <w:tc>
          <w:tcPr>
            <w:tcW w:type="dxa" w:w="13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Top-1</w:t>
            </w:r>
          </w:p>
        </w:tc>
        <w:tc>
          <w:tcPr>
            <w:tcW w:type="dxa" w:w="13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Top-3</w:t>
            </w:r>
          </w:p>
        </w:tc>
        <w:tc>
          <w:tcPr>
            <w:tcW w:type="dxa" w:w="21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Auto-commit coverage</w:t>
            </w:r>
          </w:p>
        </w:tc>
        <w:tc>
          <w:tcPr>
            <w:tcW w:type="dxa" w:w="20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Precision</w:t>
            </w:r>
          </w:p>
        </w:tc>
      </w:tr>
      <w:tr>
        <w:tc>
          <w:tcPr>
            <w:tcW w:type="dxa" w:w="1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0% (clean)</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91.3%</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99.7%</w:t>
            </w:r>
          </w:p>
        </w:tc>
        <w:tc>
          <w:tcPr>
            <w:tcW w:type="dxa" w:w="21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85.7%</w:t>
            </w:r>
          </w:p>
        </w:tc>
        <w:tc>
          <w:tcPr>
            <w:tcW w:type="dxa" w:w="20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97.8%</w:t>
            </w:r>
          </w:p>
        </w:tc>
      </w:tr>
      <w:tr>
        <w:tc>
          <w:tcPr>
            <w:tcW w:type="dxa" w:w="19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10%</w:t>
            </w:r>
          </w:p>
        </w:tc>
        <w:tc>
          <w:tcPr>
            <w:tcW w:type="dxa" w:w="13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90.1%</w:t>
            </w:r>
          </w:p>
        </w:tc>
        <w:tc>
          <w:tcPr>
            <w:tcW w:type="dxa" w:w="13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99.7%</w:t>
            </w:r>
          </w:p>
        </w:tc>
        <w:tc>
          <w:tcPr>
            <w:tcW w:type="dxa" w:w="21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83.2%</w:t>
            </w:r>
          </w:p>
        </w:tc>
        <w:tc>
          <w:tcPr>
            <w:tcW w:type="dxa" w:w="20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97.4%</w:t>
            </w:r>
          </w:p>
        </w:tc>
      </w:tr>
      <w:tr>
        <w:tc>
          <w:tcPr>
            <w:tcW w:type="dxa" w:w="1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20%</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89.1%</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98.8%</w:t>
            </w:r>
          </w:p>
        </w:tc>
        <w:tc>
          <w:tcPr>
            <w:tcW w:type="dxa" w:w="21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80.4%</w:t>
            </w:r>
          </w:p>
        </w:tc>
        <w:tc>
          <w:tcPr>
            <w:tcW w:type="dxa" w:w="20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96.9%</w:t>
            </w:r>
          </w:p>
        </w:tc>
      </w:tr>
      <w:tr>
        <w:tc>
          <w:tcPr>
            <w:tcW w:type="dxa" w:w="19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30%</w:t>
            </w:r>
          </w:p>
        </w:tc>
        <w:tc>
          <w:tcPr>
            <w:tcW w:type="dxa" w:w="13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86.3%</w:t>
            </w:r>
          </w:p>
        </w:tc>
        <w:tc>
          <w:tcPr>
            <w:tcW w:type="dxa" w:w="13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99.1%</w:t>
            </w:r>
          </w:p>
        </w:tc>
        <w:tc>
          <w:tcPr>
            <w:tcW w:type="dxa" w:w="21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79.2%</w:t>
            </w:r>
          </w:p>
        </w:tc>
        <w:tc>
          <w:tcPr>
            <w:tcW w:type="dxa" w:w="20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96.5%</w:t>
            </w:r>
          </w:p>
        </w:tc>
      </w:tr>
      <w:tr>
        <w:tc>
          <w:tcPr>
            <w:tcW w:type="dxa" w:w="1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50%</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83.9%</w:t>
            </w:r>
          </w:p>
        </w:tc>
        <w:tc>
          <w:tcPr>
            <w:tcW w:type="dxa" w:w="13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97.2%</w:t>
            </w:r>
          </w:p>
        </w:tc>
        <w:tc>
          <w:tcPr>
            <w:tcW w:type="dxa" w:w="21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75.5%</w:t>
            </w:r>
          </w:p>
        </w:tc>
        <w:tc>
          <w:tcPr>
            <w:tcW w:type="dxa" w:w="20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95.1%</w:t>
            </w:r>
          </w:p>
        </w:tc>
      </w:tr>
    </w:tbl>
    <w:p>
      <w:pPr>
        <w:spacing w:after="140" w:line="276"/>
      </w:pPr>
      <w:r>
        <w:rPr>
          <w:rFonts w:ascii="Calibri" w:cs="Calibri" w:eastAsia="Calibri" w:hAnsi="Calibri"/>
          <w:color w:val="333333"/>
          <w:sz w:val="22"/>
          <w:szCs w:val="22"/>
        </w:rPr>
        <w:t xml:space="preserve">The shape matters more than any single row. With half the entries degraded Top-1 falls 7.5 points, but coverage falls 10.2 while precision falls only 2.8, and out-of-plan recall stays at 100% throughout. That is the confidence bands doing their job: a degraded entry loses confidence and goes to a planner rather than being committed wrongly.</w:t>
      </w:r>
    </w:p>
    <w:p>
      <w:pPr>
        <w:spacing w:after="140" w:line="276"/>
      </w:pPr>
      <w:r>
        <w:rPr>
          <w:rFonts w:ascii="Calibri" w:cs="Calibri" w:eastAsia="Calibri" w:hAnsi="Calibri"/>
          <w:color w:val="333333"/>
          <w:sz w:val="22"/>
          <w:szCs w:val="22"/>
        </w:rPr>
        <w:t xml:space="preserve">We also test whether it generalises to wording it has not seen. A chronological holdout cannot answer that, because every phrasing appears on both sides of a date cut. So each generated entry records which phrasing produced it, and the evaluation holds back one whole phrasing per activity kind — 105 entries in 18 of 54 phrasings, none of which the planner is allowed to confirm. On that holdout: Top-1 92.4%, Top-3 99.1%, precision 97.7%, no worse than overall, so nothing is overfitted to particular sentences. We would not oversell it: all 54 phrasings share an author with the vocabulary table, so this shows generalisation across phrasings of the same origin. The noise curve is the honest probe of words nobody anticipated.</w:t>
      </w:r>
    </w:p>
    <w:p>
      <w:pPr>
        <w:spacing w:after="100" w:before="220"/>
      </w:pPr>
      <w:r>
        <w:rPr>
          <w:rFonts w:ascii="Calibri" w:cs="Calibri" w:eastAsia="Calibri" w:hAnsi="Calibri"/>
          <w:b/>
          <w:bCs/>
          <w:color w:val="00509E"/>
          <w:sz w:val="24"/>
          <w:szCs w:val="24"/>
        </w:rPr>
        <w:t xml:space="preserve">Where we are against the problem statement</w:t>
      </w:r>
    </w:p>
    <w:p>
      <w:pPr>
        <w:spacing w:after="140" w:line="276"/>
      </w:pPr>
      <w:r>
        <w:rPr>
          <w:rFonts w:ascii="Calibri" w:cs="Calibri" w:eastAsia="Calibri" w:hAnsi="Calibri"/>
          <w:color w:val="333333"/>
          <w:sz w:val="22"/>
          <w:szCs w:val="22"/>
        </w:rPr>
        <w:t xml:space="preserve">The problem statement lists five expected outcomes. We are not going to claim all five. Here is the honest state:</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3100"/>
        <w:gridCol w:w="1500"/>
        <w:gridCol w:w="4040"/>
      </w:tblGrid>
      <w:tr>
        <w:trPr>
          <w:tblHeader/>
        </w:trPr>
        <w:tc>
          <w:tcPr>
            <w:tcW w:type="dxa" w:w="31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Expected outcome</w:t>
            </w:r>
          </w:p>
        </w:tc>
        <w:tc>
          <w:tcPr>
            <w:tcW w:type="dxa" w:w="15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Status</w:t>
            </w:r>
          </w:p>
        </w:tc>
        <w:tc>
          <w:tcPr>
            <w:tcW w:type="dxa" w:w="40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Detail</w:t>
            </w:r>
          </w:p>
        </w:tc>
      </w:tr>
      <w:tr>
        <w:tc>
          <w:tcPr>
            <w:tcW w:type="dxa" w:w="3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Ingest heterogeneous inputs and extract activity-level actual start/end</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Built, bar OCR</w:t>
            </w:r>
          </w:p>
        </w:tc>
        <w:tc>
          <w:tcPr>
            <w:tcW w:type="dxa" w:w="4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Three genuinely different field formats working end to end (151 / 112 / 71 entries ingested in a single live run), and the baseline now reads from a real Primavera XER export — PROJWBS, TASK, TASKPRED and user-defined fields — as well as CSV; both load to identical activities. Actual start and finish are derived by accrual. No OCR for scanned diaries, which the PS says is not required, and no MS Project XML reader yet.</w:t>
            </w:r>
          </w:p>
        </w:tc>
      </w:tr>
      <w:tr>
        <w:tc>
          <w:tcPr>
            <w:tcW w:type="dxa" w:w="31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LLM conversational or voice “time agent” for supervisors</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Built, with a measured caveat</w:t>
            </w:r>
          </w:p>
        </w:tc>
        <w:tc>
          <w:tcPr>
            <w:tcW w:type="dxa" w:w="40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 conversation, not a form: one loose sentence, spoken or typed, and at most one follow-up question chosen from the linker’s own candidates by what would actually disambiguate the entry. 95% of entries need no question at all; the voice channel gains 4.2 points. Voice runs in the browser and says on screen whether audio stays on the device. A local language model is wired in as a gated suggester: it fills the slots the rules cannot, validated against the plan’s vocabulary, and its values only pre-select an answer — the linker ignores them until a person confirms. It ships off by default because the model we had made things worse when trusted (see Section 6).</w:t>
            </w:r>
          </w:p>
        </w:tc>
      </w:tr>
      <w:tr>
        <w:tc>
          <w:tcPr>
            <w:tcW w:type="dxa" w:w="3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Fuzzy-match and link to the correct L5/L6 node; flag unmatched rather than dropping</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Built — the core</w:t>
            </w:r>
          </w:p>
        </w:tc>
        <w:tc>
          <w:tcPr>
            <w:tcW w:type="dxa" w:w="4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91.3% Top-1, 99.7% Top-3. Terminology differences handled by tag canonicalisation and vocabulary normalisation; granularity mismatch handled by accrual; 12 of 12 out-of-plan items flagged for planner review.</w:t>
            </w:r>
          </w:p>
        </w:tc>
      </w:tr>
      <w:tr>
        <w:tc>
          <w:tcPr>
            <w:tcW w:type="dxa" w:w="31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Auto-update actual dates in schedule/PMIS in near real time, with confidence and audit trail</w:t>
            </w:r>
          </w:p>
        </w:tc>
        <w:tc>
          <w:tcPr>
            <w:tcW w:type="dxa" w:w="15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Mostly built</w:t>
            </w:r>
          </w:p>
        </w:tc>
        <w:tc>
          <w:tcPr>
            <w:tcW w:type="dxa" w:w="40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Confidence and audit trail are done properly, and the trail now names people: every entry moves reported → linked → verified → approved → certified, each step recorded against a named person and a timestamp, enforced on the server. Real-time is real: a couple of milliseconds per entry, and the planner console updates over a websocket with no refresh. Write-back is a file P6 Professional imports directly — a TASK sheet in its spreadsheet-import layout — carrying only approved-or-certified progress, never what the model guessed. What is still missing is a live push over a PMIS API.</w:t>
            </w:r>
          </w:p>
        </w:tc>
      </w:tr>
      <w:tr>
        <w:tc>
          <w:tcPr>
            <w:tcW w:type="dxa" w:w="31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Structured discipline-tagged dataset for (a) analytics and (b) institutional memory</w:t>
            </w:r>
          </w:p>
        </w:tc>
        <w:tc>
          <w:tcPr>
            <w:tcW w:type="dxa" w:w="15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 built, (b) built for one project</w:t>
            </w:r>
          </w:p>
        </w:tc>
        <w:tc>
          <w:tcPr>
            <w:tcW w:type="dxa" w:w="40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The analytics dataset exists: discipline-tagged, plan vs actual, start and finish variance, percent complete and mean confidence per activity. Institutional memory computes exactly the three things the PS names — median planned vs actual duration by activity kind, quantity per working day by discipline, and slippage by area and discipline — plus recurring delay causes, which planners attach from a short taxonomy when verifying a late entry. All of it is derived from the same entries table, so it cannot drift from the evidence. Not yet cross-project: one process serves one project.</w:t>
            </w:r>
          </w:p>
        </w:tc>
      </w:tr>
    </w:tbl>
    <w:p>
      <w:pPr>
        <w:spacing w:after="140" w:line="276"/>
      </w:pPr>
      <w:r>
        <w:rPr>
          <w:rFonts w:ascii="Calibri" w:cs="Calibri" w:eastAsia="Calibri" w:hAnsi="Calibri"/>
          <w:color w:val="333333"/>
          <w:sz w:val="22"/>
          <w:szCs w:val="22"/>
        </w:rPr>
        <w:t xml:space="preserve">Counted honestly: three outcomes are fully built, two are mostly built, and the two things still missing are named — OCR for scanned diaries (which the PS excuses) and a live push over a PMIS API. We built the linking core first because the other four depend on it: a conversational interface that links to the wrong activity is worse than a form that links to the right one.</w:t>
      </w:r>
    </w:p>
    <w:p>
      <w:pPr>
        <w:pBdr>
          <w:bottom w:val="single" w:color="E0EAF5" w:sz="6" w:space="6"/>
        </w:pBdr>
        <w:spacing w:after="160" w:before="320"/>
      </w:pPr>
      <w:r>
        <w:rPr>
          <w:rFonts w:ascii="Calibri Light" w:cs="Calibri Light" w:eastAsia="Calibri Light" w:hAnsi="Calibri Light"/>
          <w:b/>
          <w:bCs/>
          <w:color w:val="00509E"/>
          <w:sz w:val="32"/>
          <w:szCs w:val="32"/>
        </w:rPr>
        <w:t xml:space="preserve">5. What Makes Us Different</w:t>
      </w:r>
    </w:p>
    <w:p>
      <w:pPr>
        <w:spacing w:after="140" w:line="276"/>
      </w:pPr>
      <w:r>
        <w:rPr>
          <w:rFonts w:ascii="Calibri" w:cs="Calibri" w:eastAsia="Calibri" w:hAnsi="Calibri"/>
          <w:color w:val="333333"/>
          <w:sz w:val="22"/>
          <w:szCs w:val="22"/>
        </w:rPr>
        <w:t xml:space="preserve">We do not try to win on text similarity. When an entry says “welding completed Sec-3” there are three hundred activities in the plan that look about equally similar to it, and no amount of better string matching separates them — we measured that, and fuzzy phrase matching cost us fifteen points of precision before we removed it. What separates the right activity from the near-identical ones is the schedule: which discipline this is, whether that activity was even open on that date, whether the quantity reported still fits inside the planned scope. So the plan’s own logic prunes the candidate set before similarity is allowed to decide anything.</w:t>
      </w:r>
    </w:p>
    <w:p>
      <w:pPr>
        <w:spacing w:after="140" w:line="276"/>
      </w:pPr>
      <w:r>
        <w:rPr>
          <w:rFonts w:ascii="Calibri" w:cs="Calibri" w:eastAsia="Calibri" w:hAnsi="Calibri"/>
          <w:color w:val="333333"/>
          <w:sz w:val="22"/>
          <w:szCs w:val="22"/>
        </w:rPr>
        <w:t xml:space="preserve">Two consequences follow, and they are the reasons we think this is deployable rather than just clever. It costs nothing to adopt — no camera, no BIM model, no new app for a contractor to learn, because it consumes what the project already writes. And it refuses to guess: the confidence thresholds are fitted to a precision floor rather than picked by eye, so what it commits on its own is 97.8% right, and everything it is unsure about goes to a planner with the reason named.</w:t>
      </w:r>
    </w:p>
    <w:p>
      <w:pPr>
        <w:pBdr>
          <w:bottom w:val="single" w:color="E0EAF5" w:sz="6" w:space="6"/>
        </w:pBdr>
        <w:spacing w:after="160" w:before="320"/>
      </w:pPr>
      <w:r>
        <w:rPr>
          <w:rFonts w:ascii="Calibri Light" w:cs="Calibri Light" w:eastAsia="Calibri Light" w:hAnsi="Calibri Light"/>
          <w:b/>
          <w:bCs/>
          <w:color w:val="00509E"/>
          <w:sz w:val="32"/>
          <w:szCs w:val="32"/>
        </w:rPr>
        <w:t xml:space="preserve">6. Will It Actually Work?</w:t>
      </w:r>
    </w:p>
    <w:p>
      <w:pPr>
        <w:spacing w:after="100" w:before="220"/>
      </w:pPr>
      <w:r>
        <w:rPr>
          <w:rFonts w:ascii="Calibri" w:cs="Calibri" w:eastAsia="Calibri" w:hAnsi="Calibri"/>
          <w:b/>
          <w:bCs/>
          <w:color w:val="00509E"/>
          <w:sz w:val="24"/>
          <w:szCs w:val="24"/>
        </w:rPr>
        <w:t xml:space="preserve">What could go wrong</w:t>
      </w:r>
    </w:p>
    <w:p>
      <w:pPr>
        <w:pStyle w:val="ListParagraph"/>
        <w:numPr>
          <w:ilvl w:val="0"/>
          <w:numId w:val="2"/>
        </w:numPr>
        <w:spacing w:after="90" w:line="276"/>
      </w:pPr>
      <w:r>
        <w:rPr>
          <w:rFonts w:ascii="Calibri" w:cs="Calibri" w:eastAsia="Calibri" w:hAnsi="Calibri"/>
          <w:b/>
          <w:bCs/>
          <w:color w:val="333333"/>
          <w:sz w:val="22"/>
          <w:szCs w:val="22"/>
        </w:rPr>
        <w:t xml:space="preserve">Voice is our weakest channel. </w:t>
      </w:r>
      <w:r>
        <w:rPr>
          <w:rFonts w:ascii="Calibri" w:cs="Calibri" w:eastAsia="Calibri" w:hAnsi="Calibri"/>
          <w:color w:val="333333"/>
          <w:sz w:val="22"/>
          <w:szCs w:val="22"/>
        </w:rPr>
        <w:t xml:space="preserve">83.1% Top-1 against 95.5% for the spreadsheet, and precision drops to 89.8%. Cause is known: no area is stated. Mitigation today is routing more of those entries to review; the real fix is asking one follow-up question at capture time, which the time agent now does — and measured, that single question lifts the voice channel from 83.1% to 87.3%.</w:t>
      </w:r>
    </w:p>
    <w:p>
      <w:pPr>
        <w:pStyle w:val="ListParagraph"/>
        <w:numPr>
          <w:ilvl w:val="0"/>
          <w:numId w:val="2"/>
        </w:numPr>
        <w:spacing w:after="90" w:line="276"/>
      </w:pPr>
      <w:r>
        <w:rPr>
          <w:rFonts w:ascii="Calibri" w:cs="Calibri" w:eastAsia="Calibri" w:hAnsi="Calibri"/>
          <w:b/>
          <w:bCs/>
          <w:color w:val="333333"/>
          <w:sz w:val="22"/>
          <w:szCs w:val="22"/>
        </w:rPr>
        <w:t xml:space="preserve">Our numbers are on synthetic data. </w:t>
      </w:r>
      <w:r>
        <w:rPr>
          <w:rFonts w:ascii="Calibri" w:cs="Calibri" w:eastAsia="Calibri" w:hAnsi="Calibri"/>
          <w:color w:val="333333"/>
          <w:sz w:val="22"/>
          <w:szCs w:val="22"/>
        </w:rPr>
        <w:t xml:space="preserve">The PS forbids live project data and instructs synthetic use, so this is compliance rather than a shortcut — but the residual risk is real, because our generator and our linker share an author. So we measured it instead of asserting it: degrading half the entries costs 7.5 points of Top-1 and only 2.8 of precision, and holding back whole phrasings costs nothing measurable. A real site will still be messier than anything we can synthesise, so we expect a further drop on first contact and the review queue to absorb it. What we cannot manufacture is a few hundred real entries carrying a planner’s own labels — that needs a pilot, and it is the one thing we would ask for.</w:t>
      </w:r>
    </w:p>
    <w:p>
      <w:pPr>
        <w:pStyle w:val="ListParagraph"/>
        <w:numPr>
          <w:ilvl w:val="0"/>
          <w:numId w:val="2"/>
        </w:numPr>
        <w:spacing w:after="90" w:line="276"/>
      </w:pPr>
      <w:r>
        <w:rPr>
          <w:rFonts w:ascii="Calibri" w:cs="Calibri" w:eastAsia="Calibri" w:hAnsi="Calibri"/>
          <w:b/>
          <w:bCs/>
          <w:color w:val="333333"/>
          <w:sz w:val="22"/>
          <w:szCs w:val="22"/>
        </w:rPr>
        <w:t xml:space="preserve">We tried to build a learning flywheel and it did not work. </w:t>
      </w:r>
      <w:r>
        <w:rPr>
          <w:rFonts w:ascii="Calibri" w:cs="Calibri" w:eastAsia="Calibri" w:hAnsi="Calibri"/>
          <w:color w:val="333333"/>
          <w:sz w:val="22"/>
          <w:szCs w:val="22"/>
        </w:rPr>
        <w:t xml:space="preserve">On a date-split holdout, 16 planner confirmations moved Top-1 by +0.0% and coverage by +0.0%. We then re-measured on a split that cannot leak — hold back one whole phrasing per activity kind, let the planner confirm only the others — and 14 confirmations moved both by +0.0% again. Two independent splits, no movement. Exact-phrase reuse helps with repeated daily-report boilerplate and nothing more. Making corrections generalise is open work, and we are not claiming a flywheel we cannot show.</w:t>
      </w:r>
    </w:p>
    <w:p>
      <w:pPr>
        <w:pStyle w:val="ListParagraph"/>
        <w:numPr>
          <w:ilvl w:val="0"/>
          <w:numId w:val="2"/>
        </w:numPr>
        <w:spacing w:after="90" w:line="276"/>
      </w:pPr>
      <w:r>
        <w:rPr>
          <w:rFonts w:ascii="Calibri" w:cs="Calibri" w:eastAsia="Calibri" w:hAnsi="Calibri"/>
          <w:b/>
          <w:bCs/>
          <w:color w:val="333333"/>
          <w:sz w:val="22"/>
          <w:szCs w:val="22"/>
        </w:rPr>
        <w:t xml:space="preserve">The language model we had made things worse, and we can show you by how much. </w:t>
      </w:r>
      <w:r>
        <w:rPr>
          <w:rFonts w:ascii="Calibri" w:cs="Calibri" w:eastAsia="Calibri" w:hAnsi="Calibri"/>
          <w:color w:val="333333"/>
          <w:sz w:val="22"/>
          <w:szCs w:val="22"/>
        </w:rPr>
        <w:t xml:space="preserve">We wired a local 270-million-parameter model into the agent to fill the slots the rules could not. Validated against the plan’s vocabulary, it still returned a valid-but-wrong area for most sentences, and fed to the linker as fact it cost 14.3 points of Top-1 and took the voice channel from 83.1% to 50.7%. So the rule is now architectural: a model’s value pre-selects an answer and nothing more; the linker ignores it until a person taps. With that in place the same model changes no accuracy number, and its suggestions were right six times in ten. A bigger model is a configuration line, and one command tells you whether it earns its place.</w:t>
      </w:r>
    </w:p>
    <w:p>
      <w:pPr>
        <w:pStyle w:val="ListParagraph"/>
        <w:numPr>
          <w:ilvl w:val="0"/>
          <w:numId w:val="2"/>
        </w:numPr>
        <w:spacing w:after="90" w:line="276"/>
      </w:pPr>
      <w:r>
        <w:rPr>
          <w:rFonts w:ascii="Calibri" w:cs="Calibri" w:eastAsia="Calibri" w:hAnsi="Calibri"/>
          <w:b/>
          <w:bCs/>
          <w:color w:val="333333"/>
          <w:sz w:val="22"/>
          <w:szCs w:val="22"/>
        </w:rPr>
        <w:t xml:space="preserve">The last hop into the PMIS is an import, not a push. </w:t>
      </w:r>
      <w:r>
        <w:rPr>
          <w:rFonts w:ascii="Calibri" w:cs="Calibri" w:eastAsia="Calibri" w:hAnsi="Calibri"/>
          <w:color w:val="333333"/>
          <w:sz w:val="22"/>
          <w:szCs w:val="22"/>
        </w:rPr>
        <w:t xml:space="preserve">We produce the update in the layout P6 imports directly, carrying only signed-off progress. A live API push needs an endpoint on the client’s side and, realistically, a change-control conversation about who may write actual dates into a contractual baseline.</w:t>
      </w:r>
    </w:p>
    <w:p>
      <w:pPr>
        <w:pStyle w:val="ListParagraph"/>
        <w:numPr>
          <w:ilvl w:val="0"/>
          <w:numId w:val="2"/>
        </w:numPr>
        <w:spacing w:after="90" w:line="276"/>
      </w:pPr>
      <w:r>
        <w:rPr>
          <w:rFonts w:ascii="Calibri" w:cs="Calibri" w:eastAsia="Calibri" w:hAnsi="Calibri"/>
          <w:b/>
          <w:bCs/>
          <w:color w:val="333333"/>
          <w:sz w:val="22"/>
          <w:szCs w:val="22"/>
        </w:rPr>
        <w:t xml:space="preserve">SQLite is one file and one project. </w:t>
      </w:r>
      <w:r>
        <w:rPr>
          <w:rFonts w:ascii="Calibri" w:cs="Calibri" w:eastAsia="Calibri" w:hAnsi="Calibri"/>
          <w:color w:val="333333"/>
          <w:sz w:val="22"/>
          <w:szCs w:val="22"/>
        </w:rPr>
        <w:t xml:space="preserve">Fine for a prototype and for a single site. A portfolio deployment needs a proper database and per-project isolation.</w:t>
      </w:r>
    </w:p>
    <w:p>
      <w:pPr>
        <w:pStyle w:val="ListParagraph"/>
        <w:numPr>
          <w:ilvl w:val="0"/>
          <w:numId w:val="2"/>
        </w:numPr>
        <w:spacing w:after="90" w:line="276"/>
      </w:pPr>
      <w:r>
        <w:rPr>
          <w:rFonts w:ascii="Calibri" w:cs="Calibri" w:eastAsia="Calibri" w:hAnsi="Calibri"/>
          <w:b/>
          <w:bCs/>
          <w:color w:val="333333"/>
          <w:sz w:val="22"/>
          <w:szCs w:val="22"/>
        </w:rPr>
        <w:t xml:space="preserve">Trust is the real adoption risk, not accuracy. </w:t>
      </w:r>
      <w:r>
        <w:rPr>
          <w:rFonts w:ascii="Calibri" w:cs="Calibri" w:eastAsia="Calibri" w:hAnsi="Calibri"/>
          <w:color w:val="333333"/>
          <w:sz w:val="22"/>
          <w:szCs w:val="22"/>
        </w:rPr>
        <w:t xml:space="preserve">A planner who has been burned once by a wrong automatic update will switch the thing off. That is why nothing enters the baseline below the auto-commit threshold, why every committed date is traceable to the sentence that produced it, and why the threshold is one number in one place that a project can raise if it wants 99.5% precision at lower coverage.</w:t>
      </w:r>
    </w:p>
    <w:p>
      <w:pPr>
        <w:spacing w:after="100" w:before="220"/>
      </w:pPr>
      <w:r>
        <w:rPr>
          <w:rFonts w:ascii="Calibri" w:cs="Calibri" w:eastAsia="Calibri" w:hAnsi="Calibri"/>
          <w:b/>
          <w:bCs/>
          <w:color w:val="00509E"/>
          <w:sz w:val="24"/>
          <w:szCs w:val="24"/>
        </w:rPr>
        <w:t xml:space="preserve">What it would cost to build and roll out</w:t>
      </w:r>
    </w:p>
    <w:p>
      <w:pPr>
        <w:spacing w:after="140" w:line="276"/>
      </w:pPr>
      <w:r>
        <w:rPr>
          <w:rFonts w:ascii="Calibri" w:cs="Calibri" w:eastAsia="Calibri" w:hAnsi="Calibri"/>
          <w:color w:val="333333"/>
          <w:sz w:val="22"/>
          <w:szCs w:val="22"/>
        </w:rPr>
        <w:t xml:space="preserve">The software side is cheap and we can be concrete about that: it runs on one laptop-class machine, needs no GPU, no API key and no internet, and the whole system is about 5,200 lines of Python and six HTML pages, on eleven open-source dependencies. A single-project deployment is one small VM and one file you can back up. The local language model runs through Ollama on the same machine, still on-premise; a larger model than the one we tested needs more RAM, not a different architecture.</w:t>
      </w:r>
    </w:p>
    <w:p>
      <w:pPr>
        <w:spacing w:after="140" w:line="276"/>
      </w:pPr>
      <w:r>
        <w:rPr>
          <w:rFonts w:ascii="Calibri" w:cs="Calibri" w:eastAsia="Calibri" w:hAnsi="Calibri"/>
          <w:color w:val="333333"/>
          <w:sz w:val="22"/>
          <w:szCs w:val="22"/>
        </w:rPr>
        <w:t xml:space="preserve">The costs that matter are not compute. They are the P6 XER reader, a PMIS API client, and the change-management work of agreeing who signs off an automatic actual date. We have not priced any of that with a vendor, so we are not going to invent a rupee figure for it. Honest estimate of engineering effort to production for one project: ingestion (including the Primavera reader), linking, the time agent, the approval chain, the audit trail and institutional memory are done; the remaining work is the live PMIS write path, multi-project isolation, dedicated contractor and owner screens, and a hardening pass.</w:t>
      </w:r>
    </w:p>
    <w:p>
      <w:pPr>
        <w:pBdr>
          <w:bottom w:val="single" w:color="E0EAF5" w:sz="6" w:space="6"/>
        </w:pBdr>
        <w:spacing w:after="160" w:before="320"/>
      </w:pPr>
      <w:r>
        <w:rPr>
          <w:rFonts w:ascii="Calibri Light" w:cs="Calibri Light" w:eastAsia="Calibri Light" w:hAnsi="Calibri Light"/>
          <w:b/>
          <w:bCs/>
          <w:color w:val="00509E"/>
          <w:sz w:val="32"/>
          <w:szCs w:val="32"/>
        </w:rPr>
        <w:t xml:space="preserve">7. Impact</w:t>
      </w:r>
    </w:p>
    <w:p>
      <w:pPr>
        <w:spacing w:after="140" w:line="276"/>
      </w:pPr>
      <w:r>
        <w:rPr>
          <w:rFonts w:ascii="Calibri" w:cs="Calibri" w:eastAsia="Calibri" w:hAnsi="Calibri"/>
          <w:color w:val="333333"/>
          <w:sz w:val="22"/>
          <w:szCs w:val="22"/>
        </w:rPr>
        <w:t xml:space="preserve">The direct beneficiary is the planning cell. In our run, 276 of 322 linkable entries were committed with no human involvement, so a planner reads about 58 items — 27 review plus 31 possible-new — instead of all 334, and each of the 58 arrives with the reason it needs a decision and a ranked shortlist that contains the right answer 99.7% of the time. That is the difference between a reconciliation task and a review task.</w:t>
      </w:r>
    </w:p>
    <w:p>
      <w:pPr>
        <w:spacing w:after="140" w:line="276"/>
      </w:pPr>
      <w:r>
        <w:rPr>
          <w:rFonts w:ascii="Calibri" w:cs="Calibri" w:eastAsia="Calibri" w:hAnsi="Calibri"/>
          <w:color w:val="333333"/>
          <w:sz w:val="22"/>
          <w:szCs w:val="22"/>
        </w:rPr>
        <w:t xml:space="preserve">The second beneficiary is everything downstream. The PS is explicit that delay analysis, risk work and forecasting inherit poor-quality, late data, and that this undermines the AI performance-monitoring stack that depends on it. Linking at 18 ms per entry means the schedule can be current at the end of a shift rather than the end of a fortnight, and the dataset handed on is discipline-tagged with plan-versus-actual variance already computed.</w:t>
      </w:r>
    </w:p>
    <w:p>
      <w:pPr>
        <w:spacing w:after="140" w:line="276"/>
      </w:pPr>
      <w:r>
        <w:rPr>
          <w:rFonts w:ascii="Calibri" w:cs="Calibri" w:eastAsia="Calibri" w:hAnsi="Calibri"/>
          <w:color w:val="333333"/>
          <w:sz w:val="22"/>
          <w:szCs w:val="22"/>
        </w:rPr>
        <w:t xml:space="preserve">Third, and less often mentioned: the audit trail is worth something on its own. Every actual date traces back to the sentence, the file, the line number and the person who produced it. On a project heading into an extension-of-time claim, that provenance is evidence.</w:t>
      </w:r>
    </w:p>
    <w:p>
      <w:pPr>
        <w:spacing w:after="140" w:line="276"/>
      </w:pPr>
      <w:r>
        <w:rPr>
          <w:rFonts w:ascii="Calibri" w:cs="Calibri" w:eastAsia="Calibri" w:hAnsi="Calibri"/>
          <w:color w:val="333333"/>
          <w:sz w:val="22"/>
          <w:szCs w:val="22"/>
        </w:rPr>
        <w:t xml:space="preserve">The institutional-memory outcome in the PS is delivered for a single project: median planned versus actual duration by activity kind, quantity per working day by discipline, slippage by area and discipline, and recurring delay causes attached by planners at verification — all derived on read from the same entries, so none of it can drift from the evidence. What is not built is the cross-project repository; one process serves one project today, and that is the next structural step.</w:t>
      </w:r>
    </w:p>
    <w:p>
      <w:pPr>
        <w:pBdr>
          <w:bottom w:val="single" w:color="E0EAF5" w:sz="6" w:space="6"/>
        </w:pBdr>
        <w:spacing w:after="160" w:before="320"/>
      </w:pPr>
      <w:r>
        <w:rPr>
          <w:rFonts w:ascii="Calibri Light" w:cs="Calibri Light" w:eastAsia="Calibri Light" w:hAnsi="Calibri Light"/>
          <w:b/>
          <w:bCs/>
          <w:color w:val="00509E"/>
          <w:sz w:val="32"/>
          <w:szCs w:val="32"/>
        </w:rPr>
        <w:t xml:space="preserve">8. Six Key Evaluation Rubrics</w:t>
      </w:r>
    </w:p>
    <w:tbl>
      <w:tblPr>
        <w:tblW w:type="dxa" w:w="8640"/>
        <w:tblBorders>
          <w:top w:val="single" w:color="C9D8E8" w:sz="2"/>
          <w:left w:val="single" w:color="C9D8E8" w:sz="2"/>
          <w:bottom w:val="single" w:color="C9D8E8" w:sz="2"/>
          <w:right w:val="single" w:color="C9D8E8" w:sz="2"/>
          <w:insideH w:val="single" w:color="C9D8E8" w:sz="2"/>
          <w:insideV w:val="single" w:color="C9D8E8" w:sz="2"/>
        </w:tblBorders>
      </w:tblPr>
      <w:tblGrid>
        <w:gridCol w:w="1800"/>
        <w:gridCol w:w="2900"/>
        <w:gridCol w:w="3940"/>
      </w:tblGrid>
      <w:tr>
        <w:trPr>
          <w:tblHeader/>
        </w:trPr>
        <w:tc>
          <w:tcPr>
            <w:tcW w:type="dxa" w:w="18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Evaluation parameter</w:t>
            </w:r>
          </w:p>
        </w:tc>
        <w:tc>
          <w:tcPr>
            <w:tcW w:type="dxa" w:w="290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Description / expectations</w:t>
            </w:r>
          </w:p>
        </w:tc>
        <w:tc>
          <w:tcPr>
            <w:tcW w:type="dxa" w:w="3940"/>
            <w:shd w:fill="00509E" w:color="auto" w:val="clear"/>
            <w:tcMar>
              <w:top w:type="dxa" w:w="80"/>
              <w:left w:type="dxa" w:w="120"/>
              <w:bottom w:type="dxa" w:w="80"/>
              <w:right w:type="dxa" w:w="120"/>
            </w:tcMar>
          </w:tcPr>
          <w:p>
            <w:pPr>
              <w:spacing w:after="40" w:before="40" w:line="264"/>
            </w:pPr>
            <w:r>
              <w:rPr>
                <w:rFonts w:ascii="Calibri" w:cs="Calibri" w:eastAsia="Calibri" w:hAnsi="Calibri"/>
                <w:b/>
                <w:bCs/>
                <w:color w:val="FFFFFF"/>
                <w:sz w:val="20"/>
                <w:szCs w:val="20"/>
              </w:rPr>
              <w:t xml:space="preserve">How our solution meets this</w:t>
            </w:r>
          </w:p>
        </w:tc>
      </w:tr>
      <w:tr>
        <w:tc>
          <w:tcPr>
            <w:tcW w:type="dxa" w:w="18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1. Concept &amp; Innovation</w:t>
            </w:r>
          </w:p>
        </w:tc>
        <w:tc>
          <w:tcPr>
            <w:tcW w:type="dxa" w:w="2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How unique and creative is the solution? Does it introduce a novel approach?</w:t>
            </w:r>
          </w:p>
        </w:tc>
        <w:tc>
          <w:tcPr>
            <w:tcW w:type="dxa" w:w="39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The novel part is not that we match text — it is that we let the schedule prune the candidates before similarity decides. Area, discipline, planned date window, unit and remaining quantity are constraints, not features in a similarity score. We also handle granularity mismatch by accrual rather than forcing a one-to-one link, which is the standard failure mode of every attempt at this. The closest published work reaches 76.5% precision over a top-five list on real projects; we reach 99.7% in the top three on synthetic data of the same structure — different datasets, so not a like-for-like comparison, but it is the right benchmark to be measured against.</w:t>
            </w:r>
          </w:p>
        </w:tc>
      </w:tr>
      <w:tr>
        <w:tc>
          <w:tcPr>
            <w:tcW w:type="dxa" w:w="18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2. Technical Complexity &amp; Feasibility</w:t>
            </w:r>
          </w:p>
        </w:tc>
        <w:tc>
          <w:tcPr>
            <w:tcW w:type="dxa" w:w="29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Can this be built practically? Is the stack right and technically sound?</w:t>
            </w:r>
          </w:p>
        </w:tc>
        <w:tc>
          <w:tcPr>
            <w:tcW w:type="dxa" w:w="39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It is built and it runs. Hybrid retrieval (exact tag grammar, BM25, char n-gram TF-IDF) fused by Reciprocal Rank Fusion, a constraint re-ranker, calibrated confidence bands fitted to a precision floor, quantity-weighted accrual, FastAPI with websocket push and SQLite persistence. Deterministic core: same input, same output — down to the generated sample files and the Primavera export being byte-identical across runs. Eight roles and a five-stage approval chain enforced on the server, with ordered database migrations. 56 automated tests, many of which exist because they caught bugs that had been inflating our own results or leaking what a role must not see.</w:t>
            </w:r>
          </w:p>
        </w:tc>
      </w:tr>
      <w:tr>
        <w:tc>
          <w:tcPr>
            <w:tcW w:type="dxa" w:w="18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3. Viability, Sustainability &amp; Impact</w:t>
            </w:r>
          </w:p>
        </w:tc>
        <w:tc>
          <w:tcPr>
            <w:tcW w:type="dxa" w:w="2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Is this sustainable long-term? What is the real-world scale and impact?</w:t>
            </w:r>
          </w:p>
        </w:tc>
        <w:tc>
          <w:tcPr>
            <w:tcW w:type="dxa" w:w="39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Adoption cost is close to zero, which is the whole point — no hardware, no BIM model, and no contractor has to change how they report. It is fully offline, so it clears the data-sovereignty bar a PSU actually applies. Running cost is one small server. Impact scales with schedule size, because the harder the plan is to reconcile by hand, the more the linking layer is worth.</w:t>
            </w:r>
          </w:p>
        </w:tc>
      </w:tr>
      <w:tr>
        <w:tc>
          <w:tcPr>
            <w:tcW w:type="dxa" w:w="18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4. Approach &amp; Methodology</w:t>
            </w:r>
          </w:p>
        </w:tc>
        <w:tc>
          <w:tcPr>
            <w:tcW w:type="dxa" w:w="29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How clear and structured is the plan to build it? Is the architecture solid?</w:t>
            </w:r>
          </w:p>
        </w:tc>
        <w:tc>
          <w:tcPr>
            <w:tcW w:type="dxa" w:w="39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Three stages with a clear division of labour: retrieval for recall, constraints for precision, calibration for the decision. Thresholds live in exactly one place and are fitted by a sweep against a precision floor, not guessed. Every queued item must state why it stopped. We keep a written record of what we tried and rejected with the measured cost — a predecessor-progress penalty (−4 points Top-1), fuzzy alias matching (−15 points precision), alias learning as a confidence boost (−16 points precision) — because a prototype that only lists its wins is not evidence. We also attack our own numbers rather than waiting to be asked: a noise sweep reports the degradation curve under typos, mistyped tags and code-switched verbs, a wording holdout tests phrasings the system was never allowed to learn, and the local language model was measured before it was trusted — and demoted to a suggester when the measurement said so.</w:t>
            </w:r>
          </w:p>
        </w:tc>
      </w:tr>
      <w:tr>
        <w:tc>
          <w:tcPr>
            <w:tcW w:type="dxa" w:w="18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5. User Experience &amp; Design</w:t>
            </w:r>
          </w:p>
        </w:tc>
        <w:tc>
          <w:tcPr>
            <w:tcW w:type="dxa" w:w="290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Is it intuitive and accessible? Has the end user's interaction been considered?</w:t>
            </w:r>
          </w:p>
        </w:tc>
        <w:tc>
          <w:tcPr>
            <w:tcW w:type="dxa" w:w="3940"/>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Two surfaces, each built for one person. The supervisor gets a single box: say what finished, no activity codes, every other field optional — an entry with no area, no discipline and no quantity still links. The planner gets a console that updates itself, shows where every entry went, and for each queued item states the reason and offers the ranked candidates with one-click confirm. Rejecting an item keeps it visible as new work, because a planner needs to trust that nothing was quietly dropped. The supervisor’s screen is a conversation: one sentence, spoken or typed, and at most one follow-up chosen by what would actually disambiguate the entry. An entry logged with no signal is kept on the phone and sent later, because that is what field software that survives contact with a site does.</w:t>
            </w:r>
          </w:p>
        </w:tc>
      </w:tr>
      <w:tr>
        <w:tc>
          <w:tcPr>
            <w:tcW w:type="dxa" w:w="18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6. Presentation &amp; Communication</w:t>
            </w:r>
          </w:p>
        </w:tc>
        <w:tc>
          <w:tcPr>
            <w:tcW w:type="dxa" w:w="290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How well are the ideas conveyed? Is the report and pitch clearly articulated?</w:t>
            </w:r>
          </w:p>
        </w:tc>
        <w:tc>
          <w:tcPr>
            <w:tcW w:type="dxa" w:w="3940"/>
            <w:shd w:fill="F5F8FC" w:color="auto" w:val="clear"/>
            <w:tcMar>
              <w:top w:type="dxa" w:w="80"/>
              <w:left w:type="dxa" w:w="120"/>
              <w:bottom w:type="dxa" w:w="80"/>
              <w:right w:type="dxa" w:w="120"/>
            </w:tcMar>
          </w:tcPr>
          <w:p>
            <w:pPr>
              <w:spacing w:after="40" w:before="40" w:line="264"/>
            </w:pPr>
            <w:r>
              <w:rPr>
                <w:rFonts w:ascii="Calibri" w:cs="Calibri" w:eastAsia="Calibri" w:hAnsi="Calibri"/>
                <w:color w:val="333333"/>
                <w:sz w:val="20"/>
                <w:szCs w:val="20"/>
              </w:rPr>
              <w:t xml:space="preserve">We lead with the measurement and we publish the gaps in the same table as the wins, including the outcome we have not built. The demo is two windows: log an entry on a phone, watch it appear linked on the planner console, then trace one activity from two scraps of text in different formats to a +33-day slip with every step attributable. Every number in this report came from a run we can repeat with one command in front of the panel.</w:t>
            </w:r>
          </w:p>
        </w:tc>
      </w:tr>
    </w:tbl>
    <w:p>
      <w:pPr>
        <w:pBdr>
          <w:bottom w:val="single" w:color="E0EAF5" w:sz="6" w:space="6"/>
        </w:pBdr>
        <w:spacing w:after="160" w:before="320"/>
      </w:pPr>
      <w:r>
        <w:rPr>
          <w:rFonts w:ascii="Calibri Light" w:cs="Calibri Light" w:eastAsia="Calibri Light" w:hAnsi="Calibri Light"/>
          <w:b/>
          <w:bCs/>
          <w:color w:val="00509E"/>
          <w:sz w:val="32"/>
          <w:szCs w:val="32"/>
        </w:rPr>
        <w:t xml:space="preserve">9. References</w:t>
      </w:r>
    </w:p>
    <w:p>
      <w:pPr>
        <w:spacing w:after="100" w:line="276"/>
      </w:pPr>
      <w:r>
        <w:rPr>
          <w:rFonts w:ascii="Calibri" w:cs="Calibri" w:eastAsia="Calibri" w:hAnsi="Calibri"/>
          <w:b/>
          <w:bCs/>
          <w:color w:val="333333"/>
          <w:sz w:val="22"/>
          <w:szCs w:val="22"/>
        </w:rPr>
        <w:t xml:space="preserve">Products and market context</w:t>
      </w:r>
    </w:p>
    <w:p>
      <w:pPr>
        <w:spacing w:after="140" w:line="276"/>
      </w:pPr>
      <w:r>
        <w:rPr>
          <w:rFonts w:ascii="Calibri" w:cs="Calibri" w:eastAsia="Calibri" w:hAnsi="Calibri"/>
          <w:color w:val="333333"/>
          <w:sz w:val="20"/>
          <w:szCs w:val="20"/>
        </w:rPr>
        <w:t xml:space="preserve">[1] OpenSpace — Construction Progress Tracking. https://www.openspace.ai/products/progress-tracking/</w:t>
      </w:r>
    </w:p>
    <w:p>
      <w:pPr>
        <w:spacing w:after="140" w:line="276"/>
      </w:pPr>
      <w:r>
        <w:rPr>
          <w:rFonts w:ascii="Calibri" w:cs="Calibri" w:eastAsia="Calibri" w:hAnsi="Calibri"/>
          <w:color w:val="333333"/>
          <w:sz w:val="20"/>
          <w:szCs w:val="20"/>
        </w:rPr>
        <w:t xml:space="preserve">[2] Mastt — Global Construction AI Companies Powering Projects in 2026 (survey covering Buildots, Doxel, nPlan). https://www.mastt.com/blogs/construction-ai-companies</w:t>
      </w:r>
    </w:p>
    <w:p>
      <w:pPr>
        <w:spacing w:after="140" w:line="276"/>
      </w:pPr>
      <w:r>
        <w:rPr>
          <w:rFonts w:ascii="Calibri" w:cs="Calibri" w:eastAsia="Calibri" w:hAnsi="Calibri"/>
          <w:color w:val="333333"/>
          <w:sz w:val="20"/>
          <w:szCs w:val="20"/>
        </w:rPr>
        <w:t xml:space="preserve">[3] Unite.AI — Best AI Tools for the Construction Industry (Buildots, Doxel, ALICE, nPlan). https://www.unite.ai/best-ai-tools-for-the-construction-industry/</w:t>
      </w:r>
    </w:p>
    <w:p>
      <w:pPr>
        <w:spacing w:after="140" w:line="276"/>
      </w:pPr>
      <w:r>
        <w:rPr>
          <w:rFonts w:ascii="Calibri" w:cs="Calibri" w:eastAsia="Calibri" w:hAnsi="Calibri"/>
          <w:color w:val="333333"/>
          <w:sz w:val="20"/>
          <w:szCs w:val="20"/>
        </w:rPr>
        <w:t xml:space="preserve">[4] Fieldwire by Hilti — Construction labor management software. https://www.fieldwire.com/blog/construction-labor-management-software/</w:t>
      </w:r>
    </w:p>
    <w:p>
      <w:pPr>
        <w:spacing w:after="140" w:line="276"/>
      </w:pPr>
      <w:r>
        <w:rPr>
          <w:rFonts w:ascii="Calibri" w:cs="Calibri" w:eastAsia="Calibri" w:hAnsi="Calibri"/>
          <w:color w:val="333333"/>
          <w:sz w:val="20"/>
          <w:szCs w:val="20"/>
        </w:rPr>
        <w:t xml:space="preserve">[5] SelectHub — Raken vs Fieldwire comparison (field daily-reporting feature set). https://www.selecthub.com/construction-management-software/raken-vs-fieldwire/</w:t>
      </w:r>
    </w:p>
    <w:p>
      <w:pPr>
        <w:spacing w:after="140" w:line="276"/>
      </w:pPr>
      <w:r>
        <w:rPr>
          <w:rFonts w:ascii="Calibri" w:cs="Calibri" w:eastAsia="Calibri" w:hAnsi="Calibri"/>
          <w:color w:val="333333"/>
          <w:sz w:val="20"/>
          <w:szCs w:val="20"/>
        </w:rPr>
        <w:t xml:space="preserve">[6] ALICE Technologies — About / AI construction scheduling. https://www.alicetechnologies.com/about</w:t>
      </w:r>
    </w:p>
    <w:p>
      <w:pPr>
        <w:spacing w:after="140" w:line="276"/>
      </w:pPr>
      <w:r>
        <w:rPr>
          <w:rFonts w:ascii="Calibri" w:cs="Calibri" w:eastAsia="Calibri" w:hAnsi="Calibri"/>
          <w:color w:val="333333"/>
          <w:sz w:val="20"/>
          <w:szCs w:val="20"/>
        </w:rPr>
        <w:t xml:space="preserve">[7] DownToBid — Procore vs Fieldwire: project management software comparison. https://downtobid.com/blog/procore-vs-fieldwire</w:t>
      </w:r>
    </w:p>
    <w:p>
      <w:pPr>
        <w:spacing w:after="60"/>
      </w:pPr>
    </w:p>
    <w:p>
      <w:pPr>
        <w:spacing w:after="100" w:line="276"/>
      </w:pPr>
      <w:r>
        <w:rPr>
          <w:rFonts w:ascii="Calibri" w:cs="Calibri" w:eastAsia="Calibri" w:hAnsi="Calibri"/>
          <w:b/>
          <w:bCs/>
          <w:color w:val="333333"/>
          <w:sz w:val="22"/>
          <w:szCs w:val="22"/>
        </w:rPr>
        <w:t xml:space="preserve">Academic work on the same problem</w:t>
      </w:r>
    </w:p>
    <w:p>
      <w:pPr>
        <w:spacing w:after="140" w:line="276"/>
      </w:pPr>
      <w:r>
        <w:rPr>
          <w:rFonts w:ascii="Calibri" w:cs="Calibri" w:eastAsia="Calibri" w:hAnsi="Calibri"/>
          <w:color w:val="333333"/>
          <w:sz w:val="20"/>
          <w:szCs w:val="20"/>
        </w:rPr>
        <w:t xml:space="preserve">[8] Exploring the Use of NLP to Auto-Align Master Schedules with Superintendents’ Look-Aheads in Construction Projects — multi-stage ranking, distance-based candidate generation and a Transformer re-ranker; 76.5% precision over a top-five list on real projects. https://www.researchgate.net/publication/374390065</w:t>
      </w:r>
    </w:p>
    <w:p>
      <w:pPr>
        <w:spacing w:after="140" w:line="276"/>
      </w:pPr>
      <w:r>
        <w:rPr>
          <w:rFonts w:ascii="Calibri" w:cs="Calibri" w:eastAsia="Calibri" w:hAnsi="Calibri"/>
          <w:color w:val="333333"/>
          <w:sz w:val="20"/>
          <w:szCs w:val="20"/>
        </w:rPr>
        <w:t xml:space="preserve">[9] Extracting Construction Knowledge from Project Schedules Using Natural Language Processing. https://www.researchgate.net/publication/339670261</w:t>
      </w:r>
    </w:p>
    <w:p>
      <w:pPr>
        <w:spacing w:after="140" w:line="276"/>
      </w:pPr>
      <w:r>
        <w:rPr>
          <w:rFonts w:ascii="Calibri" w:cs="Calibri" w:eastAsia="Calibri" w:hAnsi="Calibri"/>
          <w:color w:val="333333"/>
          <w:sz w:val="20"/>
          <w:szCs w:val="20"/>
        </w:rPr>
        <w:t xml:space="preserve">[10] Automated Construction Planning using NLP to Learn from Past Schedules. https://www.researchgate.net/publication/374581409</w:t>
      </w:r>
    </w:p>
    <w:p>
      <w:pPr>
        <w:spacing w:after="140" w:line="276"/>
      </w:pPr>
      <w:r>
        <w:rPr>
          <w:rFonts w:ascii="Calibri" w:cs="Calibri" w:eastAsia="Calibri" w:hAnsi="Calibri"/>
          <w:color w:val="333333"/>
          <w:sz w:val="20"/>
          <w:szCs w:val="20"/>
        </w:rPr>
        <w:t xml:space="preserve">[11] Schedule-Driven Analytics of 3D Point Clouds for Automated Construction Progress Monitoring, ASCE. https://ascelibrary.org/doi/10.1061/9780784485224.050</w:t>
      </w:r>
    </w:p>
    <w:p>
      <w:pPr>
        <w:spacing w:after="140" w:line="276"/>
      </w:pPr>
      <w:r>
        <w:rPr>
          <w:rFonts w:ascii="Calibri" w:cs="Calibri" w:eastAsia="Calibri" w:hAnsi="Calibri"/>
          <w:color w:val="333333"/>
          <w:sz w:val="20"/>
          <w:szCs w:val="20"/>
        </w:rPr>
        <w:t xml:space="preserve">[12] Automated daily report generation from construction videos using ChatGPT and computer vision, Automation in Construction. https://www.sciencedirect.com/science/article/abs/pii/S0926580524006101</w:t>
      </w:r>
    </w:p>
    <w:p>
      <w:pPr>
        <w:spacing w:after="60"/>
      </w:pPr>
    </w:p>
    <w:p>
      <w:pPr>
        <w:spacing w:after="100" w:line="276"/>
      </w:pPr>
      <w:r>
        <w:rPr>
          <w:rFonts w:ascii="Calibri" w:cs="Calibri" w:eastAsia="Calibri" w:hAnsi="Calibri"/>
          <w:b/>
          <w:bCs/>
          <w:color w:val="333333"/>
          <w:sz w:val="22"/>
          <w:szCs w:val="22"/>
        </w:rPr>
        <w:t xml:space="preserve">Methods and libraries the prototype is built on</w:t>
      </w:r>
    </w:p>
    <w:p>
      <w:pPr>
        <w:spacing w:after="140" w:line="276"/>
      </w:pPr>
      <w:r>
        <w:rPr>
          <w:rFonts w:ascii="Calibri" w:cs="Calibri" w:eastAsia="Calibri" w:hAnsi="Calibri"/>
          <w:color w:val="333333"/>
          <w:sz w:val="20"/>
          <w:szCs w:val="20"/>
        </w:rPr>
        <w:t xml:space="preserve">[13] S. Robertson and H. Zaragoza, “The Probabilistic Relevance Framework: BM25 and Beyond”, Foundations and Trends in Information Retrieval, 2009 — the ranking function used for the token-level retriever.</w:t>
      </w:r>
    </w:p>
    <w:p>
      <w:pPr>
        <w:spacing w:after="140" w:line="276"/>
      </w:pPr>
      <w:r>
        <w:rPr>
          <w:rFonts w:ascii="Calibri" w:cs="Calibri" w:eastAsia="Calibri" w:hAnsi="Calibri"/>
          <w:color w:val="333333"/>
          <w:sz w:val="20"/>
          <w:szCs w:val="20"/>
        </w:rPr>
        <w:t xml:space="preserve">[14] G. V. Cormack, C. L. A. Clarke and S. Buettcher, “Reciprocal Rank Fusion Outperforms Condorcet and Individual Rank Learning Methods”, SIGIR 2009 — how the three retrievers are combined.</w:t>
      </w:r>
    </w:p>
    <w:p>
      <w:pPr>
        <w:spacing w:after="140" w:line="276"/>
      </w:pPr>
      <w:r>
        <w:rPr>
          <w:rFonts w:ascii="Calibri" w:cs="Calibri" w:eastAsia="Calibri" w:hAnsi="Calibri"/>
          <w:color w:val="333333"/>
          <w:sz w:val="20"/>
          <w:szCs w:val="20"/>
        </w:rPr>
        <w:t xml:space="preserve">[15] scikit-learn — TfidfVectorizer, character n-gram analysers. https://scikit-learn.org/stable/modules/generated/sklearn.feature_extraction.text.TfidfVectorizer.html</w:t>
      </w:r>
    </w:p>
    <w:p>
      <w:pPr>
        <w:spacing w:after="140" w:line="276"/>
      </w:pPr>
      <w:r>
        <w:rPr>
          <w:rFonts w:ascii="Calibri" w:cs="Calibri" w:eastAsia="Calibri" w:hAnsi="Calibri"/>
          <w:color w:val="333333"/>
          <w:sz w:val="20"/>
          <w:szCs w:val="20"/>
        </w:rPr>
        <w:t xml:space="preserve">[16] rank-bm25 — Okapi BM25 implementation used in the candidate generator. https://pypi.org/project/rank-bm25/</w:t>
      </w:r>
    </w:p>
    <w:p>
      <w:pPr>
        <w:spacing w:after="140" w:line="276"/>
      </w:pPr>
      <w:r>
        <w:rPr>
          <w:rFonts w:ascii="Calibri" w:cs="Calibri" w:eastAsia="Calibri" w:hAnsi="Calibri"/>
          <w:color w:val="333333"/>
          <w:sz w:val="20"/>
          <w:szCs w:val="20"/>
        </w:rPr>
        <w:t xml:space="preserve">[17] FastAPI — the API and websocket layer behind the live console. https://fastapi.tiangolo.com/</w:t>
      </w:r>
    </w:p>
    <w:p>
      <w:pPr>
        <w:spacing w:after="140" w:line="276"/>
      </w:pPr>
      <w:r>
        <w:rPr>
          <w:rFonts w:ascii="Calibri" w:cs="Calibri" w:eastAsia="Calibri" w:hAnsi="Calibri"/>
          <w:color w:val="333333"/>
          <w:sz w:val="20"/>
          <w:szCs w:val="20"/>
        </w:rPr>
        <w:t xml:space="preserve">[18] Oracle Primavera P6 Professional documentation — activity export field reference (XER / P6 XML), the target format for baseline exchange and write-back.</w:t>
      </w:r>
    </w:p>
    <w:p>
      <w:pPr>
        <w:spacing w:after="140" w:line="276"/>
      </w:pPr>
      <w:r>
        <w:rPr>
          <w:rFonts w:ascii="Calibri" w:cs="Calibri" w:eastAsia="Calibri" w:hAnsi="Calibri"/>
          <w:color w:val="333333"/>
          <w:sz w:val="20"/>
          <w:szCs w:val="20"/>
        </w:rPr>
        <w:t xml:space="preserve">[19] Ollama — local open-weight model runtime, the intended host for the planned on-premise time agent. https://ollama.com/</w:t>
      </w:r>
    </w:p>
    <w:p>
      <w:pPr>
        <w:spacing w:after="120"/>
      </w:pPr>
    </w:p>
    <w:p>
      <w:pPr>
        <w:spacing w:after="140" w:line="276"/>
      </w:pPr>
      <w:r>
        <w:rPr>
          <w:rFonts w:ascii="Calibri" w:cs="Calibri" w:eastAsia="Calibri" w:hAnsi="Calibri"/>
          <w:color w:val="555555"/>
          <w:sz w:val="19"/>
          <w:szCs w:val="19"/>
        </w:rPr>
        <w:t xml:space="preserve">Note on references: items [1]–[12] were located and checked during research for this report. Items [13], [14] and [18] are standard citations given without a link — confirm the exact edition and page before final submission.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SIH26-26122 Research Report — SETU</dc:title>
  <dc:creator>Team Aethrix</dc:creator>
  <dc:description>Smart India Hackathon 2026 college round research report</dc:description>
  <cp:lastModifiedBy>Un-named</cp:lastModifiedBy>
  <cp:revision>1</cp:revision>
  <dcterms:created xsi:type="dcterms:W3CDTF">2026-09-08T15:25:28.386Z</dcterms:created>
  <dcterms:modified xsi:type="dcterms:W3CDTF">2026-09-08T15:25:28.392Z</dcterms:modified>
</cp:coreProperties>
</file>

<file path=docProps/custom.xml><?xml version="1.0" encoding="utf-8"?>
<Properties xmlns="http://schemas.openxmlformats.org/officeDocument/2006/custom-properties" xmlns:vt="http://schemas.openxmlformats.org/officeDocument/2006/docPropsVTypes"/>
</file>