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проводились 5 раз для каждой конфигурации, рассчитывалось среднее значение времени исполнения 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3 колонка для кастомной и библиотечной версии соответственно).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 - мощность алфавита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  -  длина случайного текста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[1,50)  -   диапазон возможной длины случайного паттерна 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95"/>
        <w:gridCol w:w="3145"/>
        <w:tblGridChange w:id="0">
          <w:tblGrid>
            <w:gridCol w:w="3315"/>
            <w:gridCol w:w="2895"/>
            <w:gridCol w:w="3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33.3333333333332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rtl w:val="0"/>
              </w:rPr>
              <w:t xml:space="preserve">TSuffixTree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[µs]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std::string::find [µs]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260746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193985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2389398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1970193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23955876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20265396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139460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88429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1650844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1293025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17571014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12930990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используются позиционные системы счисления: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двоичная (представление информации в процессоре, передача между устройствами)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восьмеричная (кодирование файлов, права пользования в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шестнадцатеричная (как промежуточные между процессором и человеком)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десятичная (используемая человеком).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Любая позиционная система счисления характеризуется основанием и базой. Основание системы счисления — это количество символов, используемых в каждой позиции (отсюда и берется название системы) для предстањления числа. База — последовательность цифр, используемых для записи числа. Ни в одной системе нет цифры, равной основанию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