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Подготовка</w:t>
      </w:r>
      <w:r>
        <w:t xml:space="preserve"> </w:t>
      </w:r>
      <w:r>
        <w:t xml:space="preserve">к</w:t>
      </w:r>
      <w:r>
        <w:t xml:space="preserve"> </w:t>
      </w:r>
      <w:r>
        <w:t xml:space="preserve">защите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работы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Маркин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Алексеевич</w:t>
      </w:r>
      <w:r>
        <w:t xml:space="preserve"> </w:t>
      </w:r>
      <w:r>
        <w:t xml:space="preserve">·</w:t>
      </w:r>
      <w:r>
        <w:t xml:space="preserve"> </w:t>
      </w:r>
      <w:r>
        <w:t xml:space="preserve">Б24-902</w:t>
      </w:r>
      <w:r>
        <w:t xml:space="preserve"> </w:t>
      </w:r>
      <w:r>
        <w:t xml:space="preserve">·</w:t>
      </w:r>
      <w:r>
        <w:t xml:space="preserve"> </w:t>
      </w:r>
      <w:r>
        <w:t xml:space="preserve">вариант</w:t>
      </w:r>
      <w:r>
        <w:t xml:space="preserve"> </w:t>
      </w:r>
      <w:r>
        <w:t xml:space="preserve">95</w:t>
      </w:r>
    </w:p>
    <w:bookmarkStart w:id="20" w:name="краткие-результаты-своего-варианта"/>
    <w:p>
      <w:pPr>
        <w:pStyle w:val="Heading1"/>
      </w:pPr>
      <w:r>
        <w:t xml:space="preserve">Краткие результаты своего варианта</w:t>
      </w:r>
    </w:p>
    <w:p>
      <w:pPr>
        <w:pStyle w:val="FirstParagraph"/>
      </w:pPr>
      <w:r>
        <w:t xml:space="preserve">Исходная выборка — 2000 анкет. Наблюдаемая инфляция: N = 1445, обычная медиана 14,5%, уточненная 14,4620%. Ожидаемая инфляция: N = 1313, обычная медиана 14,5%, уточненная 13,4268%. Для обоих показателей Q1 = 7%, Q3 = 23%.</w:t>
      </w:r>
    </w:p>
    <w:p>
      <w:pPr>
        <w:pStyle w:val="BodyText"/>
      </w:pPr>
      <w:r>
        <w:t xml:space="preserve">Доход на человека: N = 1613, среднее 38 675,8 руб., медиана 27 500 руб., Q1 = 13 750 руб., Q3 = 47 500 руб., IQR = 33 750 руб. При группировке с шагом 5000 руб. уточненная медиана — 26 164,1 руб.</w:t>
      </w:r>
    </w:p>
    <w:p>
      <w:pPr>
        <w:pStyle w:val="BodyText"/>
      </w:pPr>
      <w:r>
        <w:t xml:space="preserve">Частные индексы: I1 = 76,4; I2 = 99,1; I3 = 93,5; I4 = 94,0; I5 = 89,6 пункта. ИТС = 83,0; ИПО = 95,5; ИПН = 90,5 пункта. ИПН мужчин — 90,8, женщин — 90,3 пункта. Нельзя объявлять разницу статистически значимой без соответствующей модели и проверки.</w:t>
      </w:r>
    </w:p>
    <w:p>
      <w:pPr>
        <w:pStyle w:val="BodyText"/>
      </w:pPr>
      <w:r>
        <w:t xml:space="preserve">Важные ограничения: отсутствует исходная доходная характеристика; использованы пять квантильных групп рассчитанного дохода. Официальные значения января–августа 2026 не подтверждены: в исходниках оставлены NA. Нельзя утверждать, что временная динамика уже рассчитана. Данные индивидуального файла синтетические.</w:t>
      </w:r>
    </w:p>
    <w:bookmarkEnd w:id="20"/>
    <w:bookmarkStart w:id="34" w:name="Xfcb3729c8d9f2cb4c468063d849f9d15d113cde"/>
    <w:p>
      <w:pPr>
        <w:pStyle w:val="Heading1"/>
      </w:pPr>
      <w:r>
        <w:t xml:space="preserve">Ответы на 13 контрольных вопросов из методички</w:t>
      </w:r>
    </w:p>
    <w:bookmarkStart w:id="21" w:name="X783ce3fdf830f007384628076e5d8da0f5952ff"/>
    <w:p>
      <w:pPr>
        <w:pStyle w:val="Heading2"/>
      </w:pPr>
      <w:r>
        <w:t xml:space="preserve">1. Чем различаются character, factor, numeric и NA? Как импортировать XLSX?</w:t>
      </w:r>
    </w:p>
    <w:p>
      <w:pPr>
        <w:pStyle w:val="FirstParagraph"/>
      </w:pPr>
      <w:r>
        <w:rPr>
          <w:rStyle w:val="VerbatimChar"/>
        </w:rPr>
        <w:t xml:space="preserve">character</w:t>
      </w:r>
      <w:r>
        <w:t xml:space="preserve"> </w:t>
      </w:r>
      <w:r>
        <w:t xml:space="preserve">хранит строки;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— категориальную переменную с фиксированными уровнями;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— числа.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обозначение отсутствующего значения, а не отдельный тип переменной: существуют числовые, строковые и другие NA. Проверяют пропуск через</w:t>
      </w:r>
      <w:r>
        <w:t xml:space="preserve"> </w:t>
      </w:r>
      <w:r>
        <w:rPr>
          <w:rStyle w:val="VerbatimChar"/>
        </w:rPr>
        <w:t xml:space="preserve">is.na(x)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x == NA</w:t>
      </w:r>
      <w:r>
        <w:t xml:space="preserve">.</w:t>
      </w:r>
    </w:p>
    <w:p>
      <w:pPr>
        <w:pStyle w:val="BodyText"/>
      </w:pPr>
      <w:r>
        <w:t xml:space="preserve">Импорт:</w:t>
      </w:r>
      <w:r>
        <w:t xml:space="preserve"> </w:t>
      </w:r>
      <w:r>
        <w:rPr>
          <w:rStyle w:val="VerbatimChar"/>
        </w:rPr>
        <w:t xml:space="preserve">Data_OG &lt;- openxlsx::read.xlsx("data/variant95.xlsx", sheet = "Анкеты", check.names = FALSE)</w:t>
      </w:r>
      <w:r>
        <w:t xml:space="preserve">. Далее создается копия</w:t>
      </w:r>
      <w:r>
        <w:t xml:space="preserve"> </w:t>
      </w:r>
      <w:r>
        <w:rPr>
          <w:rStyle w:val="VerbatimChar"/>
        </w:rPr>
        <w:t xml:space="preserve">Data &lt;- Data_OG</w:t>
      </w:r>
      <w:r>
        <w:t xml:space="preserve">. Фактор с явными уровнями позволяет получить в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 </w:t>
      </w:r>
      <w:r>
        <w:t xml:space="preserve">и нулевые частоты категорий.</w:t>
      </w:r>
    </w:p>
    <w:bookmarkEnd w:id="21"/>
    <w:bookmarkStart w:id="22" w:name="Xf879536649eab3c17e8b8fe8ece58c7dd1d24da"/>
    <w:p>
      <w:pPr>
        <w:pStyle w:val="Heading2"/>
      </w:pPr>
      <w:r>
        <w:t xml:space="preserve">2. Как посчитать абсолютную частоту и долю? Что меняется при смене знаменателя?</w:t>
      </w:r>
    </w:p>
    <w:p>
      <w:pPr>
        <w:pStyle w:val="FirstParagraph"/>
      </w:pPr>
      <w:r>
        <w:t xml:space="preserve">Частота n_j — количество ответов категории; доля p_j = 100 n_j / N. В R:</w:t>
      </w:r>
      <w:r>
        <w:t xml:space="preserve"> </w:t>
      </w:r>
      <w:r>
        <w:rPr>
          <w:rStyle w:val="VerbatimChar"/>
        </w:rPr>
        <w:t xml:space="preserve">table(factor(x, levels = valid_levels))</w:t>
      </w:r>
      <w:r>
        <w:t xml:space="preserve">. Для долей важно явно определить N: вся выборка, допустимые ответы или респонденты, которым задавался вопрос.</w:t>
      </w:r>
    </w:p>
    <w:p>
      <w:pPr>
        <w:pStyle w:val="BodyText"/>
      </w:pPr>
      <w:r>
        <w:t xml:space="preserve">Например, 100 ответов из 2000 — 5%, а те же 100 из 1000 — 10%. Частота не меняется, доля меняется, потому что описывает другое основание. Доли разных групп нельзя сравнивать без знания их оснований.</w:t>
      </w:r>
    </w:p>
    <w:bookmarkEnd w:id="22"/>
    <w:bookmarkStart w:id="23" w:name="X13ca5e8ecb0fe69d4a20a93b19b7930c93cf950"/>
    <w:p>
      <w:pPr>
        <w:pStyle w:val="Heading2"/>
      </w:pPr>
      <w:r>
        <w:t xml:space="preserve">3. Чем технический пропуск отличается от «затрудняюсь» и незаданного вопроса?</w:t>
      </w:r>
    </w:p>
    <w:p>
      <w:pPr>
        <w:pStyle w:val="FirstParagraph"/>
      </w:pPr>
      <w:r>
        <w:t xml:space="preserve">Технический пропуск — пустота там, где ожидался ответ. «Затрудняюсь ответить» — зафиксированная содержательная категория неопределенности: она включается в частоты и знаменатели индексов, но исключается из числовой медианы инфляции. «Вопрос не задавался» — структурный пропуск по логике анкеты; это не ошибка и не неопределенность респондента.</w:t>
      </w:r>
    </w:p>
    <w:p>
      <w:pPr>
        <w:pStyle w:val="BodyText"/>
      </w:pPr>
      <w:r>
        <w:t xml:space="preserve">В варианте Q4 не задавался 138 респондентам, Q6 — 303; тип работодателя структурно отсутствует у 839 респондентов. Эти пропуски не должны увеличивать число ошибочных анкет.</w:t>
      </w:r>
    </w:p>
    <w:bookmarkEnd w:id="23"/>
    <w:bookmarkStart w:id="24" w:name="X574c07d78bedbdaf8f939cab204e0d697b1dc03"/>
    <w:p>
      <w:pPr>
        <w:pStyle w:val="Heading2"/>
      </w:pPr>
      <w:r>
        <w:t xml:space="preserve">4. Почему при «росли медленнее» нельзя присвоить отрицательную инфляцию?</w:t>
      </w:r>
    </w:p>
    <w:p>
      <w:pPr>
        <w:pStyle w:val="FirstParagraph"/>
      </w:pPr>
      <w:r>
        <w:t xml:space="preserve">Медленнее означает замедление положительного роста: например, переход от роста 20% к росту 10%. Уровень цен все равно увеличился. Отрицательная инфляция означает снижение самого уровня цен; ей соответствует отдельный ответ «снижались». Величина роста для первых трех ответов берется из Q4 или Q6.</w:t>
      </w:r>
    </w:p>
    <w:bookmarkEnd w:id="24"/>
    <w:bookmarkStart w:id="25" w:name="X805ae0070f2938850041b74fcd282f4beb7a031"/>
    <w:p>
      <w:pPr>
        <w:pStyle w:val="Heading2"/>
      </w:pPr>
      <w:r>
        <w:t xml:space="preserve">5. Что такое медиана? Чем обычная отличается от уточненной?</w:t>
      </w:r>
    </w:p>
    <w:p>
      <w:pPr>
        <w:pStyle w:val="FirstParagraph"/>
      </w:pPr>
      <w:r>
        <w:t xml:space="preserve">Медиана делит упорядоченную выборку на две половины: не меньше половины значений не превосходит медиану и не меньше половины не меньше нее. Для нечетного N это центральный элемент; для четного</w:t>
      </w:r>
      <w:r>
        <w:t xml:space="preserve"> </w:t>
      </w:r>
      <w:r>
        <w:rPr>
          <w:rStyle w:val="VerbatimChar"/>
        </w:rPr>
        <w:t xml:space="preserve">median()</w:t>
      </w:r>
      <w:r>
        <w:t xml:space="preserve"> </w:t>
      </w:r>
      <w:r>
        <w:t xml:space="preserve">возвращает среднее двух центральных значений.</w:t>
      </w:r>
    </w:p>
    <w:p>
      <w:pPr>
        <w:pStyle w:val="BodyText"/>
      </w:pPr>
      <w:r>
        <w:t xml:space="preserve">Обычная медиана в этой работе вычисляется по условным кодам интервалов. Уточненная использует частоты категорий и предполагает равномерность внутри медианного интервала. Обе обычные медианы равны 14,5%, но уточненные различаются — 14,4620% и 13,4268%. Это эффект распределения частот, а не появление новых точных ответов.</w:t>
      </w:r>
    </w:p>
    <w:bookmarkEnd w:id="25"/>
    <w:bookmarkStart w:id="26" w:name="X8c6ccb323b1e66a968603816354676fdd4c4393"/>
    <w:p>
      <w:pPr>
        <w:pStyle w:val="Heading2"/>
      </w:pPr>
      <w:r>
        <w:t xml:space="preserve">6. Как найти медианный интервал и что означает линейная интерполяция?</w:t>
      </w:r>
    </w:p>
    <w:p>
      <w:pPr>
        <w:pStyle w:val="FirstParagraph"/>
      </w:pPr>
      <w:r>
        <w:t xml:space="preserve">Вычисляют накопленные частоты F и находят первую категорию, где F ≥ N/2. Затем определяют долю пути внутри медианного интервала: (N/2 − F_prev)/f. Уточненная медиана равна L + h(N/2 − F_prev)/f, где L — нижняя непрерывная граница, h — ширина.</w:t>
      </w:r>
    </w:p>
    <w:p>
      <w:pPr>
        <w:pStyle w:val="BodyText"/>
      </w:pPr>
      <w:r>
        <w:t xml:space="preserve">В своем варианте для наблюдаемой инфляции: 12,5 + 4(722,5 − 645)/158 = 14,4620%. Для ожидаемой: 12,5 + 4(656,5 − 628)/123 = 13,4268%. Предположение: внутри интервала частота накапливается равномерно. Без него точное положение медианы внутри интервала не определяется.</w:t>
      </w:r>
    </w:p>
    <w:bookmarkEnd w:id="26"/>
    <w:bookmarkStart w:id="27" w:name="X5f809e638e748ea71e55243d610b38f7b04c0b6"/>
    <w:p>
      <w:pPr>
        <w:pStyle w:val="Heading2"/>
      </w:pPr>
      <w:r>
        <w:t xml:space="preserve">7. Как обработать медиану в открытом интервале?</w:t>
      </w:r>
    </w:p>
    <w:p>
      <w:pPr>
        <w:pStyle w:val="FirstParagraph"/>
      </w:pPr>
      <w:r>
        <w:t xml:space="preserve">Открытая категория не имеет двух известных конечных границ, поэтому обычную интерполяцию L + h·… выполнить нельзя. Для инфляции методичка предписывает условные коды −5, 0, 1 или 75 с явной отметкой об отсутствии интерполяции. Для дохода сначала используются учебные замены открытых категорий 7000 и 200 000 руб., затем рассчитывается доход на человека и строится новая сетка с шагом 5000 руб.</w:t>
      </w:r>
    </w:p>
    <w:p>
      <w:pPr>
        <w:pStyle w:val="BodyText"/>
      </w:pPr>
      <w:r>
        <w:t xml:space="preserve">Если бы требовалась медиана непосредственно в открытой исходной доходной категории, нужно было бы дополнительное обоснованное соглашение о границах или сообщение о неопределенности. Произвольную границу молча подставлять нельзя.</w:t>
      </w:r>
    </w:p>
    <w:bookmarkEnd w:id="27"/>
    <w:bookmarkStart w:id="28" w:name="X733ed7b55e9b1271d0a249a2b868c10db43a209"/>
    <w:p>
      <w:pPr>
        <w:pStyle w:val="Heading2"/>
      </w:pPr>
      <w:r>
        <w:t xml:space="preserve">8. Почему среднедушевой доход рассчитывают до медианы?</w:t>
      </w:r>
    </w:p>
    <w:p>
      <w:pPr>
        <w:pStyle w:val="FirstParagraph"/>
      </w:pPr>
      <w:r>
        <w:t xml:space="preserve">Единица анализа — доход конкретного респондента на одного члена его семьи: y_i = H_i/m_i. У семей разные доходы и размеры, и после деления порядок наблюдений может измениться. В общем случае median(H/m) ≠ median(H)/median(m).</w:t>
      </w:r>
    </w:p>
    <w:p>
      <w:pPr>
        <w:pStyle w:val="BodyText"/>
      </w:pPr>
      <w:r>
        <w:t xml:space="preserve">Пример: H = (10, 20, 30), m = (1, 10, 1). Отношения — (10, 2, 30), их медиана 10; отношение медиан равно 20/1 = 20. В работе расчет выполняется построчно по пригодным парам Q12/Q13.</w:t>
      </w:r>
    </w:p>
    <w:bookmarkEnd w:id="28"/>
    <w:bookmarkStart w:id="29" w:name="Xf925633616c565f65e63e190f3cbdc63c1ace0b"/>
    <w:p>
      <w:pPr>
        <w:pStyle w:val="Heading2"/>
      </w:pPr>
      <w:r>
        <w:t xml:space="preserve">9. Что измеряет IQR и почему он устойчивее размаха?</w:t>
      </w:r>
    </w:p>
    <w:p>
      <w:pPr>
        <w:pStyle w:val="FirstParagraph"/>
      </w:pPr>
      <w:r>
        <w:t xml:space="preserve">IQR = Q3 − Q1 — ширина интервала между 25-м и 75-м процентилями, то есть разброс центральной половины распределения. Он мало зависит от отдельных крайних значений, если они не изменяют положения квартилей. Размах max − min определяется исключительно двумя крайними наблюдениями и резко меняется при выбросе.</w:t>
      </w:r>
    </w:p>
    <w:p>
      <w:pPr>
        <w:pStyle w:val="BodyText"/>
      </w:pPr>
      <w:r>
        <w:t xml:space="preserve">В варианте IQR дохода равен 47 500 − 13 750 = 33 750 руб. Это мера разброса, а не средний доход и не доверительный интервал.</w:t>
      </w:r>
    </w:p>
    <w:bookmarkEnd w:id="29"/>
    <w:bookmarkStart w:id="30" w:name="X700b9d296aca067d2a30a582e087d788a609a38"/>
    <w:p>
      <w:pPr>
        <w:pStyle w:val="Heading2"/>
      </w:pPr>
      <w:r>
        <w:t xml:space="preserve">10. Как изменение положительных и отрицательных долей влияет на индекс?</w:t>
      </w:r>
    </w:p>
    <w:p>
      <w:pPr>
        <w:pStyle w:val="FirstParagraph"/>
      </w:pPr>
      <w:r>
        <w:t xml:space="preserve">I = 100 + P − M. Рост P на 1 п. п. при неизменной M повышает индекс на 1 пункт. Рост M на 1 п. п. снижает его на 1 пункт. Перевод 1 п. п. ответов из отрицательных в положительные увеличивает индекс на 2 пункта.</w:t>
      </w:r>
    </w:p>
    <w:p>
      <w:pPr>
        <w:pStyle w:val="BodyText"/>
      </w:pPr>
      <w:r>
        <w:t xml:space="preserve">Индекс 100 означает равенство положительной и отрицательной долей, но не отсутствие нейтральных ответов. Индекс ниже 100 означает преобладание отрицательной доли; выше 100 — положительной. Диапазон 0–200.</w:t>
      </w:r>
    </w:p>
    <w:bookmarkEnd w:id="30"/>
    <w:bookmarkStart w:id="31" w:name="X7d79ce8f8ee00ce2572c7a7897bb505fa889788"/>
    <w:p>
      <w:pPr>
        <w:pStyle w:val="Heading2"/>
      </w:pPr>
      <w:r>
        <w:t xml:space="preserve">11. Почему нельзя брать простое среднее ИТС и ИПО?</w:t>
      </w:r>
    </w:p>
    <w:p>
      <w:pPr>
        <w:pStyle w:val="FirstParagraph"/>
      </w:pPr>
      <w:r>
        <w:t xml:space="preserve">ИТС содержит два индекса, ИПО — три. Чтобы каждый из пяти частных индексов получил одинаковый вес 1/5, нужны веса 2/5 и 3/5: ИПН = (2ИТС + 3ИПО)/5. Среднее (ИТС + ИПО)/2 дало бы частным индексам текущего состояния вес 1/4, а индексам ожиданий — 1/6.</w:t>
      </w:r>
    </w:p>
    <w:p>
      <w:pPr>
        <w:pStyle w:val="BodyText"/>
      </w:pPr>
      <w:r>
        <w:t xml:space="preserve">Для варианта правильный результат — 90,52 пункта до округления. Неверное простое среднее дало бы 89,2667 пункта. Округлять ИТС и ИПО перед проверкой формулы нельзя.</w:t>
      </w:r>
    </w:p>
    <w:bookmarkEnd w:id="31"/>
    <w:bookmarkStart w:id="32" w:name="X1f5279b1c9e34e0e3b44b692b29f3bcbccf43cf"/>
    <w:p>
      <w:pPr>
        <w:pStyle w:val="Heading2"/>
      </w:pPr>
      <w:r>
        <w:t xml:space="preserve">12. Чем процентные пункты отличаются от процентов? В чем изменение ИПН?</w:t>
      </w:r>
    </w:p>
    <w:p>
      <w:pPr>
        <w:pStyle w:val="FirstParagraph"/>
      </w:pPr>
      <w:r>
        <w:t xml:space="preserve">Если инфляционная оценка выросла с 10% до 12%, разность равна 2 процентным пунктам, относительный прирост — 20%. Это разные показатели. В работе требуется разность уровней, а не относительный прирост.</w:t>
      </w:r>
    </w:p>
    <w:p>
      <w:pPr>
        <w:pStyle w:val="BodyText"/>
      </w:pPr>
      <w:r>
        <w:t xml:space="preserve">Изменение ИПН со 100 до 95 — минус 5 пунктов индекса. Сам ИПН не является долей в процентах; его изменение в данном задании не выражается в процентных пунктах.</w:t>
      </w:r>
    </w:p>
    <w:bookmarkEnd w:id="32"/>
    <w:bookmarkStart w:id="33" w:name="Xa3a2fa94cd236cf036480dda896c804a6a0ee70"/>
    <w:p>
      <w:pPr>
        <w:pStyle w:val="Heading2"/>
      </w:pPr>
      <w:r>
        <w:t xml:space="preserve">13. Почему учебный сентябрь нельзя считать официальным?</w:t>
      </w:r>
    </w:p>
    <w:p>
      <w:pPr>
        <w:pStyle w:val="FirstParagraph"/>
      </w:pPr>
      <w:r>
        <w:t xml:space="preserve">Сентябрь вычислен по специально сгенерированным учебным ответам, а официальный ряд — по реальному опросу с собственной выборкой, обработкой и весами. Совпадение месяца или даже чисел не делает источники одинаковыми. Нельзя объяснять разность как установленное изменение настроений населения, соединять учебную точку с официальной линией без обозначения смены источника или приписывать ее Банку России.</w:t>
      </w:r>
    </w:p>
    <w:bookmarkEnd w:id="33"/>
    <w:bookmarkEnd w:id="34"/>
    <w:bookmarkStart w:id="37" w:name="Xcf158dc296f517ace2654d3dd43b0ba812be8e7"/>
    <w:p>
      <w:pPr>
        <w:pStyle w:val="Heading1"/>
      </w:pPr>
      <w:r>
        <w:t xml:space="preserve">Какие еще вопросы может задать преподаватель</w:t>
      </w:r>
    </w:p>
    <w:bookmarkStart w:id="35" w:name="о-данных-и-коде"/>
    <w:p>
      <w:pPr>
        <w:pStyle w:val="Heading2"/>
      </w:pPr>
      <w:r>
        <w:t xml:space="preserve">О данных и коде</w:t>
      </w:r>
    </w:p>
    <w:p>
      <w:pPr>
        <w:pStyle w:val="FirstParagraph"/>
      </w:pPr>
      <w:r>
        <w:rPr>
          <w:b/>
          <w:bCs/>
        </w:rPr>
        <w:t xml:space="preserve">Почему нужны 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Data_OG</w:t>
      </w:r>
      <w:r>
        <w:rPr>
          <w:b/>
          <w:bCs/>
        </w:rPr>
        <w:t xml:space="preserve">, 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?</w:t>
      </w:r>
      <w:r>
        <w:t xml:space="preserve"> </w:t>
      </w:r>
      <w:r>
        <w:t xml:space="preserve">Первый объект сохраняет исходный импорт, второй содержит воспроизводимую очистку и производные переменные. Можно проверить, какие преобразования привели к итогам, не редактируя XLSX.</w:t>
      </w:r>
    </w:p>
    <w:p>
      <w:pPr>
        <w:pStyle w:val="BodyText"/>
      </w:pPr>
      <w:r>
        <w:rPr>
          <w:b/>
          <w:bCs/>
        </w:rPr>
        <w:t xml:space="preserve">Зачем явно задавать уровни factor?</w:t>
      </w:r>
      <w:r>
        <w:t xml:space="preserve"> </w:t>
      </w:r>
      <w:r>
        <w:t xml:space="preserve">Чтобы порядок совпадал с анкетой и в таблице появились допустимые категории с нулевой частотой.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 </w:t>
      </w:r>
      <w:r>
        <w:t xml:space="preserve">по строкам без заданных уровней не восстанавливает ненаблюдавшиеся категории.</w:t>
      </w:r>
    </w:p>
    <w:p>
      <w:pPr>
        <w:pStyle w:val="BodyText"/>
      </w:pPr>
      <w:r>
        <w:rPr>
          <w:b/>
          <w:bCs/>
        </w:rPr>
        <w:t xml:space="preserve">Почему не удалить все строки с любым NA?</w:t>
      </w:r>
      <w:r>
        <w:t xml:space="preserve"> </w:t>
      </w:r>
      <w:r>
        <w:t xml:space="preserve">Это выбросило бы корректные анкеты со структурными пропусками и исказило бы основания остальных показателей. Отбор зависит от конкретного показателя.</w:t>
      </w:r>
    </w:p>
    <w:p>
      <w:pPr>
        <w:pStyle w:val="BodyText"/>
      </w:pPr>
      <w:r>
        <w:rPr>
          <w:b/>
          <w:bCs/>
        </w:rPr>
        <w:t xml:space="preserve">Какая проверка уникальности ID корректна?</w:t>
      </w:r>
      <w:r>
        <w:t xml:space="preserve"> </w:t>
      </w:r>
      <w:r>
        <w:rPr>
          <w:rStyle w:val="VerbatimChar"/>
        </w:rPr>
        <w:t xml:space="preserve">duplicated(ID)</w:t>
      </w:r>
      <w:r>
        <w:t xml:space="preserve"> </w:t>
      </w:r>
      <w:r>
        <w:t xml:space="preserve">отмечает только повторные вхождения; объединение с</w:t>
      </w:r>
      <w:r>
        <w:t xml:space="preserve"> </w:t>
      </w:r>
      <w:r>
        <w:rPr>
          <w:rStyle w:val="VerbatimChar"/>
        </w:rPr>
        <w:t xml:space="preserve">duplicated(ID, fromLast = TRUE)</w:t>
      </w:r>
      <w:r>
        <w:t xml:space="preserve"> </w:t>
      </w:r>
      <w:r>
        <w:t xml:space="preserve">отмечает все строки повторяющегося ID. Пустые ID проверяются отдельно. Обнаруженный дубликат нельзя бездумно удалить без проверки, относится ли он к одной анкете.</w:t>
      </w:r>
    </w:p>
    <w:p>
      <w:pPr>
        <w:pStyle w:val="BodyText"/>
      </w:pPr>
      <w:r>
        <w:rPr>
          <w:b/>
          <w:bCs/>
        </w:rPr>
        <w:t xml:space="preserve">Почему у Q4/Q6 разные знаменатели в двух таблицах?</w:t>
      </w:r>
      <w:r>
        <w:t xml:space="preserve"> </w:t>
      </w:r>
      <w:r>
        <w:t xml:space="preserve">Основная таблица описывает ответивших в условном подмножестве задавания, дополнительная — структуру всей выборки. Для варианта основания задавания: Q4 — 1862, Q6 — 1697; для общей таблицы N = 2000.</w:t>
      </w:r>
    </w:p>
    <w:p>
      <w:pPr>
        <w:pStyle w:val="BodyText"/>
      </w:pPr>
      <w:r>
        <w:rPr>
          <w:b/>
          <w:bCs/>
        </w:rPr>
        <w:t xml:space="preserve">Почему при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mean(x)</w:t>
      </w:r>
      <w:r>
        <w:rPr>
          <w:b/>
          <w:bCs/>
        </w:rPr>
        <w:t xml:space="preserve"> </w:t>
      </w:r>
      <w:r>
        <w:rPr>
          <w:b/>
          <w:bCs/>
        </w:rPr>
        <w:t xml:space="preserve">с NA получается NA?</w:t>
      </w:r>
      <w:r>
        <w:t xml:space="preserve"> </w:t>
      </w:r>
      <w:r>
        <w:t xml:space="preserve">Пропуск распространяется на результат; используют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, если исключение допустимо, и отдельно сообщают оставшийся N.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не разрешает автоматически игнорировать причины пропуска.</w:t>
      </w:r>
    </w:p>
    <w:p>
      <w:pPr>
        <w:pStyle w:val="BodyText"/>
      </w:pPr>
      <w:r>
        <w:rPr>
          <w:b/>
          <w:bCs/>
        </w:rPr>
        <w:t xml:space="preserve">Что делает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cut(..., right = FALSE)</w:t>
      </w:r>
      <w:r>
        <w:rPr>
          <w:b/>
          <w:bCs/>
        </w:rPr>
        <w:t xml:space="preserve">?</w:t>
      </w:r>
      <w:r>
        <w:t xml:space="preserve"> </w:t>
      </w:r>
      <w:r>
        <w:t xml:space="preserve">Формирует левые замкнутые интервалы [a; b). Число на границе b попадает в следующий класс. При квантильных группах в этой работе, напротив, используются правые замкнутые интервалы (a; b].</w:t>
      </w:r>
    </w:p>
    <w:p>
      <w:pPr>
        <w:pStyle w:val="BodyText"/>
      </w:pPr>
      <w:r>
        <w:rPr>
          <w:b/>
          <w:bCs/>
        </w:rPr>
        <w:t xml:space="preserve">Что будет при совпадающих квантильных границах?</w:t>
      </w:r>
      <w:r>
        <w:t xml:space="preserve"> </w:t>
      </w:r>
      <w:r>
        <w:t xml:space="preserve">Нельзя задать пять разных интервалов с повторяющимися точками разбиения. Нужно сообщить проблему и пересмотреть правило группировки; нельзя молча разнести одинаковые доходы по разным интервалам. В этом варианте шесть границ различны.</w:t>
      </w:r>
    </w:p>
    <w:bookmarkEnd w:id="35"/>
    <w:bookmarkStart w:id="36" w:name="об-оценках-и-графиках"/>
    <w:p>
      <w:pPr>
        <w:pStyle w:val="Heading2"/>
      </w:pPr>
      <w:r>
        <w:t xml:space="preserve">Об оценках и графиках</w:t>
      </w:r>
    </w:p>
    <w:p>
      <w:pPr>
        <w:pStyle w:val="FirstParagraph"/>
      </w:pPr>
      <w:r>
        <w:rPr>
          <w:b/>
          <w:bCs/>
        </w:rPr>
        <w:t xml:space="preserve">Чем среднее отличается от медианы?</w:t>
      </w:r>
      <w:r>
        <w:t xml:space="preserve"> </w:t>
      </w:r>
      <w:r>
        <w:t xml:space="preserve">Среднее использует сумму всех значений и чувствительно к крайним величинам. Медиана характеризует положение середины и устойчивее к выбросам. Для дохода среднее 38 675,8 руб. выше медианы 27 500 руб.; это согласуется с правой асимметрией распределения.</w:t>
      </w:r>
    </w:p>
    <w:p>
      <w:pPr>
        <w:pStyle w:val="BodyText"/>
      </w:pPr>
      <w:r>
        <w:rPr>
          <w:b/>
          <w:bCs/>
        </w:rPr>
        <w:t xml:space="preserve">Что означают Q1 и Q3 в описательной таблице?</w:t>
      </w:r>
      <w:r>
        <w:t xml:space="preserve"> </w:t>
      </w:r>
      <w:r>
        <w:t xml:space="preserve">В такой таблице это первый и третий квартили, а не вопросы анкеты Q1/Q3. Нужно различать контекст обозначений. Первый квартиль отделяет примерно нижнюю четверть, третий — нижние три четверти наблюдений.</w:t>
      </w:r>
    </w:p>
    <w:p>
      <w:pPr>
        <w:pStyle w:val="BodyText"/>
      </w:pPr>
      <w:r>
        <w:rPr>
          <w:b/>
          <w:bCs/>
        </w:rPr>
        <w:t xml:space="preserve">Почему именно граница 12,5 для ответа 13–16%?</w:t>
      </w:r>
      <w:r>
        <w:t xml:space="preserve"> </w:t>
      </w:r>
      <w:r>
        <w:t xml:space="preserve">Методичка переводит целочисленные интервалы в непрерывные границы на половине единицы: [12,5; 16,5), ширина 4. Это учебное соглашение для интерполяции, а не изменение кодового значения 14,5.</w:t>
      </w:r>
    </w:p>
    <w:p>
      <w:pPr>
        <w:pStyle w:val="BodyText"/>
      </w:pPr>
      <w:r>
        <w:rPr>
          <w:b/>
          <w:bCs/>
        </w:rPr>
        <w:t xml:space="preserve">Почему нельзя сначала округлить P и M?</w:t>
      </w:r>
      <w:r>
        <w:t xml:space="preserve"> </w:t>
      </w:r>
      <w:r>
        <w:t xml:space="preserve">Ошибки округления передаются в индексы, затем в составные показатели и разности. Сначала вычисляют с полной точностью, округляют только вывод.</w:t>
      </w:r>
    </w:p>
    <w:p>
      <w:pPr>
        <w:pStyle w:val="BodyText"/>
      </w:pPr>
      <w:r>
        <w:rPr>
          <w:b/>
          <w:bCs/>
        </w:rPr>
        <w:t xml:space="preserve">Чем столбчатая диаграмма отличается от гистограммы?</w:t>
      </w:r>
      <w:r>
        <w:t xml:space="preserve"> </w:t>
      </w:r>
      <w:r>
        <w:t xml:space="preserve">Первая показывает частоты или доли категорий, порядок задается их смыслом; вторая группирует количественную переменную по числовым интервалам. При равных ширинах высота может быть частотой; при неравных ширинах для корректного сравнения площадей нужна плотность частоты.</w:t>
      </w:r>
    </w:p>
    <w:p>
      <w:pPr>
        <w:pStyle w:val="BodyText"/>
      </w:pPr>
      <w:r>
        <w:rPr>
          <w:b/>
          <w:bCs/>
        </w:rPr>
        <w:t xml:space="preserve">Что означает индекс 90?</w:t>
      </w:r>
      <w:r>
        <w:t xml:space="preserve"> </w:t>
      </w:r>
      <w:r>
        <w:t xml:space="preserve">Отрицательная доля на 10 п. п. больше положительной. Это не значит, что 90% респондентов удовлетворены или что 10% недовольны: конкретные P и M могут быть разными.</w:t>
      </w:r>
    </w:p>
    <w:p>
      <w:pPr>
        <w:pStyle w:val="BodyText"/>
      </w:pPr>
      <w:r>
        <w:rPr>
          <w:b/>
          <w:bCs/>
        </w:rPr>
        <w:t xml:space="preserve">Зачем сохранять «затрудняюсь» в знаменателе индекса?</w:t>
      </w:r>
      <w:r>
        <w:t xml:space="preserve"> </w:t>
      </w:r>
      <w:r>
        <w:t xml:space="preserve">Это правило методички: индекс относится ко всем допустимым ответам вопроса. Удаление неопределенных ответов изменило бы знаменатель и искусственно увеличило бы модуль баланса.</w:t>
      </w:r>
    </w:p>
    <w:p>
      <w:pPr>
        <w:pStyle w:val="BodyText"/>
      </w:pPr>
      <w:r>
        <w:rPr>
          <w:b/>
          <w:bCs/>
        </w:rPr>
        <w:t xml:space="preserve">Почему квантильные группы не ровно по 20%?</w:t>
      </w:r>
      <w:r>
        <w:t xml:space="preserve"> </w:t>
      </w:r>
      <w:r>
        <w:t xml:space="preserve">В данных много одинаковых доходов. Граница проводится по значению, все равные значения остаются вместе. Размеры групп — 336, 331, 304, 332 и 310 человек.</w:t>
      </w:r>
    </w:p>
    <w:p>
      <w:pPr>
        <w:pStyle w:val="BodyText"/>
      </w:pPr>
      <w:r>
        <w:rPr>
          <w:b/>
          <w:bCs/>
        </w:rPr>
        <w:t xml:space="preserve">Достаточно ли N ≥ 30 для обобщения на страну?</w:t>
      </w:r>
      <w:r>
        <w:t xml:space="preserve"> </w:t>
      </w:r>
      <w:r>
        <w:t xml:space="preserve">Нет. Это только учебный ориентир малочисленности. Нужны подходящий способ отбора, охват, учет весов и дизайн исследования; синтетические данные вообще не являются выборкой реального населения.</w:t>
      </w:r>
    </w:p>
    <w:p>
      <w:pPr>
        <w:pStyle w:val="BodyText"/>
      </w:pPr>
      <w:r>
        <w:rPr>
          <w:b/>
          <w:bCs/>
        </w:rPr>
        <w:t xml:space="preserve">Почему нельзя говорить, что доход вызывает определенные ожидания?</w:t>
      </w:r>
      <w:r>
        <w:t xml:space="preserve"> </w:t>
      </w:r>
      <w:r>
        <w:t xml:space="preserve">Наблюдаемое групповое различие не отделяет влияние возраста, пола и прочих факторов и не доказывает причинную связь. В этой работе анализ только описательный.</w:t>
      </w:r>
    </w:p>
    <w:p>
      <w:pPr>
        <w:pStyle w:val="BodyText"/>
      </w:pPr>
      <w:r>
        <w:rPr>
          <w:b/>
          <w:bCs/>
        </w:rPr>
        <w:t xml:space="preserve">Какие результаты наиболее чувствительны к допущениям?</w:t>
      </w:r>
      <w:r>
        <w:t xml:space="preserve"> </w:t>
      </w:r>
      <w:r>
        <w:t xml:space="preserve">Средний доход — к кодам крайних доходных категорий; уточненная медиана — к границам и равномерности внутри класса; групповые сравнения — к построению групп; индексы — к классификации ответов и знаменателям.</w:t>
      </w:r>
    </w:p>
    <w:p>
      <w:pPr>
        <w:pStyle w:val="BodyText"/>
      </w:pPr>
      <w:r>
        <w:rPr>
          <w:b/>
          <w:bCs/>
        </w:rPr>
        <w:t xml:space="preserve">Почему в официальной части стоят NA, а не числа из примера?</w:t>
      </w:r>
      <w:r>
        <w:t xml:space="preserve"> </w:t>
      </w:r>
      <w:r>
        <w:t xml:space="preserve">Источник этих чисел не проверен. Корректное решение — указать отсутствие подтвержденных данных и сохранить воспроизводимую заготовку, а затем заполнить ее по первоисточнику. Отсутствие данных не равно нулю.</w:t>
      </w:r>
    </w:p>
    <w:bookmarkEnd w:id="36"/>
    <w:bookmarkEnd w:id="37"/>
    <w:bookmarkStart w:id="38" w:name="что-стоит-уметь-показать-в-r-на-защите"/>
    <w:p>
      <w:pPr>
        <w:pStyle w:val="Heading1"/>
      </w:pPr>
      <w:r>
        <w:t xml:space="preserve">Что стоит уметь показать в R на защите</w:t>
      </w:r>
    </w:p>
    <w:p>
      <w:pPr>
        <w:pStyle w:val="Compact"/>
        <w:numPr>
          <w:ilvl w:val="0"/>
          <w:numId w:val="1001"/>
        </w:numPr>
      </w:pPr>
      <w:r>
        <w:t xml:space="preserve">Импорт XLSX,</w:t>
      </w:r>
      <w:r>
        <w:t xml:space="preserve"> </w:t>
      </w:r>
      <w:r>
        <w:rPr>
          <w:rStyle w:val="VerbatimChar"/>
        </w:rPr>
        <w:t xml:space="preserve">names(Data)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nrow(Data)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str(Data)</w:t>
      </w:r>
      <w:r>
        <w:t xml:space="preserve"> </w:t>
      </w:r>
      <w:r>
        <w:t xml:space="preserve">и проверку идентификаторов.</w:t>
      </w:r>
    </w:p>
    <w:p>
      <w:pPr>
        <w:pStyle w:val="Compact"/>
        <w:numPr>
          <w:ilvl w:val="0"/>
          <w:numId w:val="1001"/>
        </w:numPr>
      </w:pPr>
      <w:r>
        <w:t xml:space="preserve">Частоты</w:t>
      </w:r>
      <w:r>
        <w:t xml:space="preserve"> </w:t>
      </w:r>
      <w:r>
        <w:rPr>
          <w:rStyle w:val="VerbatimChar"/>
        </w:rPr>
        <w:t xml:space="preserve">table(factor(...))</w:t>
      </w:r>
      <w:r>
        <w:t xml:space="preserve">, их сумму, знаменатель доли и отдельный учет структурных пропусков.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IQR</w:t>
      </w:r>
      <w:r>
        <w:t xml:space="preserve">; частоты и</w:t>
      </w:r>
      <w:r>
        <w:t xml:space="preserve"> </w:t>
      </w:r>
      <w:r>
        <w:rPr>
          <w:rStyle w:val="VerbatimChar"/>
        </w:rPr>
        <w:t xml:space="preserve">cumsum</w:t>
      </w:r>
      <w:r>
        <w:t xml:space="preserve"> </w:t>
      </w:r>
      <w:r>
        <w:t xml:space="preserve">для определения медианного интервала.</w:t>
      </w:r>
    </w:p>
    <w:p>
      <w:pPr>
        <w:pStyle w:val="Compact"/>
        <w:numPr>
          <w:ilvl w:val="0"/>
          <w:numId w:val="1001"/>
        </w:numPr>
      </w:pPr>
      <w:r>
        <w:t xml:space="preserve">Построчное деление дохода семьи на число членов семьи и группировку через</w:t>
      </w:r>
      <w:r>
        <w:t xml:space="preserve"> </w:t>
      </w:r>
      <w:r>
        <w:rPr>
          <w:rStyle w:val="VerbatimChar"/>
        </w:rPr>
        <w:t xml:space="preserve">cut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Подсчет n_pos, n_neg, N и проверку двух формул ИПН без округления.</w:t>
      </w:r>
    </w:p>
    <w:p>
      <w:pPr>
        <w:pStyle w:val="Compact"/>
        <w:numPr>
          <w:ilvl w:val="0"/>
          <w:numId w:val="1001"/>
        </w:numPr>
      </w:pPr>
      <w:r>
        <w:t xml:space="preserve">Где меняется путь к XLSX и где вводятся пять официальных временных рядов. После заполнения рядов отчет нужно собрать заново и проверить текст интерпретации.</w:t>
      </w:r>
    </w:p>
    <w:bookmarkEnd w:id="38"/>
    <w:sectPr w:rsidR="00FC693F" w:rsidRPr="0006063C" w:rsidSect="00034616">
      <w:footerReference r:id="rId9" w:type="default"/>
      <w:pgSz w:h="16838" w:w="11906"/>
      <w:pgMar w:bottom="1134" w:footer="567" w:gutter="0" w:header="567" w:left="1701" w:right="1134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480" w:line="360" w:lineRule="auto"/>
      <w:ind w:firstLine="0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360" w:lineRule="auto"/>
      <w:ind w:firstLine="0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360" w:lineRule="auto"/>
      <w:ind w:firstLine="0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480" w:line="36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color w:themeColor="text2" w:themeShade="BF" w:val="17365D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line="360" w:lineRule="auto"/>
      <w:ind w:firstLine="0"/>
      <w:jc w:val="center"/>
    </w:pPr>
    <w:rPr>
      <w:rFonts w:ascii="Times New Roman" w:asciiTheme="majorHAnsi" w:cstheme="majorBidi" w:eastAsia="Times New Roman" w:eastAsiaTheme="majorEastAsia" w:hAnsi="Times New Roman" w:hAnsiTheme="majorHAnsi"/>
      <w:i/>
      <w:iCs/>
      <w:color w:themeColor="accent1" w:val="4F81BD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360" w:lineRule="auto"/>
      <w:ind w:firstLine="0"/>
      <w:jc w:val="center"/>
    </w:pPr>
    <w:rPr>
      <w:rFonts w:ascii="Times New Roman" w:eastAsia="Times New Roman" w:hAnsi="Times New Roman"/>
      <w:b/>
      <w:bCs/>
      <w:color w:themeColor="accent1" w:val="4F81BD"/>
      <w:sz w:val="2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120" w:line="360" w:lineRule="auto"/>
      <w:ind w:firstLine="0"/>
      <w:jc w:val="both"/>
      <w:outlineLvl w:val="9"/>
    </w:pPr>
    <w:rPr>
      <w:rFonts w:ascii="Times New Roman" w:eastAsia="Times New Roman" w:hAnsi="Times New Roman"/>
      <w:sz w:val="28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Normal"/>
    <w:pPr>
      <w:spacing w:after="120" w:line="240" w:lineRule="auto"/>
      <w:ind w:firstLine="0"/>
      <w:jc w:val="both"/>
    </w:pPr>
    <w:rPr>
      <w:rFonts w:ascii="Times New Roman" w:eastAsia="Times New Roman" w:hAnsi="Times New Roman"/>
      <w:sz w:val="28"/>
    </w:rPr>
  </w:style>
  <w:style w:customStyle="1" w:styleId="TableCaption" w:type="paragraph">
    <w:name w:val="Table Caption"/>
    <w:basedOn w:val="Normal"/>
    <w:pPr>
      <w:spacing w:after="120" w:line="360" w:lineRule="auto"/>
      <w:ind w:firstLine="0"/>
      <w:jc w:val="center"/>
    </w:pPr>
    <w:rPr>
      <w:rFonts w:ascii="Times New Roman" w:eastAsia="Times New Roman" w:hAnsi="Times New Roman"/>
      <w:sz w:val="28"/>
    </w:rPr>
  </w:style>
  <w:style w:customStyle="1" w:styleId="ImageCaption" w:type="paragraph">
    <w:name w:val="Image Caption"/>
    <w:basedOn w:val="Normal"/>
    <w:pPr>
      <w:spacing w:after="120" w:line="360" w:lineRule="auto"/>
      <w:ind w:firstLine="0"/>
      <w:jc w:val="center"/>
    </w:pPr>
    <w:rPr>
      <w:rFonts w:ascii="Times New Roman" w:eastAsia="Times New Roman" w:hAnsi="Times New Roman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защите лабораторной работы №1</dc:title>
  <dc:creator>Маркин Никита Алексеевич · Б24-902 · вариант 95</dc:creator>
  <dc:language>ru-RU</dc:language>
  <cp:keywords/>
  <dcterms:created xsi:type="dcterms:W3CDTF">2026-10-17T12:41:12Z</dcterms:created>
  <dcterms:modified xsi:type="dcterms:W3CDTF">2026-10-17T12:41:12Z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