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Национальный исследовательский ядерный университет «МИФИ»</w:t>
      </w:r>
    </w:p>
    <w:p>
      <w:pPr>
        <w:pStyle w:val="Subtitle"/>
      </w:pPr>
      <w:r>
        <w:t xml:space="preserve">Дисциплина «Статистические исследования»</w:t>
      </w:r>
    </w:p>
    <w:p>
      <w:pPr>
        <w:pStyle w:val="Title"/>
      </w:pPr>
      <w:r>
        <w:t xml:space="preserve">ЛАБОРАТОРНАЯ РАБОТА № 1</w:t>
      </w:r>
    </w:p>
    <w:p>
      <w:pPr>
        <w:pStyle w:val="Subtitle"/>
      </w:pPr>
      <w:r>
        <w:t xml:space="preserve">«Обработка анкет и описательная статистика в R: инфляционные ожидания и потребительские настроения»</w:t>
      </w:r>
    </w:p>
    <w:p>
      <w:pPr>
        <w:pStyle w:val="Subtitle"/>
      </w:pPr>
      <w:r>
        <w:t xml:space="preserve">Выполнил: Маркин Никита Алексеевич</w:t>
      </w:r>
      <w:r>
        <w:br/>
      </w:r>
      <w:r>
        <w:t xml:space="preserve">Группа Б24-902</w:t>
      </w:r>
      <w:r>
        <w:br/>
      </w:r>
      <w:r>
        <w:t xml:space="preserve">Вариант 95</w:t>
      </w:r>
    </w:p>
    <w:p>
      <w:pPr>
        <w:pStyle w:val="Subtitle"/>
      </w:pPr>
      <w:r>
        <w:t xml:space="preserve">Москва · 2026</w:t>
      </w:r>
    </w:p>
    <w:p>
      <w:r>
        <w:br w:type="page"/>
      </w:r>
    </w:p>
    <w:p>
      <w:pPr>
        <w:pStyle w:val="TOCHeading"/>
      </w:pPr>
      <w:r>
        <w:t>Оглавление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t>Для отображения оглавления обновите поле в Word: Ctrl+A, F9.</w:t>
      </w:r>
      <w:r>
        <w:fldChar w:fldCharType="end"/>
      </w:r>
    </w:p>
    <w:p>
      <w:r>
        <w:br w:type="page"/>
      </w:r>
    </w:p>
    <w:bookmarkStart w:id="20" w:name="цель-и-постановка-задачи"/>
    <w:p>
      <w:pPr>
        <w:pStyle w:val="Heading1"/>
      </w:pPr>
      <w:r>
        <w:t xml:space="preserve">1. Цель и постановка задачи</w:t>
      </w:r>
    </w:p>
    <w:p>
      <w:pPr>
        <w:pStyle w:val="FirstParagraph"/>
      </w:pPr>
      <w:r>
        <w:t xml:space="preserve">Цель — освоить импорт и проверку анкет в R, восстановить распределения ответов, оценить восприятие инфляции, среднедушевой доход и потребительские настроения. Расчеты выполнены по индивидуальному файлу «Маркин.Никита.Алексеевич_Б24-902_Вар95.xlsx». В каждой из 2000 строк находится отдельная синтетическая анкета; веса наблюдений не заданы, поэтому все строки имеют одинаковый вес.</w:t>
      </w:r>
    </w:p>
    <w:p>
      <w:pPr>
        <w:pStyle w:val="BodyText"/>
      </w:pPr>
      <w:r>
        <w:t xml:space="preserve">Учебный расчет относится к сентябрю 2026 года. Он не является результатом опроса Банка России. Сравнение с опубликованным августом допускается только как учебное сопоставление разных источников. Расчеты выполнены без промежуточного округления; доли в частотных таблицах округлены до целого процента, итоговые показатели — до одного десятичного знака. Квартили рассчитаны функцией</w:t>
      </w:r>
      <w:r>
        <w:t xml:space="preserve"> </w:t>
      </w:r>
      <w:r>
        <w:rPr>
          <w:rStyle w:val="VerbatimChar"/>
        </w:rPr>
        <w:t xml:space="preserve">quantile(..., type = 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Ограничение исторической части.</w:t>
      </w:r>
      <w:r>
        <w:t xml:space="preserve"> </w:t>
      </w:r>
      <w:r>
        <w:t xml:space="preserve">В приложениях нет подтвержденного официального ряда за январь–август 2026 года: объединенный PDF содержит учебные материалы по R, а числам из примера другого студента не приписывается достоверность официальной публикации. При попытке обращения к указанному ресурсу Банка России 17.10.2026 среда вернула HTTP 403 на этапе CONNECT. Поэтому официальные значения оставлены как NA; направления изменений август → сентябрь не установлены. Рисунки 7–8 и таблица динамики содержат явно обозначенные заготовки, автоматически обновляемые после ввода проверенных значений в начале блока исторических данных. Эта часть обязательного задания пока не завершена.</w:t>
      </w:r>
    </w:p>
    <w:bookmarkEnd w:id="20"/>
    <w:bookmarkStart w:id="21" w:name="структура-и-качество-исходного-файла"/>
    <w:p>
      <w:pPr>
        <w:pStyle w:val="Heading1"/>
      </w:pPr>
      <w:r>
        <w:t xml:space="preserve">2. Структура и качество исходного файла</w:t>
      </w:r>
    </w:p>
    <w:p>
      <w:pPr>
        <w:pStyle w:val="FirstParagraph"/>
      </w:pPr>
      <w:r>
        <w:t xml:space="preserve">Импорт выполнен через</w:t>
      </w:r>
      <w:r>
        <w:t xml:space="preserve"> </w:t>
      </w:r>
      <w:r>
        <w:rPr>
          <w:rStyle w:val="VerbatimChar"/>
        </w:rPr>
        <w:t xml:space="preserve">openxlsx::read.xlsx</w:t>
      </w:r>
      <w:r>
        <w:t xml:space="preserve">, лист «Анкеты». Объект</w:t>
      </w:r>
      <w:r>
        <w:t xml:space="preserve"> </w:t>
      </w:r>
      <w:r>
        <w:rPr>
          <w:rStyle w:val="VerbatimChar"/>
        </w:rPr>
        <w:t xml:space="preserve">Data_OG</w:t>
      </w:r>
      <w:r>
        <w:t xml:space="preserve"> </w:t>
      </w:r>
      <w:r>
        <w:t xml:space="preserve">сохраняет исходную таблицу; очистка и новые переменные создаются в копии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 Исходный XLSX не изменяется. Некорректные значения исключаются только из расчетов соответствующей переменной; целые анкеты не удаляются.</w:t>
      </w:r>
    </w:p>
    <w:p>
      <w:pPr>
        <w:pStyle w:val="BodyText"/>
      </w:pPr>
      <w:r>
        <w:t xml:space="preserve">В файле 21 столбец: ID, Q1–Q13 и семь из восьми ожидаемых характеристик.</w:t>
      </w:r>
      <w:r>
        <w:t xml:space="preserve"> </w:t>
      </w:r>
      <w:r>
        <w:rPr>
          <w:b/>
          <w:bCs/>
        </w:rPr>
        <w:t xml:space="preserve">Отсутствует «Категория дохода на одного члена семьи»</w:t>
      </w:r>
      <w:r>
        <w:t xml:space="preserve">; это затрагивает все 2000 анкет, но не препятствует расчету дохода по Q12 и Q13. Вместо отсутствующей характеристики для группового анализа применены пять квантильных групп рассчитанного дохода — учебное допущение, прямо предусмотренное индивидуальным запросом.</w:t>
      </w:r>
    </w:p>
    <w:p>
      <w:pPr>
        <w:pStyle w:val="BodyText"/>
      </w:pPr>
      <w:r>
        <w:t xml:space="preserve">Размер листа в служебном XML XLSX указан как A1, хотя фактически заполнены 2001 строка с заголовком и 21 столбец. Кроме того, в архиве отсутствует объект рисунка, на который есть ссылка. Это технические особенности контейнера: выбранный</w:t>
      </w:r>
      <w:r>
        <w:t xml:space="preserve"> </w:t>
      </w:r>
      <w:r>
        <w:rPr>
          <w:rStyle w:val="VerbatimChar"/>
        </w:rPr>
        <w:t xml:space="preserve">openxlsx</w:t>
      </w:r>
      <w:r>
        <w:t xml:space="preserve"> </w:t>
      </w:r>
      <w:r>
        <w:t xml:space="preserve">считал все анкеты без изменения файла; анализ рисунков книги не требуется.</w:t>
      </w:r>
    </w:p>
    <w:p>
      <w:pPr>
        <w:pStyle w:val="BodyText"/>
      </w:pPr>
      <w:r>
        <w:t xml:space="preserve">В таблице 1 приведены структурные и построчные проверки. Числа разных проверок не складываются: одна строка может относиться к нескольким проверкам. Отсутствующий столбец учтен отдельно от строк с некорректным значением.</w:t>
      </w:r>
    </w:p>
    <w:p>
      <w:pPr>
        <w:pStyle w:val="TableCaption"/>
      </w:pPr>
      <w:r>
        <w:t xml:space="preserve">Таблица 1. Проверка структуры, значений и логики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241"/>
        <w:gridCol w:w="6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Число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Отсутствующие столбцы (единица — столбцы)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Отсутствующая характеристика дохода (затронуто анкет)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Пустой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Строки с повторяющимся непустым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Недопустимая категория хотя бы в одном поле (строки)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Q12: пропуск, нечисловое, нецелое или неположительное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 пусто, хотя поле требуется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 заполнено, хотя поле не задавалось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 пусто, хотя поле требуется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 заполнено, хотя поле не задавалось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предприятия работодателя пусто, хотя поле требуется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предприятия работодателя заполнено, хотя поле не задавалось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TableCaption"/>
      </w:pPr>
      <w:r>
        <w:t xml:space="preserve">Таблица 2. Число пригодных наблюдений по показателям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Возраст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Образование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Род занятий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предприятия работодателя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расселения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Самооценка материального положения семьи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infl_obs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infl_exp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Доход на человека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1613</w:t>
            </w:r>
          </w:p>
        </w:tc>
      </w:tr>
    </w:tbl>
    <w:p>
      <w:pPr>
        <w:pStyle w:val="TableCaption"/>
      </w:pPr>
      <w:r>
        <w:t xml:space="preserve">Таблица 3. Основания частотных таблиц, технические и недопустимые ответы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820"/>
        <w:gridCol w:w="931"/>
        <w:gridCol w:w="838"/>
        <w:gridCol w:w="1211"/>
        <w:gridCol w:w="1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Основание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Пригодно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Тех. пропуск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Недопустимо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Возраст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Образование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Род занятий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предприятия работодателя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расселения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Самооценка материального положения семьи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TableCaption"/>
      </w:pPr>
      <w:r>
        <w:t xml:space="preserve">Таблица 4. Структурные пропуски и согласованность условий задавания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29"/>
        <w:gridCol w:w="1377"/>
        <w:gridCol w:w="1377"/>
        <w:gridCol w:w="16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Структ. пропуск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Логич. конфликт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Условие неизвестно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Возраст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Образование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Род занятий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предприятия работодателя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расселения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Самооценка материального положения семьи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Таблица 2 показывает основания расчетов. В таблицах 3–4 технический пропуск означает пустую ячейку в поле, которое должно быть заполнено. Структурный пропуск — отсутствие ответа, потому что вопрос не задавался. Ответ «затрудняюсь ответить» является допустимой категорией, а не техническим пропуском. Q4 задавался при первых трех ответах Q3, Q6 — при первых трех ответах Q5; тип работодателя требовался только для работающих по найму. Пустоты этих условных полей согласуются с логикой анкеты. Неизвестное условие задавания не смешивается с достоверно незаданным вопросом.</w:t>
      </w:r>
    </w:p>
    <w:bookmarkEnd w:id="21"/>
    <w:bookmarkStart w:id="22" w:name="абсолютные-частоты-и-доли"/>
    <w:p>
      <w:pPr>
        <w:pStyle w:val="Heading1"/>
      </w:pPr>
      <w:r>
        <w:t xml:space="preserve">3. Абсолютные частоты и доли</w:t>
      </w:r>
    </w:p>
    <w:p>
      <w:pPr>
        <w:pStyle w:val="FirstParagraph"/>
      </w:pPr>
      <w:r>
        <w:t xml:space="preserve">Для категории j доля определяется формулой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вопросов всем респондентам основание — число допустимых ответов, включая «затрудняюсь» и «отказ», но без технических пропусков. Для Q4 и Q6 основание — все респонденты, которым вопрос задавался; технические пропуски при их наличии также видны в аудите. Для типа работодателя приводится распределение среди работающих по найму с допустимым ответом. В дополнительных таблицах Q4/Q6 знаменатель — вся выборка, 2000 анкет. Сумма округленных долей может отличаться от 100%; нулевую частоту следует отличать от малой ненулевой частоты, округленной до 0%.</w:t>
      </w:r>
    </w:p>
    <w:p>
      <w:pPr>
        <w:pStyle w:val="BodyText"/>
      </w:pPr>
      <w:r>
        <w:t xml:space="preserve">Ниже последовательно приведены все допустимые категории, включая категории с нулевой частотой; их порядок соответствует словарю анкеты. Снижение цен в Q3 показано отдельной нулевой категорией, хотя фактически таких ответов в варианте нет. Отсутствующую восьмую характеристику нельзя восстановить из пустого столбца: ее исходные частоты неизвестны, а расчетные группы показаны в разделе 8.</w:t>
      </w:r>
    </w:p>
    <w:p>
      <w:pPr>
        <w:pStyle w:val="TableCaption"/>
      </w:pPr>
      <w:r>
        <w:t xml:space="preserve">Таблица 5. Q1: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выросли очень сильно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выросли умеренно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выросли незначительно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изменились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снизились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p>
      <w:pPr>
        <w:pStyle w:val="TableCaption"/>
      </w:pPr>
      <w:r>
        <w:t xml:space="preserve">Таблица 6. Q2: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вырастут очень сильно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вырастут умеренно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вырастут незначительно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изменятся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снизятся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</w:tbl>
    <w:p>
      <w:pPr>
        <w:pStyle w:val="TableCaption"/>
      </w:pPr>
      <w:r>
        <w:t xml:space="preserve">Таблица 7. Q3: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росли быстрее, чем раньше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росли так же, как и раньше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росли медленнее, чем раньше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остались на прежнем уровне / не изменились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снижались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p>
      <w:pPr>
        <w:pStyle w:val="TableCaption"/>
      </w:pPr>
      <w:r>
        <w:t xml:space="preserve">Таблица 8. Q4: частоты и доли; основание N = 1862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2% и менее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3–5%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6–8%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9–12%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13–16%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17–20%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21–25%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26–30%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31–40%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41–50%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51% и более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</w:tbl>
    <w:p>
      <w:pPr>
        <w:pStyle w:val="TableCaption"/>
      </w:pPr>
      <w:r>
        <w:t xml:space="preserve">Таблица 9. Q5: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будут расти быстрее,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будут расти так же, как и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будут расти медленнее,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останутся на нынешнем уровне / не изменятся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будут снижаться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</w:tbl>
    <w:p>
      <w:pPr>
        <w:pStyle w:val="TableCaption"/>
      </w:pPr>
      <w:r>
        <w:t xml:space="preserve">Таблица 10. Q6: частоты и доли; основание N = 1697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2% и менее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3–5%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6–8%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9–12%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13–16%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17–20%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21–25%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26–30%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31–40%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41–50%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51% и более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</w:tbl>
    <w:p>
      <w:pPr>
        <w:pStyle w:val="TableCaption"/>
      </w:pPr>
      <w:r>
        <w:t xml:space="preserve">Таблица 11. Q7: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улучшилось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осталось без изменений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ухудшилось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Таблица 12. Q8: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улучшится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останется без изменений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ухудшится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</w:tbl>
    <w:p>
      <w:pPr>
        <w:pStyle w:val="TableCaption"/>
      </w:pPr>
      <w:r>
        <w:t xml:space="preserve">Таблица 13. Q9: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хорошим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хорошим, но не во всём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хорошим, но и не плохим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плохим, но не во всём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плохим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</w:tbl>
    <w:p>
      <w:pPr>
        <w:pStyle w:val="TableCaption"/>
      </w:pPr>
      <w:r>
        <w:t xml:space="preserve">Таблица 14. Q10: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хорошим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хорошим, но и не плохим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плохим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</w:tbl>
    <w:p>
      <w:pPr>
        <w:pStyle w:val="TableCaption"/>
      </w:pPr>
      <w:r>
        <w:t xml:space="preserve">Таблица 15. Q11: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хорошее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хорошее, но и не плохое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плохое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</w:tbl>
    <w:p>
      <w:pPr>
        <w:pStyle w:val="TableCaption"/>
      </w:pPr>
      <w:r>
        <w:t xml:space="preserve">Таблица 16. Q13: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10 000 руб. и менее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10 001 – 15 000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15 001 – 20 000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20 001 – 25 000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25 001 – 30 000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30 001 – 40 000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40 001 – 50 000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50 001 – 60 000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60 001 – 70 000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70 001 – 80 000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80 001 – 90 000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90 001 – 100 000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100 001 – 120 000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120 001 – 150 000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свыше 150 000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знаю, 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отказ от ответа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</w:tbl>
    <w:p>
      <w:pPr>
        <w:pStyle w:val="TableCaption"/>
      </w:pPr>
      <w:r>
        <w:t xml:space="preserve">Таблица 17. Пол: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женщины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мужчины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</w:tbl>
    <w:p>
      <w:pPr>
        <w:pStyle w:val="TableCaption"/>
      </w:pPr>
      <w:r>
        <w:t xml:space="preserve">Таблица 18. Возраст: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18–30 лет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31–45 лет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46–60 лет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старше 60 лет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</w:tbl>
    <w:p>
      <w:pPr>
        <w:pStyle w:val="TableCaption"/>
      </w:pPr>
      <w:r>
        <w:t xml:space="preserve">Таблица 19. Образование: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высшее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ниже среднего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общее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специальное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</w:tbl>
    <w:p>
      <w:pPr>
        <w:pStyle w:val="TableCaption"/>
      </w:pPr>
      <w:r>
        <w:t xml:space="preserve">Таблица 20. Род занятий: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работают и не ищут работу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работают, но ищут работу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неработающие пенсионеры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работающие по найму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самозанятые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>
      <w:pPr>
        <w:pStyle w:val="TableCaption"/>
      </w:pPr>
      <w:r>
        <w:t xml:space="preserve">Таблица 21. Тип предприятия работодателя: частоты и доли; основание N = 1161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государственное, с госучастием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частное, НКО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</w:tbl>
    <w:p>
      <w:pPr>
        <w:pStyle w:val="TableCaption"/>
      </w:pPr>
      <w:r>
        <w:t xml:space="preserve">Таблица 22. Тип расселения: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Городское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Сельское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</w:tbl>
    <w:p>
      <w:pPr>
        <w:pStyle w:val="TableCaption"/>
      </w:pPr>
      <w:r>
        <w:t xml:space="preserve">Таблица 23. Самооценка материального положения семьи: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денег не хватает на питание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питание хватает, на одежду – нет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одежду хватает, на крупную бытовую технику – нет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бытовую технику хватает, на автомобиль – нет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автомобиль хватает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</w:tbl>
    <w:p>
      <w:pPr>
        <w:pStyle w:val="TableCaption"/>
      </w:pPr>
      <w:r>
        <w:t xml:space="preserve">Таблица 24. Q4: доли от всей выборки,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 от всех,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2% и менее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3–5%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6–8%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9–12%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13–16%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17–20%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21–25%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26–30%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31–40%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41–50%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51% и более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Технический пропуск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Недопустимый ответ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не задавался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Условие задавания неизвестно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TableCaption"/>
      </w:pPr>
      <w:r>
        <w:t xml:space="preserve">Таблица 25. Q6: доли от всей выборки,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 от всех,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2% и менее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3–5%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6–8%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9–12%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13–16%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17–20%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21–25%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26–30%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31–40%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41–50%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51% и более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Технический пропуск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Недопустимый ответ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не задавался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Условие задавания неизвестно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TableCaption"/>
      </w:pPr>
      <w:r>
        <w:t xml:space="preserve">Таблица 26. Q12: описательные показатели размера семьи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Минимум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Максимум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Медиана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Таблица 27. Q12: распределение числа членов семьи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Членов семьи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Распределения Q1/Q2 и Q3/Q5 визуализированы на рисунках 1–2 в разделе 9. Слова «быстрее / так же / медленнее» характеризуют темп роста цен относительно прошлого периода; они не задают числовой уровень годовой инфляции.</w:t>
      </w:r>
    </w:p>
    <w:bookmarkEnd w:id="22"/>
    <w:bookmarkStart w:id="23" w:name="Xd1b73d09b2a900fcbecab6856825090bd394e21"/>
    <w:p>
      <w:pPr>
        <w:pStyle w:val="Heading1"/>
      </w:pPr>
      <w:r>
        <w:t xml:space="preserve">4. Перекодировка и обычные медианы годовой инфляции</w:t>
      </w:r>
    </w:p>
    <w:p>
      <w:pPr>
        <w:pStyle w:val="FirstParagraph"/>
      </w:pPr>
      <w:r>
        <w:t xml:space="preserve">Переменная</w:t>
      </w:r>
      <w:r>
        <w:t xml:space="preserve"> </w:t>
      </w:r>
      <w:r>
        <w:rPr>
          <w:rStyle w:val="VerbatimChar"/>
        </w:rPr>
        <w:t xml:space="preserve">infl_obs</w:t>
      </w:r>
      <w:r>
        <w:t xml:space="preserve"> </w:t>
      </w:r>
      <w:r>
        <w:t xml:space="preserve">получена из Q3/Q4,</w:t>
      </w:r>
      <w:r>
        <w:t xml:space="preserve"> </w:t>
      </w:r>
      <w:r>
        <w:rPr>
          <w:rStyle w:val="VerbatimChar"/>
        </w:rPr>
        <w:t xml:space="preserve">infl_exp</w:t>
      </w:r>
      <w:r>
        <w:t xml:space="preserve"> </w:t>
      </w:r>
      <w:r>
        <w:t xml:space="preserve">— из Q5/Q6. При неизменных ценах используется 0, при снижении — условный код −5. При любом варианте роста берется интервал условного вопроса. «Росли медленнее» означает положительный рост, а не дефляцию. Неопределенный ответ в любом необходимом вопросе не входит в числовую медиану; Q1/Q2 в проценты годовых не переводятся.</w:t>
      </w:r>
    </w:p>
    <w:p>
      <w:pPr>
        <w:pStyle w:val="BodyText"/>
      </w:pPr>
      <w:r>
        <w:t xml:space="preserve">В таблице перекодировки указаны все 13 кодов и непрерывные границы для интерполяции. Пропуск L или h означает, что границы категории не позволяют выполнить интерполяцию без дополнительного соглашения.</w:t>
      </w:r>
    </w:p>
    <w:p>
      <w:pPr>
        <w:pStyle w:val="TableCaption"/>
      </w:pPr>
      <w:r>
        <w:t xml:space="preserve">Таблица 28. Правила числовой перекодировки и интерполяционные границы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Код,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Нижняя граница 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Ширина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Снижение (условный код)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изменения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2% и менее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3–5%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6–8%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9–12%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13–16%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17–20%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21–25%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26–30%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31–40%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41–50%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51% и более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</w:tr>
    </w:tbl>
    <w:p>
      <w:pPr>
        <w:pStyle w:val="TableCaption"/>
      </w:pPr>
      <w:r>
        <w:t xml:space="preserve">Таблица 29. Число ответов, обычные медианы, квартили и уточненные медианы, % годовых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Медиана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Уточненная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Наблюдаемая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Ожидаемая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</w:t>
            </w:r>
          </w:p>
        </w:tc>
      </w:tr>
    </w:tbl>
    <w:p>
      <w:pPr>
        <w:pStyle w:val="BodyText"/>
      </w:pPr>
      <w:r>
        <w:t xml:space="preserve">Сводные показатели приведены в таблице 29. Число пригодных наблюдений равно 1445 для наблюдаемой и 1313 для ожидаемой инфляции. Из числовых расчетов исключено соответственно 555 и 687 анкет. Это исключение содержательных неопределенных ответов, а не удаление всех таких строк из анализа. Обычные медианы обеих переменных равны 14,5% годовых; первые квартили — 7,0 и 7,0%, третьи — 23,0 и 23,0%. График частот всех кодов приведен на рисунке 3.</w:t>
      </w:r>
    </w:p>
    <w:bookmarkEnd w:id="23"/>
    <w:bookmarkStart w:id="24" w:name="уточненные-медианы-годовой-инфляции"/>
    <w:p>
      <w:pPr>
        <w:pStyle w:val="Heading1"/>
      </w:pPr>
      <w:r>
        <w:t xml:space="preserve">5. Уточненные медианы годовой инфляции</w:t>
      </w:r>
    </w:p>
    <w:p>
      <w:pPr>
        <w:pStyle w:val="FirstParagraph"/>
      </w:pPr>
      <w:r>
        <w:t xml:space="preserve">Категории упорядочены по возрастанию кода. По частотам n вычислена накопленная частота F. Медианная категория — первая, для которой F достигает N/2. Внутри закрытого интервала предполагается равномерное распределение ответов и используется линейная интерполяция: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0.5</m:t>
              </m:r>
            </m:sub>
          </m:sSub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+</m:t>
          </m:r>
          <m:r>
            <m:t>h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e</m:t>
                  </m:r>
                  <m:r>
                    <m:t>v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 L — нижняя непрерывная граница, h — ширина медианного интервала, F_prev — число ответов до него, f — частота внутри него. Например, для ответа «13–16%» используются [12,5; 16,5) и ширина 4. Полученная оценка не является точным восстановлением ответов: исходное распределение внутри интервала неизвестно.</w:t>
      </w:r>
    </w:p>
    <w:p>
      <w:pPr>
        <w:pStyle w:val="TableCaption"/>
      </w:pPr>
      <w:r>
        <w:t xml:space="preserve">Таблица 30. Наблюдаемая инфляция: частоты n и накопленные частоты F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Снижение (условный код)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изменения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2% и менее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3–5%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6–8%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9–12%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13–16%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17–20%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21–25%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26–30%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31–40%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41–50%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51% и более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1445</w:t>
            </w:r>
          </w:p>
        </w:tc>
      </w:tr>
    </w:tbl>
    <w:p>
      <w:pPr>
        <w:pStyle w:val="TableCaption"/>
      </w:pPr>
      <w:r>
        <w:t xml:space="preserve">Таблица 31. Ожидаемая инфляция: частоты n и накопленные частоты F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Снижение (условный код)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изменения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2% и менее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3–5%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6–8%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9–12%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13–16%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17–20%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21–25%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26–30%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31–40%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41–50%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51% и более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1313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Наблюдаемая инфляция.</w:t>
      </w:r>
      <w:r>
        <w:t xml:space="preserve"> </w:t>
      </w:r>
      <w:r>
        <w:t xml:space="preserve">Медианная категория — на 13–16%; N = 1445, N/2 = 722,5, L = 12,5, h = 4,0, F_prev = 645, f = 158. Подстановка: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0.5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722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−</m:t>
            </m:r>
            <m:r>
              <m:t>645</m:t>
            </m:r>
          </m:e>
        </m:d>
        <m:r>
          <m:rPr>
            <m:sty m:val="p"/>
          </m:rPr>
          <m:t>/</m:t>
        </m:r>
        <m:r>
          <m:t>158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4620</m:t>
        </m:r>
      </m:oMath>
      <w:r>
        <w:t xml:space="preserve"> </w:t>
      </w:r>
      <w:r>
        <w:t xml:space="preserve">% годовых.</w:t>
      </w:r>
    </w:p>
    <w:p>
      <w:pPr>
        <w:pStyle w:val="BodyText"/>
      </w:pPr>
      <w:r>
        <w:rPr>
          <w:b/>
          <w:bCs/>
        </w:rPr>
        <w:t xml:space="preserve">Ожидаемая инфляция.</w:t>
      </w:r>
      <w:r>
        <w:t xml:space="preserve"> </w:t>
      </w:r>
      <w:r>
        <w:t xml:space="preserve">Медианная категория — на 13–16%; N = 1313, N/2 = 656,5, L = 12,5, h = 4,0, F_prev = 628, f = 123. Подстановка: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0.5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656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−</m:t>
            </m:r>
            <m:r>
              <m:t>628</m:t>
            </m:r>
          </m:e>
        </m:d>
        <m:r>
          <m:rPr>
            <m:sty m:val="p"/>
          </m:rPr>
          <m:t>/</m:t>
        </m:r>
        <m:r>
          <m:t>123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,</m:t>
        </m:r>
        <m:r>
          <m:t>4268</m:t>
        </m:r>
      </m:oMath>
      <w:r>
        <w:t xml:space="preserve"> </w:t>
      </w:r>
      <w:r>
        <w:t xml:space="preserve">% годовых.</w:t>
      </w:r>
    </w:p>
    <w:p>
      <w:pPr>
        <w:pStyle w:val="BodyText"/>
      </w:pPr>
      <w:r>
        <w:t xml:space="preserve">Накопленные частоты приведены в таблицах 30 и 31. В обоих случаях медианная категория — «13–16%». Обычная медиана 14,5% является серединой упорядоченных</w:t>
      </w:r>
      <w:r>
        <w:t xml:space="preserve"> </w:t>
      </w:r>
      <w:r>
        <w:rPr>
          <w:b/>
          <w:bCs/>
        </w:rPr>
        <w:t xml:space="preserve">кодов</w:t>
      </w:r>
      <w:r>
        <w:t xml:space="preserve">. Уточненные медианы равны 14,5 и 13,4%: они различаются, хотя медианные коды совпадают. Это связано с разными частотами до и внутри медианной категории. На рисунке 3 обычная медиана обозначена одной линией, уточненная — другой.</w:t>
      </w:r>
    </w:p>
    <w:p>
      <w:pPr>
        <w:pStyle w:val="BodyText"/>
      </w:pPr>
      <w:r>
        <w:t xml:space="preserve">Если медианная категория была бы −5, 0, «2% и менее» или «51% и более», код присваивался бы по методичке, но результат обязательно помечался бы как условное значение с неопределенной интерполяцией. Произвольные границы открытым категориям не назначаются. Примененный учебный алгоритм не воспроизводит полностью закрытую процедуру Банка России.</w:t>
      </w:r>
    </w:p>
    <w:bookmarkEnd w:id="24"/>
    <w:bookmarkStart w:id="25" w:name="среднедушевой-доход"/>
    <w:p>
      <w:pPr>
        <w:pStyle w:val="Heading1"/>
      </w:pPr>
      <w:r>
        <w:t xml:space="preserve">6. Среднедушевой доход</w:t>
      </w:r>
    </w:p>
    <w:p>
      <w:pPr>
        <w:pStyle w:val="FirstParagraph"/>
      </w:pPr>
      <w:r>
        <w:t xml:space="preserve">Сначала совокупный семейный доход Q13 заменен серединой интервала H; по соглашению методички используются 12 500, а не 12 500,5 руб. для категории 10 001–15 000 руб. Крайние категории заменены 7000 и 200 000 руб. «Не знаю» и «отказ» исключены только из числовой оценки дохода. Для каждой пригодной анкеты вычислено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t>Q</m:t>
          </m:r>
          <m:r>
            <m:t>R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m_i — положительное целое число членов семьи из Q12. Деление производится для каждого респондента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расчета медианы. Медиана отношений не равна в общем случае отношению медиан. Расчет относится к респондентам и не взвешивается по числу членов семьи.</w:t>
      </w:r>
    </w:p>
    <w:p>
      <w:pPr>
        <w:pStyle w:val="TableCaption"/>
      </w:pPr>
      <w:r>
        <w:t xml:space="preserve">Таблица 32. Перекодировка Q13 в совокупный доход семьи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Доход семьи, руб.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10 000 руб. и менее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10 001 – 15 000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15 001 – 20 000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20 001 – 25 000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25 001 – 30 000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30 001 – 40 000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40 001 – 50 000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50 001 – 60 000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60 001 – 70 000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70 001 – 80 000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80 001 – 90 000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90 001 – 100 000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100 001 – 120 000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120 001 – 150 000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свыше 150 000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знаю, 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отказ от ответа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</w:tr>
    </w:tbl>
    <w:p>
      <w:pPr>
        <w:pStyle w:val="TableCaption"/>
      </w:pPr>
      <w:r>
        <w:t xml:space="preserve">Таблица 33. Описательные показатели дохода на человека, руб. в месяц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Медиана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IQR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Уточненная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38675.8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26164.1</w:t>
            </w:r>
          </w:p>
        </w:tc>
      </w:tr>
    </w:tbl>
    <w:p>
      <w:pPr>
        <w:pStyle w:val="TableCaption"/>
      </w:pPr>
      <w:r>
        <w:t xml:space="preserve">Таблица 34. Интервальный ряд дохода с шагом 5000 руб., частоты n и накопленные F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Интервал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[0,5e+03)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[5e+03,1e+04)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[1e+04,1.5e+04)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[1.5e+04,2e+04)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[2e+04,2.5e+04)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[2.5e+04,3e+04)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[3e+04,3.5e+04)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[3.5e+04,4e+04)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[4e+04,4.5e+04)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[4.5e+04,5e+04)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[5e+04,5.5e+04)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[5.5e+04,6e+04)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[6e+04,6.5e+04)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[6.5e+04,7e+04)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[7e+04,7.5e+04)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[7.5e+04,8e+04)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[8e+04,8.5e+04)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[8.5e+04,9e+04)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[9e+04,9.5e+04)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[9.5e+04,1e+05)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[1e+05,1.05e+05)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[1.05e+05,1.1e+05)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[1.1e+05,1.15e+05)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[1.15e+05,1.2e+05)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[1.2e+05,1.25e+05)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[1.25e+05,1.3e+05)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[1.3e+05,1.35e+05)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[1.35e+05,1.4e+05)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[1.4e+05,1.45e+05)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[1.45e+05,1.5e+05)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[1.5e+05,1.55e+05)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[1.55e+05,1.6e+05)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[1.6e+05,1.65e+05)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[1.65e+05,1.7e+05)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[1.7e+05,1.75e+05)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[1.75e+05,1.8e+05)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[1.8e+05,1.85e+05)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[1.85e+05,1.9e+05)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[1.9e+05,1.95e+05)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[1.95e+05,2e+05)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[2e+05,2.05e+05]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1613</w:t>
            </w:r>
          </w:p>
        </w:tc>
      </w:tr>
    </w:tbl>
    <w:p>
      <w:pPr>
        <w:pStyle w:val="BodyText"/>
      </w:pPr>
      <w:r>
        <w:t xml:space="preserve">Результаты расчетов дохода приведены в таблицах 32–34. Для группировки использованы полуинтервалы [a; b), начиная с нуля, с шагом 5000 руб.; последний интервал включает максимум. При максимуме, кратном 5000, добавляется следующий класс, чтобы сохранить единое правило левой замкнутости. Гистограмма на рисунке 4 использует те же границы, что и интервальный ряд.</w:t>
      </w:r>
    </w:p>
    <w:p>
      <w:pPr>
        <w:pStyle w:val="BodyText"/>
      </w:pPr>
      <w:r>
        <w:t xml:space="preserve">Медианный интервал — [25000; 30000) руб. Подстановка в формулу: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0.5</m:t>
              </m:r>
            </m:sub>
          </m:sSub>
          <m:r>
            <m:rPr>
              <m:sty m:val="p"/>
            </m:rPr>
            <m:t>=</m:t>
          </m:r>
          <m:r>
            <m:t>25000</m:t>
          </m:r>
          <m:r>
            <m:rPr>
              <m:sty m:val="p"/>
            </m:rPr>
            <m:t>+</m:t>
          </m:r>
          <m:r>
            <m:t>5000</m:t>
          </m:r>
          <m:f>
            <m:fPr>
              <m:type m:val="bar"/>
            </m:fPr>
            <m:num>
              <m:r>
                <m:t>806.5</m:t>
              </m:r>
              <m:r>
                <m:rPr>
                  <m:sty m:val="p"/>
                </m:rPr>
                <m:t>−</m:t>
              </m:r>
              <m:r>
                <m:t>776</m:t>
              </m:r>
            </m:num>
            <m:den>
              <m:r>
                <m:t>131</m:t>
              </m:r>
            </m:den>
          </m:f>
          <m:r>
            <m:rPr>
              <m:sty m:val="p"/>
            </m:rPr>
            <m:t>=</m:t>
          </m:r>
          <m:r>
            <m:t>26164</m:t>
          </m:r>
          <m:r>
            <m:rPr>
              <m:sty m:val="p"/>
            </m:rPr>
            <m:t>,</m:t>
          </m:r>
          <m:r>
            <m:t>1221</m:t>
          </m:r>
          <m:r>
            <m:rPr>
              <m:nor/>
              <m:sty m:val="p"/>
            </m:rPr>
            <m:t> руб.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Основание N = 1613, F_prev = 776, частота медианного интервала f = 131. Обычная медиана — 27500,0 руб., уточненная — 26164,1 руб.; различие вызвано группировкой и допущением о распределении внутри класса. Оценки чувствительны к условным кодам крайних доходных интервалов и к качеству Q12. Официальный медианный доход в приложениях не подтвержден, поэтому числовое сравнение не выполняется. Даже при наличии такого числа прямое сопоставление ограничено различиями методик, состава и весов выборок; учебный показатель не является официальной оценкой дохода населения.</w:t>
      </w:r>
    </w:p>
    <w:bookmarkEnd w:id="25"/>
    <w:bookmarkStart w:id="28" w:name="потребительские-индексы"/>
    <w:p>
      <w:pPr>
        <w:pStyle w:val="Heading1"/>
      </w:pPr>
      <w:r>
        <w:t xml:space="preserve">7. Потребительские индексы</w:t>
      </w:r>
    </w:p>
    <w:bookmarkStart w:id="26" w:name="пять-частных-индексов"/>
    <w:p>
      <w:pPr>
        <w:pStyle w:val="Heading2"/>
      </w:pPr>
      <w:r>
        <w:t xml:space="preserve">7.1. Пять частных индексов</w:t>
      </w:r>
    </w:p>
    <w:p>
      <w:pPr>
        <w:pStyle w:val="FirstParagraph"/>
      </w:pPr>
      <w:r>
        <w:t xml:space="preserve">По Q7/Q8 положительными считаются «улучшилось / улучшится», отрицательными — «ухудшилось / ухудшится». Для Q9 положительны «хорошим» и «хорошим, но не во всём», отрицательны «плохим, но не во всём» и «плохим». Для Q10 положителен ответ «хорошим», отрицателен «плохим»; для Q11 — «хорошее» и «плохое». Прочие допустимые ответы не входят в числители. «Затрудняюсь ответить» входит в знаменатель каждого соответствующего индекса, технический пропуск — нет.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100</m:t>
          </m:r>
          <m:f>
            <m:fPr>
              <m:type m:val="bar"/>
            </m:fPr>
            <m:num>
              <m:sSubSup>
                <m:e>
                  <m:r>
                    <m:t>n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100</m:t>
          </m:r>
          <m:f>
            <m:fPr>
              <m:type m:val="bar"/>
            </m:fPr>
            <m:num>
              <m:sSubSup>
                <m:e>
                  <m:r>
                    <m:t>n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таблице частных индексов P и M измерены в процентах, значение индекса — в пунктах. Теоретический диапазон индекса — 0–200; отметка 100 означает равенство положительных и отрицательных долей, а не долю 100%. Полные названия I1–I5 подписаны на рисунке 5.</w:t>
      </w:r>
    </w:p>
    <w:p>
      <w:pPr>
        <w:pStyle w:val="TableCaption"/>
      </w:pPr>
      <w:r>
        <w:t xml:space="preserve">Таблица 35. Частные индексы: числители, основания, доли и итоговые значения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Индекс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n_pos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n_neg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89.6</w:t>
            </w:r>
          </w:p>
        </w:tc>
      </w:tr>
    </w:tbl>
    <w:p>
      <w:pPr>
        <w:pStyle w:val="BodyText"/>
      </w:pPr>
      <w:r>
        <w:t xml:space="preserve">По таблице 35 все пять частных индексов ниже 100. Самый низкий показатель — I1 (76,4 пункта), характеризующий изменение материального положения за год. Ближе всех к равновесию находится I2 (99,1 пункта), то есть ожидания положения семьи. Этот вывод описывает только синтетический вариант.</w:t>
      </w:r>
    </w:p>
    <w:bookmarkEnd w:id="26"/>
    <w:bookmarkStart w:id="27" w:name="составные-индексы"/>
    <w:p>
      <w:pPr>
        <w:pStyle w:val="Heading2"/>
      </w:pPr>
      <w:r>
        <w:t xml:space="preserve">7.2. Составные индексы</w:t>
      </w:r>
    </w:p>
    <w:p>
      <w:pPr>
        <w:pStyle w:val="FirstParagraph"/>
      </w:pPr>
      <m:oMathPara>
        <m:oMathParaPr>
          <m:jc m:val="center"/>
        </m:oMathParaPr>
        <m:oMath>
          <m:r>
            <m:t>И</m:t>
          </m:r>
          <m:r>
            <m:t>Т</m:t>
          </m:r>
          <m:r>
            <m:t>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5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И</m:t>
          </m:r>
          <m:r>
            <m:t>П</m:t>
          </m:r>
          <m:r>
            <m:t>О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4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И</m:t>
          </m:r>
          <m:r>
            <m:t>П</m:t>
          </m:r>
          <m:r>
            <m:t>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5</m:t>
                  </m:r>
                </m:sub>
              </m:sSub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И</m:t>
              </m:r>
              <m:r>
                <m:t>Т</m:t>
              </m:r>
              <m:r>
                <m:t>С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И</m:t>
              </m:r>
              <m:r>
                <m:t>П</m:t>
              </m:r>
              <m:r>
                <m:t>О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36. Составные индексы и независимая проверка ИПН, пункты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Индекс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ИПО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ИПН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ИПН: проверочная формула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90.5</w:t>
            </w:r>
          </w:p>
        </w:tc>
      </w:tr>
    </w:tbl>
    <w:p>
      <w:pPr>
        <w:pStyle w:val="BodyText"/>
      </w:pPr>
      <w:r>
        <w:t xml:space="preserve">Таблица 36 содержит итоговые индексы и проверку. Подстановка: ИТС = (76,4 + 89,6)/2 = 83,0; ИПО = (99,1 + 93,5 + 94,0)/3 = 95,5; ИПН = 90,5 пункта. По второй формуле без округления получено то же число; абсолютная разность результатов меньше 10⁻¹⁰. Простое среднее ИТС и ИПО не применяется: в них входят два и три частных индекса.</w:t>
      </w:r>
    </w:p>
    <w:p>
      <w:pPr>
        <w:pStyle w:val="BodyText"/>
      </w:pPr>
      <w:r>
        <w:t xml:space="preserve">На рисунке 6 ИТС ниже ИПО на 12,5 пункта: оценки текущего состояния более сдержанные, чем ожидания. Оба индекса и общий ИПН ниже 100, поэтому отрицательные оценки в среднем преобладают. Это сопоставление уровней, а не вывод о временной динамике.</w:t>
      </w:r>
    </w:p>
    <w:bookmarkEnd w:id="27"/>
    <w:bookmarkEnd w:id="28"/>
    <w:bookmarkStart w:id="31" w:name="групповые-сравнения"/>
    <w:p>
      <w:pPr>
        <w:pStyle w:val="Heading1"/>
      </w:pPr>
      <w:r>
        <w:t xml:space="preserve">8. Групповые сравнения</w:t>
      </w:r>
    </w:p>
    <w:bookmarkStart w:id="29" w:name="ожидаемая-инфляция-и-доход"/>
    <w:p>
      <w:pPr>
        <w:pStyle w:val="Heading2"/>
      </w:pPr>
      <w:r>
        <w:t xml:space="preserve">8.1. Ожидаемая инфляция и доход</w:t>
      </w:r>
    </w:p>
    <w:p>
      <w:pPr>
        <w:pStyle w:val="FirstParagraph"/>
      </w:pPr>
      <w:r>
        <w:t xml:space="preserve">Из-за отсутствия исходной доходной характеристики введены группы Г1–Г5 по квантилям</w:t>
      </w:r>
      <w:r>
        <w:t xml:space="preserve"> </w:t>
      </w:r>
      <w:r>
        <w:rPr>
          <w:b/>
          <w:bCs/>
        </w:rPr>
        <w:t xml:space="preserve">рассчитанного</w:t>
      </w:r>
      <w:r>
        <w:t xml:space="preserve"> </w:t>
      </w:r>
      <w:r>
        <w:t xml:space="preserve">дохода y_i (0, 20, 40, 60, 80, 100%). Это замена исключительно для учебного анализа, а не восстановление отсутствующих ответов. Первая группа включает нижнюю границу; остальные интервалы имеют вид (a; b]. Совпадающие доходы не разделяются между группами, поэтому размеры групп могут отличаться. Анкеты без числового дохода (387) не входят в эти сравнения.</w:t>
      </w:r>
    </w:p>
    <w:p>
      <w:pPr>
        <w:pStyle w:val="BodyText"/>
      </w:pPr>
      <w:r>
        <w:t xml:space="preserve">В таблице границ N группы — число респондентов в ней, N Q5 — число допустимых ответов на Q5, N infl_exp — число числовых оценок после исключения неопределенных ответов. Условный порог N = 30 используется только как предупреждение о малочисленности; он не доказывает репрезентативность или статистическую значимость. В таблице Q5 указаны все шесть категорий, включая нулевые, а доли рассчитаны внутри группы.</w:t>
      </w:r>
    </w:p>
    <w:p>
      <w:pPr>
        <w:pStyle w:val="TableCaption"/>
      </w:pPr>
      <w:r>
        <w:t xml:space="preserve">Таблица 37. Границы квантильных групп дохода, основания и обычные медианы infl_exp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52"/>
        <w:gridCol w:w="974"/>
        <w:gridCol w:w="1096"/>
        <w:gridCol w:w="1096"/>
        <w:gridCol w:w="609"/>
        <w:gridCol w:w="1340"/>
        <w:gridCol w:w="974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Нижняя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Верхняя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группы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Q5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infl_exp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Медиана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Пометка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11666.7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≥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11666.7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21666.7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≥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21666.7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33333.3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≥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33333.3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≥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≥ 30</w:t>
            </w:r>
          </w:p>
        </w:tc>
      </w:tr>
    </w:tbl>
    <w:p>
      <w:pPr>
        <w:pStyle w:val="TableCaption"/>
      </w:pPr>
      <w:r>
        <w:t xml:space="preserve">Таблица 38. Частоты и доли ответов Q5 по пяти группам дохода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5"/>
        <w:gridCol w:w="5124"/>
        <w:gridCol w:w="465"/>
        <w:gridCol w:w="582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Q5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быстрее,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так же, как и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медленнее,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останутся на нынешнем уровне / не изменятся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снижаться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быстрее,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так же, как и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медленнее,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останутся на нынешнем уровне / не изменятся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снижаться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быстрее,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так же, как и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медленнее,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останутся на нынешнем уровне / не изменятся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снижаться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быстрее,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так же, как и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медленнее,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останутся на нынешнем уровне / не изменятся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снижаться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быстрее,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так же, как и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медленнее,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останутся на нынешнем уровне / не изменятся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снижаться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</w:tbl>
    <w:p>
      <w:pPr>
        <w:pStyle w:val="BodyText"/>
      </w:pPr>
      <w:r>
        <w:t xml:space="preserve">Таблицы 37–38 содержат групповые результаты. Обычные медианы по Г1–Г5 составляют соответственно 14,5; 14,5; 14,5; 14,5; 14,5% годовых. Даже при близких медианах распределения Q5 могут различаться; одной медианы недостаточно для характеристики всех ответов. Причинную зависимость ожиданий от дохода эти таблицы не устанавливают.</w:t>
      </w:r>
    </w:p>
    <w:bookmarkEnd w:id="29"/>
    <w:bookmarkStart w:id="30" w:name="ипн-по-полу"/>
    <w:p>
      <w:pPr>
        <w:pStyle w:val="Heading2"/>
      </w:pPr>
      <w:r>
        <w:t xml:space="preserve">8.2. ИПН по полу</w:t>
      </w:r>
    </w:p>
    <w:p>
      <w:pPr>
        <w:pStyle w:val="TableCaption"/>
      </w:pPr>
      <w:r>
        <w:t xml:space="preserve">Таблица 39. ИПН мужчин и женщин, пункты; основания каждого частного индекса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Q7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Q8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Q9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Q10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Q11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ИПН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Пометка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мужчины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≥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женщины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≥ 30</w:t>
            </w:r>
          </w:p>
        </w:tc>
      </w:tr>
    </w:tbl>
    <w:p>
      <w:pPr>
        <w:pStyle w:val="BodyText"/>
      </w:pPr>
      <w:r>
        <w:t xml:space="preserve">В таблице 39 ИПН мужчин — 90,8, женщин — 90,3 пункта; разность «мужчины минус женщины» равна 0,5 пункта. Для каждого пола частные индексы пересчитаны заново на его ответах. Сравнение описательное: без вероятностной модели, весов и проверки гипотез вывод о различиях в населении РФ не делается.</w:t>
      </w:r>
    </w:p>
    <w:bookmarkEnd w:id="30"/>
    <w:bookmarkEnd w:id="31"/>
    <w:bookmarkStart w:id="64" w:name="графическое-представление-результатов"/>
    <w:p>
      <w:pPr>
        <w:pStyle w:val="Heading1"/>
      </w:pPr>
      <w:r>
        <w:t xml:space="preserve">9. Графическое представление результатов</w:t>
      </w:r>
    </w:p>
    <w:bookmarkStart w:id="35" w:name="изменение-цен-за-месяц"/>
    <w:p>
      <w:pPr>
        <w:pStyle w:val="Heading2"/>
      </w:pPr>
      <w:r>
        <w:t xml:space="preserve">9.1. Изменение цен за месяц</w:t>
      </w:r>
    </w:p>
    <w:p>
      <w:pPr>
        <w:pStyle w:val="FirstParagraph"/>
      </w:pPr>
      <w:r>
        <w:t xml:space="preserve">Рисунок 1 показывает Q1 и Q2 рядом, в одинаковой шкале. Все шесть категорий, включая «затрудняюсь», представлены; доли рассчитываются от допустимых ответов соответствующего вопроса.</w:t>
      </w:r>
    </w:p>
    <w:p>
      <w:pPr>
        <w:pStyle w:val="CaptionedFigure"/>
      </w:pPr>
      <w:r>
        <w:drawing>
          <wp:inline>
            <wp:extent cx="5753100" cy="3519543"/>
            <wp:effectExtent b="0" l="0" r="0" t="0"/>
            <wp:docPr descr="Рисунок 1. Изменение цен за прошлый (Q1) и следующий (Q2) месяц, % допустимых ответов." title="" id="33" name="Picture"/>
            <a:graphic>
              <a:graphicData uri="http://schemas.openxmlformats.org/drawingml/2006/picture">
                <pic:pic>
                  <pic:nvPicPr>
                    <pic:cNvPr descr="Markin_LR1_var95_files/figure-docx/figure1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19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 Изменение цен за прошлый (Q1) и следующий (Q2) месяц, % допустимых ответов.</w:t>
      </w:r>
    </w:p>
    <w:bookmarkEnd w:id="35"/>
    <w:bookmarkStart w:id="39" w:name="направление-изменения-цен-за-год"/>
    <w:p>
      <w:pPr>
        <w:pStyle w:val="Heading2"/>
      </w:pPr>
      <w:r>
        <w:t xml:space="preserve">9.2. Направление изменения цен за год</w:t>
      </w:r>
    </w:p>
    <w:p>
      <w:pPr>
        <w:pStyle w:val="FirstParagraph"/>
      </w:pPr>
      <w:r>
        <w:t xml:space="preserve">На рисунке 2 первые три столбца означают рост быстрее, так же или медленнее относительно сравниваемого периода. «Без изменения», «снижение» и «затрудняюсь» показаны раздельно; в Q3 частота снижения равна нулю. Это распределение направлений, не числовая инфляция.</w:t>
      </w:r>
    </w:p>
    <w:p>
      <w:pPr>
        <w:pStyle w:val="CaptionedFigure"/>
      </w:pPr>
      <w:r>
        <w:drawing>
          <wp:inline>
            <wp:extent cx="5753100" cy="3519543"/>
            <wp:effectExtent b="0" l="0" r="0" t="0"/>
            <wp:docPr descr="Рисунок 2. Q3: изменение цен за прошлый год; Q5: ожидания на следующий год, % допустимых ответов." title="" id="37" name="Picture"/>
            <a:graphic>
              <a:graphicData uri="http://schemas.openxmlformats.org/drawingml/2006/picture">
                <pic:pic>
                  <pic:nvPicPr>
                    <pic:cNvPr descr="Markin_LR1_var95_files/figure-docx/figure2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19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 Q3: изменение цен за прошлый год; Q5: ожидания на следующий год, % допустимых ответов.</w:t>
      </w:r>
    </w:p>
    <w:bookmarkEnd w:id="39"/>
    <w:bookmarkStart w:id="43" w:name="числовые-оценки-инфляции"/>
    <w:p>
      <w:pPr>
        <w:pStyle w:val="Heading2"/>
      </w:pPr>
      <w:r>
        <w:t xml:space="preserve">9.3. Числовые оценки инфляции</w:t>
      </w:r>
    </w:p>
    <w:p>
      <w:pPr>
        <w:pStyle w:val="FirstParagraph"/>
      </w:pPr>
      <w:r>
        <w:t xml:space="preserve">Рисунок 3 использует числовую ось X и все 13 кодов. Нулевая частота кода −5 в наблюдаемой инфляции сохраняется. Линии обозначают обычную и уточненную медианы, а не средние значения. Расстояния между кодами отражают различную ширину исходных интервалов.</w:t>
      </w:r>
    </w:p>
    <w:p>
      <w:pPr>
        <w:pStyle w:val="CaptionedFigure"/>
      </w:pPr>
      <w:r>
        <w:drawing>
          <wp:inline>
            <wp:extent cx="5753100" cy="4737847"/>
            <wp:effectExtent b="0" l="0" r="0" t="0"/>
            <wp:docPr descr="Рисунок 3. Частоты 13 кодовых значений наблюдаемой и ожидаемой инфляции; линии обычных и уточненных медиан." title="" id="41" name="Picture"/>
            <a:graphic>
              <a:graphicData uri="http://schemas.openxmlformats.org/drawingml/2006/picture">
                <pic:pic>
                  <pic:nvPicPr>
                    <pic:cNvPr descr="Markin_LR1_var95_files/figure-docx/figure3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737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3. Частоты 13 кодовых значений наблюдаемой и ожидаемой инфляции; линии обычных и уточненных медиан.</w:t>
      </w:r>
    </w:p>
    <w:bookmarkEnd w:id="43"/>
    <w:bookmarkStart w:id="47" w:name="распределение-дохода"/>
    <w:p>
      <w:pPr>
        <w:pStyle w:val="Heading2"/>
      </w:pPr>
      <w:r>
        <w:t xml:space="preserve">9.4. Распределение дохода</w:t>
      </w:r>
    </w:p>
    <w:p>
      <w:pPr>
        <w:pStyle w:val="FirstParagraph"/>
      </w:pPr>
      <w:r>
        <w:t xml:space="preserve">Рисунок 4 построен для пригодных y_i. Шаг группировки — 5000 руб., высоты столбцов — абсолютные частоты. Вертикальная линия показывает обычную медиану дохода.</w:t>
      </w:r>
    </w:p>
    <w:p>
      <w:pPr>
        <w:pStyle w:val="CaptionedFigure"/>
      </w:pPr>
      <w:r>
        <w:drawing>
          <wp:inline>
            <wp:extent cx="5753100" cy="3519543"/>
            <wp:effectExtent b="0" l="0" r="0" t="0"/>
            <wp:docPr descr="Рисунок 4. Доход на человека в месяц: гистограмма с шагом 5000 руб. и обычная медиана." title="" id="45" name="Picture"/>
            <a:graphic>
              <a:graphicData uri="http://schemas.openxmlformats.org/drawingml/2006/picture">
                <pic:pic>
                  <pic:nvPicPr>
                    <pic:cNvPr descr="Markin_LR1_var95_files/figure-docx/figure4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19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 Доход на человека в месяц: гистограмма с шагом 5000 руб. и обычная медиана.</w:t>
      </w:r>
    </w:p>
    <w:bookmarkEnd w:id="47"/>
    <w:bookmarkStart w:id="51" w:name="частные-индексы"/>
    <w:p>
      <w:pPr>
        <w:pStyle w:val="Heading2"/>
      </w:pPr>
      <w:r>
        <w:t xml:space="preserve">9.5. Частные индексы</w:t>
      </w:r>
    </w:p>
    <w:p>
      <w:pPr>
        <w:pStyle w:val="FirstParagraph"/>
      </w:pPr>
      <w:r>
        <w:t xml:space="preserve">На рисунке 5 обозначения I1–I5 соответствуют Q7–Q11. Штриховая линия 100 — равенство долей положительных и отрицательных ответов.</w:t>
      </w:r>
    </w:p>
    <w:p>
      <w:pPr>
        <w:pStyle w:val="CaptionedFigure"/>
      </w:pPr>
      <w:r>
        <w:drawing>
          <wp:inline>
            <wp:extent cx="5753100" cy="2719647"/>
            <wp:effectExtent b="0" l="0" r="0" t="0"/>
            <wp:docPr descr="Рисунок 5. Пять частных потребительских индексов с полными названиями, пункты; линия 100 — баланс оценок." title="" id="49" name="Picture"/>
            <a:graphic>
              <a:graphicData uri="http://schemas.openxmlformats.org/drawingml/2006/picture">
                <pic:pic>
                  <pic:nvPicPr>
                    <pic:cNvPr descr="Markin_LR1_var95_files/figure-docx/figure5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19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5. Пять частных потребительских индексов с полными названиями, пункты; линия 100 — баланс оценок.</w:t>
      </w:r>
    </w:p>
    <w:bookmarkEnd w:id="51"/>
    <w:bookmarkStart w:id="55" w:name="составные-индексы-1"/>
    <w:p>
      <w:pPr>
        <w:pStyle w:val="Heading2"/>
      </w:pPr>
      <w:r>
        <w:t xml:space="preserve">9.6. Составные индексы</w:t>
      </w:r>
    </w:p>
    <w:p>
      <w:pPr>
        <w:pStyle w:val="FirstParagraph"/>
      </w:pPr>
      <w:r>
        <w:t xml:space="preserve">Рисунок 6 сопоставляет текущее состояние, ожидания и общий показатель настроений. Единицы всех трех столбцов — пункты индекса.</w:t>
      </w:r>
    </w:p>
    <w:p>
      <w:pPr>
        <w:pStyle w:val="CaptionedFigure"/>
      </w:pPr>
      <w:r>
        <w:drawing>
          <wp:inline>
            <wp:extent cx="5753100" cy="3519543"/>
            <wp:effectExtent b="0" l="0" r="0" t="0"/>
            <wp:docPr descr="Рисунок 6. ИТС, ИПО и ИПН, пункты; штриховая линия 100 — баланс положительных и отрицательных оценок." title="" id="53" name="Picture"/>
            <a:graphic>
              <a:graphicData uri="http://schemas.openxmlformats.org/drawingml/2006/picture">
                <pic:pic>
                  <pic:nvPicPr>
                    <pic:cNvPr descr="Markin_LR1_var95_files/figure-docx/figure6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19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6. ИТС, ИПО и ИПН, пункты; штриховая линия 100 — баланс положительных и отрицательных оценок.</w:t>
      </w:r>
    </w:p>
    <w:bookmarkEnd w:id="55"/>
    <w:bookmarkStart w:id="59" w:name="исторические-медианы-и-учебная-точка"/>
    <w:p>
      <w:pPr>
        <w:pStyle w:val="Heading2"/>
      </w:pPr>
      <w:r>
        <w:t xml:space="preserve">9.7. Исторические медианы и учебная точка</w:t>
      </w:r>
    </w:p>
    <w:p>
      <w:pPr>
        <w:pStyle w:val="FirstParagraph"/>
      </w:pPr>
      <w:r>
        <w:t xml:space="preserve">На рисунке 7 треугольники обозначают синтетический сентябрь; январь–август оставлены без линии, поскольку подтвержденные официальные числа не получены. После заполнения векторов</w:t>
      </w:r>
      <w:r>
        <w:t xml:space="preserve"> </w:t>
      </w:r>
      <w:r>
        <w:rPr>
          <w:rStyle w:val="VerbatimChar"/>
        </w:rPr>
        <w:t xml:space="preserve">official_obs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official_exp</w:t>
      </w:r>
      <w:r>
        <w:t xml:space="preserve"> </w:t>
      </w:r>
      <w:r>
        <w:t xml:space="preserve">код построит официальные линии и отдельные учебные точки без соединения между августом и сентябрем. В текущем виде это честная заготовка обязательного временного графика, а не восстановленный официальный ряд.</w:t>
      </w:r>
    </w:p>
    <w:p>
      <w:pPr>
        <w:pStyle w:val="CaptionedFigure"/>
      </w:pPr>
      <w:r>
        <w:drawing>
          <wp:inline>
            <wp:extent cx="5753100" cy="3519543"/>
            <wp:effectExtent b="0" l="0" r="0" t="0"/>
            <wp:docPr descr="Рисунок 7. Медианы инфляции за 2026 год, % годовых: треугольники — учебный сентябрь; официальный ряд января–августа отсутствует." title="" id="57" name="Picture"/>
            <a:graphic>
              <a:graphicData uri="http://schemas.openxmlformats.org/drawingml/2006/picture">
                <pic:pic>
                  <pic:nvPicPr>
                    <pic:cNvPr descr="Markin_LR1_var95_files/figure-docx/figure7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19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7. Медианы инфляции за 2026 год, % годовых: треугольники — учебный сентябрь; официальный ряд января–августа отсутствует.</w:t>
      </w:r>
    </w:p>
    <w:bookmarkEnd w:id="59"/>
    <w:bookmarkStart w:id="63" w:name="исторические-индексы-и-учебные-точки"/>
    <w:p>
      <w:pPr>
        <w:pStyle w:val="Heading2"/>
      </w:pPr>
      <w:r>
        <w:t xml:space="preserve">9.8. Исторические индексы и учебные точки</w:t>
      </w:r>
    </w:p>
    <w:p>
      <w:pPr>
        <w:pStyle w:val="FirstParagraph"/>
      </w:pPr>
      <w:r>
        <w:t xml:space="preserve">Рисунок 8 использует тот же способ выделения синтетических точек. Отсутствие официальной линии означает отсутствие проверенных значений, а не нулевые индексы. Сентябрьские точки не соединяются с историей.</w:t>
      </w:r>
    </w:p>
    <w:p>
      <w:pPr>
        <w:pStyle w:val="CaptionedFigure"/>
      </w:pPr>
      <w:r>
        <w:drawing>
          <wp:inline>
            <wp:extent cx="5753100" cy="3519543"/>
            <wp:effectExtent b="0" l="0" r="0" t="0"/>
            <wp:docPr descr="Рисунок 8. ИТС, ИПО, ИПН за 2026 год, пункты: треугольники — учебный сентябрь; значения января–августа не получены." title="" id="61" name="Picture"/>
            <a:graphic>
              <a:graphicData uri="http://schemas.openxmlformats.org/drawingml/2006/picture">
                <pic:pic>
                  <pic:nvPicPr>
                    <pic:cNvPr descr="Markin_LR1_var95_files/figure-docx/figure8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19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8. ИТС, ИПО, ИПН за 2026 год, пункты: треугольники — учебный сентябрь; значения января–августа не получены.</w:t>
      </w:r>
    </w:p>
    <w:bookmarkEnd w:id="63"/>
    <w:bookmarkEnd w:id="64"/>
    <w:bookmarkStart w:id="65" w:name="Xb068bb7d2ebd107f6f870d976d1173cc799fa7e"/>
    <w:p>
      <w:pPr>
        <w:pStyle w:val="Heading1"/>
      </w:pPr>
      <w:r>
        <w:t xml:space="preserve">10. Исторический ряд и динамика август → сентябрь</w:t>
      </w:r>
    </w:p>
    <w:p>
      <w:pPr>
        <w:pStyle w:val="FirstParagraph"/>
      </w:pPr>
      <w:r>
        <w:t xml:space="preserve">Для каждой точки задан календарный период и источник. Исторические значения, дата успешного получения и точность публикации пока отсутствуют; неуспешная попытка доступа выполнена 17.10.2026. Нужный ресурс — раздел Банка России «Инфляционные ожидания и потребительские настроения», отчет за август 2026 года (волна 162), рисунки 6 и 12 на с. 10 и 14. При появлении машиночитаемых таблиц следует брать точные опубликованные значения, а не измерять линии рисунков. Официальные числа в работе друга не использованы: их происхождение и точность не подтверждены первоисточником.</w:t>
      </w:r>
    </w:p>
    <w:p>
      <w:pPr>
        <w:pStyle w:val="TableCaption"/>
      </w:pPr>
      <w:r>
        <w:t xml:space="preserve">Таблица 40. Помесячные уровни и источник: NA означает отсутствие подтвержденного числа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09"/>
        <w:gridCol w:w="837"/>
        <w:gridCol w:w="837"/>
        <w:gridCol w:w="837"/>
        <w:gridCol w:w="837"/>
        <w:gridCol w:w="837"/>
        <w:gridCol w:w="31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Опубликованный ряд: значение не получено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Опубликованный ряд: значение не получено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Опубликованный ряд: значение не получено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Опубликованный ряд: значение не получено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Опубликованный ряд: значение не получено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Опубликованный ряд: значение не получено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Опубликованный ряд: значение не получено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Опубликованный ряд: значение не получено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Синтетическая выборка</w:t>
            </w:r>
          </w:p>
        </w:tc>
      </w:tr>
    </w:tbl>
    <w:p>
      <w:pPr>
        <w:pStyle w:val="TableCaption"/>
      </w:pPr>
      <w:r>
        <w:t xml:space="preserve">Таблица 41. Динамика август → учебный сентябрь: разность уровней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21"/>
        <w:gridCol w:w="946"/>
        <w:gridCol w:w="774"/>
        <w:gridCol w:w="946"/>
        <w:gridCol w:w="688"/>
        <w:gridCol w:w="28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Август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Сентябрь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Разность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Наблюдаемая медиана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п.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Официальное значение не получено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Ожидаемая медиана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п.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Официальное значение не получено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Официальное значение не получено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ИПО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Официальное значение не получено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ИПН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Официальное значение не получено</w:t>
            </w:r>
          </w:p>
        </w:tc>
      </w:tr>
    </w:tbl>
    <w:p>
      <w:pPr>
        <w:pStyle w:val="BodyText"/>
      </w:pPr>
      <w:r>
        <w:t xml:space="preserve">Уровни и изменения приведены в таблицах 40–41. Разность определяется как Δ = значение сентября − значение августа. Для медиан единица разности —</w:t>
      </w:r>
      <w:r>
        <w:t xml:space="preserve"> </w:t>
      </w:r>
      <w:r>
        <w:rPr>
          <w:b/>
          <w:bCs/>
        </w:rPr>
        <w:t xml:space="preserve">процентный пункт</w:t>
      </w:r>
      <w:r>
        <w:t xml:space="preserve">, для индексов —</w:t>
      </w:r>
      <w:r>
        <w:t xml:space="preserve"> </w:t>
      </w:r>
      <w:r>
        <w:rPr>
          <w:b/>
          <w:bCs/>
        </w:rPr>
        <w:t xml:space="preserve">пункт индекса</w:t>
      </w:r>
      <w:r>
        <w:t xml:space="preserve">. Относительный темп изменения не подменяет разность. При NA за август разность также NA: направление изменения не определяется.</w:t>
      </w:r>
    </w:p>
    <w:p>
      <w:pPr>
        <w:pStyle w:val="BodyText"/>
      </w:pPr>
      <w:r>
        <w:t xml:space="preserve">По учебному сентябрю наблюдаемая уточненная медиана (14,5%) выше ожидаемой (13,4%) на 1,0 п. п. ИТС = 83,0, ИПО = 95,5, ИПН = 90,5 пункта; все ниже 100. Уровень ожиданий выше оценки текущего состояния, однако утверждать согласованность или расхождение</w:t>
      </w:r>
      <w:r>
        <w:t xml:space="preserve"> </w:t>
      </w:r>
      <w:r>
        <w:rPr>
          <w:b/>
          <w:bCs/>
        </w:rPr>
        <w:t xml:space="preserve">временной динамики</w:t>
      </w:r>
      <w:r>
        <w:t xml:space="preserve"> </w:t>
      </w:r>
      <w:r>
        <w:t xml:space="preserve">без августовских уровней нельзя. После заполнения официальных данных таблица и графики пересчитываются автоматически; содержательную интерпретацию направлений также необходимо обновить.</w:t>
      </w:r>
    </w:p>
    <w:p>
      <w:pPr>
        <w:pStyle w:val="BodyText"/>
      </w:pPr>
      <w:r>
        <w:rPr>
          <w:b/>
          <w:bCs/>
        </w:rPr>
        <w:t xml:space="preserve">Различия между опубликованным августом и синтетическим сентябрем нельзя трактовать как реальный сдвиг настроений населения или как статистически установленное изменение.</w:t>
      </w:r>
      <w:r>
        <w:t xml:space="preserve"> </w:t>
      </w:r>
      <w:r>
        <w:t xml:space="preserve">Источники и методики различаются, синтетическая выборка не позволяет распространять выводы на население РФ.</w:t>
      </w:r>
    </w:p>
    <w:bookmarkEnd w:id="65"/>
    <w:bookmarkStart w:id="66" w:name="выводы"/>
    <w:p>
      <w:pPr>
        <w:pStyle w:val="Heading1"/>
      </w:pPr>
      <w:r>
        <w:t xml:space="preserve">11. Выводы</w:t>
      </w:r>
    </w:p>
    <w:p>
      <w:pPr>
        <w:pStyle w:val="Compact"/>
        <w:numPr>
          <w:ilvl w:val="0"/>
          <w:numId w:val="1001"/>
        </w:numPr>
      </w:pPr>
      <w:r>
        <w:t xml:space="preserve">Проверены 2000 анкет: идентификаторы уникальны, размер семьи — положительное целое число, условные пропуски Q4/Q6 и работодателя согласованы с логикой опроса. Вместо восьми характеристик имеется семь; отсутствие доходной характеристики отражено как ограничение структуры. Для групповых сравнений введены пять квантильных групп расчетного дохода.</w:t>
      </w:r>
    </w:p>
    <w:p>
      <w:pPr>
        <w:pStyle w:val="Compact"/>
        <w:numPr>
          <w:ilvl w:val="0"/>
          <w:numId w:val="1001"/>
        </w:numPr>
      </w:pPr>
      <w:r>
        <w:t xml:space="preserve">Обычные медианы обеих инфляционных переменных равны 14,5%; уточненные — 14,5 и 13,4% годовых. Различие обычных и уточненных оценок объясняется частотами и интерполяцией внутри медианного интервала, а не дополнительной точностью исходных ответов.</w:t>
      </w:r>
    </w:p>
    <w:p>
      <w:pPr>
        <w:pStyle w:val="Compact"/>
        <w:numPr>
          <w:ilvl w:val="0"/>
          <w:numId w:val="1001"/>
        </w:numPr>
      </w:pPr>
      <w:r>
        <w:t xml:space="preserve">Доход рассчитан по 1613 анкетам. Обычная медиана — 27500,0 руб., уточненная при шаге 5000 руб. — 26164,1 руб., IQR — 33750,0 руб. Эти величины являются учебными оценками по кодированным интервалам.</w:t>
      </w:r>
    </w:p>
    <w:p>
      <w:pPr>
        <w:pStyle w:val="Compact"/>
        <w:numPr>
          <w:ilvl w:val="0"/>
          <w:numId w:val="1001"/>
        </w:numPr>
      </w:pPr>
      <w:r>
        <w:t xml:space="preserve">ИТС = 83,0, ИПО = 95,5, ИПН = 90,5 пункта. Положительные ответы в среднем уступают отрицательным; ожидания относительно благоприятнее оценок текущего состояния. ИПН независимо проверен по двум формулам.</w:t>
      </w:r>
    </w:p>
    <w:p>
      <w:pPr>
        <w:pStyle w:val="Compact"/>
        <w:numPr>
          <w:ilvl w:val="0"/>
          <w:numId w:val="1001"/>
        </w:numPr>
      </w:pPr>
      <w:r>
        <w:t xml:space="preserve">Групповые таблицы показывают распределения Q5 и медианы по доходу, а также ИПН по полу с явными основаниями. Они не устанавливают причинных связей и не являются статистическими выводами о населении.</w:t>
      </w:r>
    </w:p>
    <w:p>
      <w:pPr>
        <w:pStyle w:val="Compact"/>
        <w:numPr>
          <w:ilvl w:val="0"/>
          <w:numId w:val="1001"/>
        </w:numPr>
      </w:pPr>
      <w:r>
        <w:t xml:space="preserve">Воспроизводимые исходники и все расчетные таблицы подготовлены.</w:t>
      </w:r>
      <w:r>
        <w:t xml:space="preserve"> </w:t>
      </w:r>
      <w:r>
        <w:rPr>
          <w:b/>
          <w:bCs/>
        </w:rPr>
        <w:t xml:space="preserve">Обязательная историческая часть остается незавершенной:</w:t>
      </w:r>
      <w:r>
        <w:t xml:space="preserve"> </w:t>
      </w:r>
      <w:r>
        <w:t xml:space="preserve">требуется внести проверенные значения января–августа 2026 года в пять векторов, повторно собрать отчет и обновить интерпретацию динамики. Неподтвержденные числа не подставлялись.</w:t>
      </w:r>
    </w:p>
    <w:bookmarkEnd w:id="66"/>
    <w:bookmarkStart w:id="69" w:name="библиография"/>
    <w:p>
      <w:pPr>
        <w:pStyle w:val="Heading1"/>
      </w:pPr>
      <w:r>
        <w:t xml:space="preserve">12. Библиография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лабораторной работе №1 «Обработка анкет и описательная статистика в R: инфляционные ожидания и потребительские настроения». НИЯУ МИФИ. Москва, 2026. Предоставленный DOCX.</w:t>
      </w:r>
    </w:p>
    <w:p>
      <w:pPr>
        <w:pStyle w:val="Compact"/>
        <w:numPr>
          <w:ilvl w:val="0"/>
          <w:numId w:val="1002"/>
        </w:numPr>
      </w:pPr>
      <w:r>
        <w:t xml:space="preserve">Индивидуальные синтетические данные: «Маркин.Никита.Алексеевич_Б24-902_Вар95.xlsx», лист «Анкеты», 2000 наблюдений. Пользовательское вложение.</w:t>
      </w:r>
    </w:p>
    <w:p>
      <w:pPr>
        <w:pStyle w:val="Compact"/>
        <w:numPr>
          <w:ilvl w:val="0"/>
          <w:numId w:val="1002"/>
        </w:numPr>
      </w:pPr>
      <w:r>
        <w:t xml:space="preserve">ООО «инФОМ». Измерение инфляционных ожиданий и потребительских настроений на основе опросов населения. Отчет по восьмому опросу 2026 года, волна 162. Август 2026. Ссылка из методички:</w:t>
      </w:r>
      <w:r>
        <w:t xml:space="preserve"> </w:t>
      </w:r>
      <w:hyperlink r:id="rId67">
        <w:r>
          <w:rPr>
            <w:rStyle w:val="Hyperlink"/>
          </w:rPr>
          <w:t xml:space="preserve">https://www.cbr.ru/Collection/Collection/File/62282/inFOM_26-08.pdf</w:t>
        </w:r>
      </w:hyperlink>
      <w:r>
        <w:t xml:space="preserve">. Попытка доступа: 17.10.2026, HTTP 403; содержимое не проверено и числовые значения не заимствованы.</w:t>
      </w:r>
    </w:p>
    <w:p>
      <w:pPr>
        <w:pStyle w:val="Compact"/>
        <w:numPr>
          <w:ilvl w:val="0"/>
          <w:numId w:val="1002"/>
        </w:numPr>
      </w:pPr>
      <w:r>
        <w:t xml:space="preserve">Банк России. Инфляционные ожидания и потребительские настроения.</w:t>
      </w:r>
      <w:r>
        <w:t xml:space="preserve"> </w:t>
      </w:r>
      <w:hyperlink r:id="rId68">
        <w:r>
          <w:rPr>
            <w:rStyle w:val="Hyperlink"/>
          </w:rPr>
          <w:t xml:space="preserve">https://www.cbr.ru/analytics/dkp/inflationary_expectations/</w:t>
        </w:r>
      </w:hyperlink>
      <w:r>
        <w:t xml:space="preserve">. Попытка доступа: 17.10.2026, HTTP 403.</w:t>
      </w:r>
    </w:p>
    <w:p>
      <w:pPr>
        <w:pStyle w:val="Compact"/>
        <w:numPr>
          <w:ilvl w:val="0"/>
          <w:numId w:val="1002"/>
        </w:numPr>
      </w:pPr>
      <w:r>
        <w:t xml:space="preserve">Учебные материалы по R из файла</w:t>
      </w:r>
      <w:r>
        <w:t xml:space="preserve"> </w:t>
      </w:r>
      <w:r>
        <w:rPr>
          <w:rStyle w:val="VerbatimChar"/>
        </w:rPr>
        <w:t xml:space="preserve">ilovepdf_merged_merged.pdf</w:t>
      </w:r>
      <w:r>
        <w:t xml:space="preserve">: операции с таблицами, описательные показатели, построение графиков и оформление отчета.</w:t>
      </w:r>
    </w:p>
    <w:p>
      <w:pPr>
        <w:pStyle w:val="Compact"/>
        <w:numPr>
          <w:ilvl w:val="0"/>
          <w:numId w:val="1002"/>
        </w:numPr>
      </w:pPr>
      <w:r>
        <w:t xml:space="preserve">Добровольский М. В., Б24-912. Пример лабораторной работы №1, вариант 113, R Markdown. Использован как образец структуры; индивидуальные данные и неподтвержденные исторические значения не переносились.</w:t>
      </w:r>
    </w:p>
    <w:p>
      <w:pPr>
        <w:pStyle w:val="Compact"/>
        <w:numPr>
          <w:ilvl w:val="0"/>
          <w:numId w:val="1002"/>
        </w:numPr>
      </w:pPr>
      <w:r>
        <w:t xml:space="preserve">Документация R:</w:t>
      </w:r>
      <w:r>
        <w:t xml:space="preserve"> </w:t>
      </w:r>
      <w:r>
        <w:rPr>
          <w:rStyle w:val="VerbatimChar"/>
        </w:rPr>
        <w:t xml:space="preserve">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cut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; документация пакетов</w:t>
      </w:r>
      <w:r>
        <w:t xml:space="preserve"> </w:t>
      </w:r>
      <w:r>
        <w:rPr>
          <w:rStyle w:val="VerbatimChar"/>
        </w:rPr>
        <w:t xml:space="preserve">openxlsx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rPr>
          <w:rStyle w:val="VerbatimChar"/>
        </w:rPr>
        <w:t xml:space="preserve">knitr</w:t>
      </w:r>
      <w:r>
        <w:t xml:space="preserve"> </w:t>
      </w:r>
      <w:r>
        <w:t xml:space="preserve">и средства сборки</w:t>
      </w:r>
      <w:r>
        <w:t xml:space="preserve"> </w:t>
      </w:r>
      <w:r>
        <w:rPr>
          <w:rStyle w:val="VerbatimChar"/>
        </w:rPr>
        <w:t xml:space="preserve">rmarkdown</w:t>
      </w:r>
      <w:r>
        <w:t xml:space="preserve">. Версии текущего запуска сохранены в</w:t>
      </w:r>
      <w:r>
        <w:t xml:space="preserve"> </w:t>
      </w:r>
      <w:r>
        <w:rPr>
          <w:rStyle w:val="VerbatimChar"/>
        </w:rPr>
        <w:t xml:space="preserve">results/sessionInfo.txt</w:t>
      </w:r>
      <w:r>
        <w:t xml:space="preserve">.</w:t>
      </w:r>
    </w:p>
    <w:bookmarkEnd w:id="69"/>
    <w:sectPr w:rsidR="00FC693F" w:rsidRPr="0006063C" w:rsidSect="00034616">
      <w:footerReference r:id="rId9" w:type="default"/>
      <w:pgSz w:h="16838" w:w="11906"/>
      <w:pgMar w:bottom="1134" w:footer="567" w:gutter="0" w:header="567" w:left="1701" w:right="1134" w:top="1134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12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480" w:line="360" w:lineRule="auto"/>
      <w:ind w:firstLine="0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360" w:lineRule="auto"/>
      <w:ind w:firstLine="0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360" w:lineRule="auto"/>
      <w:ind w:firstLine="0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480" w:line="360" w:lineRule="auto"/>
      <w:ind w:firstLine="0"/>
      <w:contextualSpacing/>
      <w:jc w:val="center"/>
    </w:pPr>
    <w:rPr>
      <w:rFonts w:ascii="Times New Roman" w:asciiTheme="majorHAnsi" w:cstheme="majorBidi" w:eastAsia="Times New Roman" w:eastAsiaTheme="majorEastAsia" w:hAnsi="Times New Roman" w:hAnsiTheme="majorHAnsi"/>
      <w:color w:themeColor="text2" w:themeShade="BF" w:val="17365D"/>
      <w:spacing w:val="5"/>
      <w:kern w:val="28"/>
      <w:sz w:val="2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line="360" w:lineRule="auto"/>
      <w:ind w:firstLine="0"/>
      <w:jc w:val="center"/>
    </w:pPr>
    <w:rPr>
      <w:rFonts w:ascii="Times New Roman" w:asciiTheme="majorHAnsi" w:cstheme="majorBidi" w:eastAsia="Times New Roman" w:eastAsiaTheme="majorEastAsia" w:hAnsi="Times New Roman" w:hAnsiTheme="majorHAnsi"/>
      <w:i/>
      <w:iCs/>
      <w:color w:themeColor="accent1" w:val="4F81BD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360" w:lineRule="auto"/>
      <w:ind w:firstLine="0"/>
      <w:jc w:val="center"/>
    </w:pPr>
    <w:rPr>
      <w:rFonts w:ascii="Times New Roman" w:eastAsia="Times New Roman" w:hAnsi="Times New Roman"/>
      <w:b/>
      <w:bCs/>
      <w:color w:themeColor="accent1" w:val="4F81BD"/>
      <w:sz w:val="2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spacing w:after="120" w:line="360" w:lineRule="auto"/>
      <w:ind w:firstLine="0"/>
      <w:jc w:val="both"/>
      <w:outlineLvl w:val="9"/>
    </w:pPr>
    <w:rPr>
      <w:rFonts w:ascii="Times New Roman" w:eastAsia="Times New Roman" w:hAnsi="Times New Roman"/>
      <w:sz w:val="28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12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customStyle="1" w:styleId="Compact" w:type="paragraph">
    <w:name w:val="Compact"/>
    <w:basedOn w:val="Normal"/>
    <w:pPr>
      <w:spacing w:after="120" w:line="240" w:lineRule="auto"/>
      <w:ind w:firstLine="0"/>
      <w:jc w:val="both"/>
    </w:pPr>
    <w:rPr>
      <w:rFonts w:ascii="Times New Roman" w:eastAsia="Times New Roman" w:hAnsi="Times New Roman"/>
      <w:sz w:val="28"/>
    </w:rPr>
  </w:style>
  <w:style w:customStyle="1" w:styleId="TableCaption" w:type="paragraph">
    <w:name w:val="Table Caption"/>
    <w:basedOn w:val="Normal"/>
    <w:pPr>
      <w:spacing w:after="120" w:line="360" w:lineRule="auto"/>
      <w:ind w:firstLine="0"/>
      <w:jc w:val="center"/>
    </w:pPr>
    <w:rPr>
      <w:rFonts w:ascii="Times New Roman" w:eastAsia="Times New Roman" w:hAnsi="Times New Roman"/>
      <w:sz w:val="28"/>
    </w:rPr>
  </w:style>
  <w:style w:customStyle="1" w:styleId="ImageCaption" w:type="paragraph">
    <w:name w:val="Image Caption"/>
    <w:basedOn w:val="Normal"/>
    <w:pPr>
      <w:spacing w:after="120" w:line="360" w:lineRule="auto"/>
      <w:ind w:firstLine="0"/>
      <w:jc w:val="center"/>
    </w:pPr>
    <w:rPr>
      <w:rFonts w:ascii="Times New Roman" w:eastAsia="Times New Roman" w:hAnsi="Times New Roman"/>
      <w:sz w:val="2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hyperlink" Id="rId67" Target="https://www.cbr.ru/Collection/Collection/File/62282/inFOM_26-08.pdf" TargetMode="External" /><Relationship Type="http://schemas.openxmlformats.org/officeDocument/2006/relationships/hyperlink" Id="rId68" Target="https://www.cbr.ru/analytics/dkp/inflationary_expectation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www.cbr.ru/Collection/Collection/File/62282/inFOM_26-08.pdf" TargetMode="External" /><Relationship Type="http://schemas.openxmlformats.org/officeDocument/2006/relationships/hyperlink" Id="rId68" Target="https://www.cbr.ru/analytics/dkp/inflationary_expectation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2026-10-17T12:40:47Z</dcterms:created>
  <dcterms:modified xsi:type="dcterms:W3CDTF">2026-10-17T12:40:47Z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