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Национальный исследовательский ядерный университет «МИФИ»</w:t>
      </w:r>
    </w:p>
    <w:p>
      <w:pPr>
        <w:pStyle w:val="Subtitle"/>
      </w:pPr>
      <w:r>
        <w:t xml:space="preserve">Дисциплина «Статистические исследования»</w:t>
      </w:r>
    </w:p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«Обработка анкет и описательная статистика в R: инфляционные ожидания и потребительские настроения»</w:t>
      </w:r>
    </w:p>
    <w:p>
      <w:pPr>
        <w:pStyle w:val="Subtitle"/>
      </w:pPr>
      <w:r>
        <w:t xml:space="preserve">Маркин Никита Алексеевич</w:t>
      </w:r>
      <w:r>
        <w:br/>
      </w:r>
      <w:r>
        <w:t xml:space="preserve">Группа Б24-902 · Вариант 95</w:t>
      </w:r>
    </w:p>
    <w:p>
      <w:pPr>
        <w:pStyle w:val="Subtitle"/>
      </w:pPr>
      <w:r>
        <w:t xml:space="preserve">Москва · 2026</w:t>
      </w:r>
    </w:p>
    <w:p>
      <w:r>
        <w:br w:type="page"/>
      </w:r>
    </w:p>
    <w:p>
      <w:pPr>
        <w:pStyle w:val="TOCHeading"/>
      </w:pPr>
      <w:r>
        <w:t>Оглавление</w:t>
      </w:r>
    </w:p>
    <w:p>
      <w:pPr>
        <w:pStyle w:val="TOC1"/>
        <w:tabs>
          <w:tab w:val="right" w:leader="dot" w:pos="9072"/>
        </w:tabs>
        <w:ind w:firstLine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1. Цель и проверка данных</w:t>
      </w:r>
      <w:r>
        <w:tab/>
      </w:r>
      <w:r>
        <w:t>3</w:t>
      </w:r>
    </w:p>
    <w:p>
      <w:pPr>
        <w:pStyle w:val="TOC1"/>
        <w:tabs>
          <w:tab w:val="right" w:leader="dot" w:pos="9072"/>
        </w:tabs>
        <w:ind w:firstLine="0"/>
      </w:pPr>
      <w:r>
        <w:t>2. Частоты и доли ответов</w:t>
      </w:r>
      <w:r>
        <w:tab/>
      </w:r>
      <w:r>
        <w:t>4</w:t>
      </w:r>
    </w:p>
    <w:p>
      <w:pPr>
        <w:pStyle w:val="TOC1"/>
        <w:tabs>
          <w:tab w:val="right" w:leader="dot" w:pos="9072"/>
        </w:tabs>
        <w:ind w:firstLine="0"/>
      </w:pPr>
      <w:r>
        <w:t>3. Годовая инфляция и медианы</w:t>
      </w:r>
      <w:r>
        <w:tab/>
      </w:r>
      <w:r>
        <w:t>8</w:t>
      </w:r>
    </w:p>
    <w:p>
      <w:pPr>
        <w:pStyle w:val="TOC1"/>
        <w:tabs>
          <w:tab w:val="right" w:leader="dot" w:pos="9072"/>
        </w:tabs>
        <w:ind w:firstLine="0"/>
      </w:pPr>
      <w:r>
        <w:t>4. Среднедушевой доход</w:t>
      </w:r>
      <w:r>
        <w:tab/>
      </w:r>
      <w:r>
        <w:t>9</w:t>
      </w:r>
    </w:p>
    <w:p>
      <w:pPr>
        <w:pStyle w:val="TOC1"/>
        <w:tabs>
          <w:tab w:val="right" w:leader="dot" w:pos="9072"/>
        </w:tabs>
        <w:ind w:firstLine="0"/>
      </w:pPr>
      <w:r>
        <w:t>5. Потребительские индексы</w:t>
      </w:r>
      <w:r>
        <w:tab/>
      </w:r>
      <w:r>
        <w:t>11</w:t>
      </w:r>
    </w:p>
    <w:p>
      <w:pPr>
        <w:pStyle w:val="TOC1"/>
        <w:tabs>
          <w:tab w:val="right" w:leader="dot" w:pos="9072"/>
        </w:tabs>
        <w:ind w:firstLine="0"/>
      </w:pPr>
      <w:r>
        <w:t>6. Групповые сравнения</w:t>
      </w:r>
      <w:r>
        <w:tab/>
      </w:r>
      <w:r>
        <w:t>11</w:t>
      </w:r>
    </w:p>
    <w:p>
      <w:pPr>
        <w:pStyle w:val="TOC1"/>
        <w:tabs>
          <w:tab w:val="right" w:leader="dot" w:pos="9072"/>
        </w:tabs>
        <w:ind w:firstLine="0"/>
      </w:pPr>
      <w:r>
        <w:t>7. Графики</w:t>
      </w:r>
      <w:r>
        <w:tab/>
      </w:r>
      <w:r>
        <w:t>13</w:t>
      </w:r>
    </w:p>
    <w:p>
      <w:pPr>
        <w:pStyle w:val="TOC1"/>
        <w:tabs>
          <w:tab w:val="right" w:leader="dot" w:pos="9072"/>
        </w:tabs>
        <w:ind w:firstLine="0"/>
      </w:pPr>
      <w:r>
        <w:t>8. Динамика и выводы</w:t>
      </w:r>
      <w:r>
        <w:tab/>
      </w:r>
      <w:r>
        <w:t>18</w:t>
      </w:r>
    </w:p>
    <w:p>
      <w:pPr>
        <w:pStyle w:val="TOC1"/>
        <w:tabs>
          <w:tab w:val="right" w:leader="dot" w:pos="9072"/>
        </w:tabs>
        <w:ind w:firstLine="0"/>
      </w:pPr>
      <w:r>
        <w:t>Библиография</w:t>
      </w:r>
      <w:r>
        <w:tab/>
      </w:r>
      <w:r>
        <w:t>19</w:t>
      </w:r>
      <w:r>
        <w:fldChar w:fldCharType="end"/>
      </w:r>
    </w:p>
    <w:p>
      <w:r>
        <w:br w:type="page"/>
      </w:r>
    </w:p>
    <w:bookmarkStart w:id="20" w:name="цель-и-проверка-данных"/>
    <w:p>
      <w:pPr>
        <w:pStyle w:val="Heading1"/>
      </w:pPr>
      <w:r>
        <w:t xml:space="preserve">1. Цель и проверка данных</w:t>
      </w:r>
    </w:p>
    <w:p>
      <w:pPr>
        <w:pStyle w:val="FirstParagraph"/>
      </w:pPr>
      <w:r>
        <w:t xml:space="preserve">Цель — обработать анкеты в R, рассчитать инфляционные медианы, доходы и потребительские индексы, сопоставить учебный сентябрь с опубликованным августом 2026 года.</w:t>
      </w:r>
    </w:p>
    <w:p>
      <w:pPr>
        <w:pStyle w:val="BodyText"/>
      </w:pPr>
      <w:r>
        <w:t xml:space="preserve">Исходник: Маркин.Никита.Алексеевич_Б24-902_Вар95.xlsx; 2000 анкет, 21 столбец. Нет исходной категории дохода на человека; для групповых сравнений использованы пять квантильных групп расчетного дохода. Исходный XLSX не изменялся. Результаты проверок и пригодность показателей — в таблицах 1–2.</w:t>
      </w:r>
    </w:p>
    <w:p>
      <w:pPr>
        <w:pStyle w:val="TableCaption"/>
      </w:pPr>
      <w:r>
        <w:t xml:space="preserve">Таблица 1. Проверка структуры и значений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48"/>
        <w:gridCol w:w="1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Отсутствующие столбцы (единица — столбцы)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Отсутствующая характеристика дохода (затронуто анкет)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Пустой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Строки с повторяющимся непустым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Недопустимая категория хотя бы в одном поле (строки)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Q12: пропуск, нечисловое, нецелое или неположительное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пусто, хотя поле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заполнено, хотя поле не задавалось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пусто, хотя поле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заполнено, хотя поле не задавалось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пусто, хотя поле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заполнено, хотя поле не задавалось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2. Пригодные ответы N, технические и структурные пропуски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648"/>
        <w:gridCol w:w="1248"/>
        <w:gridCol w:w="1007"/>
        <w:gridCol w:w="1007"/>
        <w:gridCol w:w="10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Доход на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 расчетах испорченное поле не исключает анкету целиком. «Затрудняюсь» — допустимый ответ; пустота незаданного вопроса — структурный пропуск.</w:t>
      </w:r>
    </w:p>
    <w:bookmarkEnd w:id="20"/>
    <w:bookmarkStart w:id="21" w:name="частоты-и-доли-ответов"/>
    <w:p>
      <w:pPr>
        <w:pStyle w:val="Heading1"/>
      </w:pPr>
      <w:r>
        <w:t xml:space="preserve">2. Частоты и доли ответов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вопросов всем N — число допустимых ответов; для Q4/Q6 — число респондентов, которым вопрос задавался. Технические пропуски показаны отдельно. Все допустимые категории сохранены; доли округлены до целого процента.</w:t>
      </w:r>
    </w:p>
    <w:p>
      <w:pPr>
        <w:pStyle w:val="TableCaption"/>
      </w:pPr>
      <w:r>
        <w:t xml:space="preserve">Таблица 3. Пол;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</w:tbl>
    <w:p>
      <w:pPr>
        <w:pStyle w:val="TableCaption"/>
      </w:pPr>
      <w:r>
        <w:t xml:space="preserve">Таблица 4. Возраст;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18–30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46–60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старше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</w:tbl>
    <w:p>
      <w:pPr>
        <w:pStyle w:val="TableCaption"/>
      </w:pPr>
      <w:r>
        <w:t xml:space="preserve">Таблица 5. Образование;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высшее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ниже среднего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общее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специальное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p>
      <w:pPr>
        <w:pStyle w:val="TableCaption"/>
      </w:pPr>
      <w:r>
        <w:t xml:space="preserve">Таблица 6. Род занятий;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 и не ищут работу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работают, но ищут работу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неработающие пенсионеры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работающие по найму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самозанятые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TableCaption"/>
      </w:pPr>
      <w:r>
        <w:t xml:space="preserve">Таблица 7. Тип предприятия работодателя; N = 1161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государственное, с госучастием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частное, НКО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</w:tbl>
    <w:p>
      <w:pPr>
        <w:pStyle w:val="TableCaption"/>
      </w:pPr>
      <w:r>
        <w:t xml:space="preserve">Таблица 8. Тип расселения;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Городское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Сельское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</w:tbl>
    <w:p>
      <w:pPr>
        <w:pStyle w:val="TableCaption"/>
      </w:pPr>
      <w:r>
        <w:t xml:space="preserve">Таблица 9. Самооценка материального положения семьи;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денег не хватает на питание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питание хватает, на одежду –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одежду хватает, на крупную бытовую технику –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бытовую технику хватает, на автомобиль –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автомобиль хватает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</w:tbl>
    <w:p>
      <w:pPr>
        <w:pStyle w:val="TableCaption"/>
      </w:pPr>
      <w:r>
        <w:t xml:space="preserve">Таблица 10. Q1/Q2: цены за прошлый и следующий месяц;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Умеренно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Незначительно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TableCaption"/>
      </w:pPr>
      <w:r>
        <w:t xml:space="preserve">Таблица 11. Q3/Q5: направление изменения цен за прошлый и следующий год;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Быстрее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Медленнее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TableCaption"/>
      </w:pPr>
      <w:r>
        <w:t xml:space="preserve">Таблица 12. Q4/Q6: интервалы роста; N4 = 1862, N6 = 1697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</w:tbl>
    <w:p>
      <w:pPr>
        <w:pStyle w:val="TableCaption"/>
      </w:pPr>
      <w:r>
        <w:t xml:space="preserve">Таблица 13. Q7/Q8: материальное положение семьи;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Улучшение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Ухудшение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TableCaption"/>
      </w:pPr>
      <w:r>
        <w:t xml:space="preserve">Таблица 14. Q9;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хорошим, но не во всём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плохим, но не во всём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15. Q10;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</w:tbl>
    <w:p>
      <w:pPr>
        <w:pStyle w:val="TableCaption"/>
      </w:pPr>
      <w:r>
        <w:t xml:space="preserve">Таблица 16. Q11;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393"/>
        <w:gridCol w:w="1263"/>
        <w:gridCol w:w="12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хорошее, но и не плохое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17. Q13: доход семьи и его перекодировка;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201"/>
        <w:gridCol w:w="1014"/>
        <w:gridCol w:w="1062"/>
        <w:gridCol w:w="16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H,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 руб.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10 001 – 15 000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15 001 – 20 000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20 001 – 25 000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25 001 – 30 000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30 001 – 40 000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40 001 – 50 000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50 001 – 60 000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60 001 – 70 000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70 001 – 80 000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80 001 – 90 000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90 001 – 100 000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100 001 – 120 000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120 001 – 150 000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свыше 150 000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знаю, 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от ответа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</w:t>
            </w:r>
          </w:p>
        </w:tc>
      </w:tr>
    </w:tbl>
    <w:p>
      <w:pPr>
        <w:pStyle w:val="TableCaption"/>
      </w:pPr>
      <w:r>
        <w:t xml:space="preserve">Таблица 18. Q4/Q6: доли от всей выборки, включая незаданный вопрос; N = 2000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04"/>
        <w:gridCol w:w="1104"/>
        <w:gridCol w:w="1104"/>
        <w:gridCol w:w="1104"/>
        <w:gridCol w:w="1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Q6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пропуск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Недопустимый ответ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не задавался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задавания неизвестно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19. Q12: размер семьи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Таблица 20. Q12: частоты размеров семьи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421"/>
        <w:gridCol w:w="1749"/>
        <w:gridCol w:w="1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Членов семьи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1"/>
    <w:bookmarkStart w:id="22" w:name="годовая-инфляция-и-медианы"/>
    <w:p>
      <w:pPr>
        <w:pStyle w:val="Heading1"/>
      </w:pPr>
      <w:r>
        <w:t xml:space="preserve">3. Годовая инфляция и медианы</w:t>
      </w:r>
    </w:p>
    <w:p>
      <w:pPr>
        <w:pStyle w:val="FirstParagraph"/>
      </w:pPr>
      <w:r>
        <w:rPr>
          <w:rStyle w:val="VerbatimChar"/>
        </w:rPr>
        <w:t xml:space="preserve">infl_obs</w:t>
      </w:r>
      <w:r>
        <w:t xml:space="preserve"> </w:t>
      </w:r>
      <w:r>
        <w:t xml:space="preserve">получена из Q3/Q4,</w:t>
      </w:r>
      <w:r>
        <w:t xml:space="preserve"> </w:t>
      </w:r>
      <w:r>
        <w:rPr>
          <w:rStyle w:val="VerbatimChar"/>
        </w:rPr>
        <w:t xml:space="preserve">infl_exp</w:t>
      </w:r>
      <w:r>
        <w:t xml:space="preserve"> </w:t>
      </w:r>
      <w:r>
        <w:t xml:space="preserve">— из Q5/Q6. Снижение → −5; без изменения → 0; рост → код интервала; неопределенный ответ → NA. «Рост медленнее» остается ростом. Q1/Q2 в годовые проценты не переводятся. В таблице ниже 1 — наблюдаемая, 2 — ожидаемая инфляция.</w:t>
      </w:r>
    </w:p>
    <w:p>
      <w:pPr>
        <w:pStyle w:val="TableCaption"/>
      </w:pPr>
      <w:r>
        <w:t xml:space="preserve">Таблица 21. Перекодировка, частоты n и накопленные частоты F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62"/>
        <w:gridCol w:w="1014"/>
        <w:gridCol w:w="1110"/>
        <w:gridCol w:w="1110"/>
        <w:gridCol w:w="1110"/>
        <w:gridCol w:w="11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1313</w:t>
            </w:r>
          </w:p>
        </w:tc>
      </w:tr>
    </w:tbl>
    <w:p>
      <w:pPr>
        <w:pStyle w:val="TableCaption"/>
      </w:pPr>
      <w:r>
        <w:t xml:space="preserve">Таблица 22. Медианы и квартили, % годовых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60"/>
        <w:gridCol w:w="1049"/>
        <w:gridCol w:w="1049"/>
        <w:gridCol w:w="1479"/>
        <w:gridCol w:w="1049"/>
        <w:gridCol w:w="14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+</m:t>
          </m:r>
          <m:r>
            <m:t>h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Наблюдаемая.</w:t>
      </w:r>
      <w:r>
        <w:t xml:space="preserve"> </w:t>
      </w:r>
      <w:r>
        <w:t xml:space="preserve">Медианная категория — на 13–16%; N = 1445, N/2 = 722,5, L = 12,5, h = 4,0, F_prev = 645, f = 158.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722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−</m:t>
            </m:r>
            <m:r>
              <m:t>645</m:t>
            </m:r>
          </m:e>
        </m:d>
        <m:r>
          <m:rPr>
            <m:sty m:val="p"/>
          </m:rPr>
          <m:t>/</m:t>
        </m:r>
        <m:r>
          <m:t>158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4620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rPr>
          <w:b/>
          <w:bCs/>
        </w:rPr>
        <w:t xml:space="preserve">Ожидаемая.</w:t>
      </w:r>
      <w:r>
        <w:t xml:space="preserve"> </w:t>
      </w:r>
      <w:r>
        <w:t xml:space="preserve">Медианная категория — на 13–16%; N = 1313, N/2 = 656,5, L = 12,5, h = 4,0, F_prev = 628, f = 123.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656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−</m:t>
            </m:r>
            <m:r>
              <m:t>628</m:t>
            </m:r>
          </m:e>
        </m:d>
        <m:r>
          <m:rPr>
            <m:sty m:val="p"/>
          </m:rPr>
          <m:t>/</m:t>
        </m:r>
        <m:r>
          <m:t>123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4268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t xml:space="preserve">L — нижняя непрерывная граница; h — ширина; f — частота медианного интервала; F_prev — частота до него. Для 13–16%: [12,5; 16,5), h = 4. Для кодов −5, 0, 1, 75 интерполяция не определена: используется условный код. Частоты и медианы показаны на рисунке 3.</w:t>
      </w:r>
    </w:p>
    <w:bookmarkEnd w:id="22"/>
    <w:bookmarkStart w:id="23" w:name="среднедушевой-доход"/>
    <w:p>
      <w:pPr>
        <w:pStyle w:val="Heading1"/>
      </w:pPr>
      <w:r>
        <w:t xml:space="preserve">4. Среднедушевой доход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0.75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0.25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H_i — код Q13, m_i — положительное целое Q12. Крайние коды дохода — 7000 и 200 000 руб.; неопределенные ответы исключены. Интервалы ниже имеют вид [a; b), шаг 5000 руб. (границы в тыс. руб.). Гистограмма — рисунок 4.</w:t>
      </w:r>
    </w:p>
    <w:p>
      <w:pPr>
        <w:pStyle w:val="TableCaption"/>
      </w:pPr>
      <w:r>
        <w:t xml:space="preserve">Таблица 23. Доход на человека, руб. в месяц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426"/>
        <w:gridCol w:w="24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38675.8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Первый квартиль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Третий квартиль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33750.0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Уточненная 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26164.1</w:t>
            </w:r>
          </w:p>
        </w:tc>
      </w:tr>
    </w:tbl>
    <w:p>
      <w:pPr>
        <w:pStyle w:val="TableCaption"/>
      </w:pPr>
      <w:r>
        <w:t xml:space="preserve">Таблица 24. Интервальный ряд дохода: частоты n и накопленные F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65"/>
        <w:gridCol w:w="1049"/>
        <w:gridCol w:w="1145"/>
        <w:gridCol w:w="1765"/>
        <w:gridCol w:w="1049"/>
        <w:gridCol w:w="11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Доход, тыс.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Доход, тыс.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110–115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115–120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120–125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125–130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130–135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35–40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155–160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165–170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65–70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170–175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70–75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175–180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180–185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185–190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85–90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190–195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195–200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Медианный интервал: [25000; 30000) руб.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25000</m:t>
          </m:r>
          <m:r>
            <m:rPr>
              <m:sty m:val="p"/>
            </m:rPr>
            <m:t>+</m:t>
          </m:r>
          <m:r>
            <m:t>5000</m:t>
          </m:r>
          <m:f>
            <m:fPr>
              <m:type m:val="bar"/>
            </m:fPr>
            <m:num>
              <m:r>
                <m:t>806.5</m:t>
              </m:r>
              <m:r>
                <m:rPr>
                  <m:sty m:val="p"/>
                </m:rPr>
                <m:t>−</m:t>
              </m:r>
              <m:r>
                <m:t>776</m:t>
              </m:r>
            </m:num>
            <m:den>
              <m:r>
                <m:t>131</m:t>
              </m:r>
            </m:den>
          </m:f>
          <m:r>
            <m:rPr>
              <m:sty m:val="p"/>
            </m:rPr>
            <m:t>=</m:t>
          </m:r>
          <m:r>
            <m:t>26164</m:t>
          </m:r>
          <m:r>
            <m:rPr>
              <m:sty m:val="p"/>
            </m:rPr>
            <m:t>,</m:t>
          </m:r>
          <m:r>
            <m:t>1</m:t>
          </m:r>
          <m:r>
            <m:rPr>
              <m:nor/>
              <m:sty m:val="p"/>
            </m:rPr>
            <m:t> руб.</m:t>
          </m:r>
        </m:oMath>
      </m:oMathPara>
    </w:p>
    <w:p>
      <w:pPr>
        <w:pStyle w:val="FirstParagraph"/>
      </w:pPr>
      <w:r>
        <w:t xml:space="preserve">Опубликованная августовская медиана — 27 300 руб. (инФОМ, с. 20). Прямое сравнение ограничено различиями методики и выборки.</w:t>
      </w:r>
    </w:p>
    <w:bookmarkEnd w:id="23"/>
    <w:bookmarkStart w:id="24" w:name="потребительские-индексы"/>
    <w:p>
      <w:pPr>
        <w:pStyle w:val="Heading1"/>
      </w:pPr>
      <w:r>
        <w:t xml:space="preserve">5. Потребительские индексы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знаменателе учитывается «затрудняюсь»; технические пропуски исключены. Для Q9 «хорошим, но не во всём» — положительный ответ, «плохим, но не во всём» — отрицательный. Названия I1–I5 — на рисунке 5; P и M — проценты, индексы — пункты.</w:t>
      </w:r>
    </w:p>
    <w:p>
      <w:pPr>
        <w:pStyle w:val="TableCaption"/>
      </w:pPr>
      <w:r>
        <w:t xml:space="preserve">Таблица 25. Частные индексы и основания расчета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84"/>
        <w:gridCol w:w="612"/>
        <w:gridCol w:w="1037"/>
        <w:gridCol w:w="1037"/>
        <w:gridCol w:w="1037"/>
        <w:gridCol w:w="990"/>
        <w:gridCol w:w="99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89.6</w:t>
            </w:r>
          </w:p>
        </w:tc>
      </w:tr>
    </w:tbl>
    <w:p>
      <w:pPr>
        <w:pStyle w:val="TableCaption"/>
      </w:pPr>
      <w:r>
        <w:t xml:space="preserve">Таблица 26. Составные индексы, пункты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426"/>
        <w:gridCol w:w="24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И</m:t>
          </m:r>
          <m:r>
            <m:t>Т</m:t>
          </m:r>
          <m:r>
            <m:t>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И</m:t>
          </m:r>
          <m:r>
            <m:t>П</m:t>
          </m:r>
          <m:r>
            <m:t>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И</m:t>
          </m:r>
          <m:r>
            <m:t>П</m:t>
          </m:r>
          <m:r>
            <m:t>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И</m:t>
              </m:r>
              <m:r>
                <m:t>Т</m:t>
              </m:r>
              <m:r>
                <m:t>С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И</m:t>
              </m:r>
              <m:r>
                <m:t>П</m:t>
              </m:r>
              <m:r>
                <m:t>О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Проверка двух формул: разность 0,0000000000 пункта. Уровень 100 — равенство положительных и отрицательных долей.</w:t>
      </w:r>
    </w:p>
    <w:bookmarkEnd w:id="24"/>
    <w:bookmarkStart w:id="25" w:name="групповые-сравнения"/>
    <w:p>
      <w:pPr>
        <w:pStyle w:val="Heading1"/>
      </w:pPr>
      <w:r>
        <w:t xml:space="preserve">6. Групповые сравнения</w:t>
      </w:r>
    </w:p>
    <w:p>
      <w:pPr>
        <w:pStyle w:val="FirstParagraph"/>
      </w:pPr>
      <w:r>
        <w:t xml:space="preserve">Г1–Г5 — квантильные группы расчетного дохода: первая включает обе границы, остальные имеют вид (a; b]. Это учебная замена отсутствующей характеристики. N — число анкет, N инф. — число пригодных</w:t>
      </w:r>
      <w:r>
        <w:t xml:space="preserve"> </w:t>
      </w:r>
      <w:r>
        <w:rPr>
          <w:rStyle w:val="VerbatimChar"/>
        </w:rPr>
        <w:t xml:space="preserve">infl_exp</w:t>
      </w:r>
      <w:r>
        <w:t xml:space="preserve">. Условный порог малочисленности — 30 ответов; все группы его превышают.</w:t>
      </w:r>
    </w:p>
    <w:p>
      <w:pPr>
        <w:pStyle w:val="TableCaption"/>
      </w:pPr>
      <w:r>
        <w:t xml:space="preserve">Таблица 27. Границы дохода, основания и обычная медиана ожидаемой инфляции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07"/>
        <w:gridCol w:w="2976"/>
        <w:gridCol w:w="1007"/>
        <w:gridCol w:w="134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Доход,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инф.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[1400,0; 11666,7]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(11666,7; 21666,7]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(21666,7; 33333,3]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(33333,3; 55000,0]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(55000,0; 200000,0]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</w:tr>
    </w:tbl>
    <w:p>
      <w:pPr>
        <w:pStyle w:val="TableCaption"/>
      </w:pPr>
      <w:r>
        <w:t xml:space="preserve">Таблица 28. Доли Q5 внутри групп дохода, %; основания — N групп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33"/>
        <w:gridCol w:w="1097"/>
        <w:gridCol w:w="1097"/>
        <w:gridCol w:w="1097"/>
        <w:gridCol w:w="1097"/>
        <w:gridCol w:w="10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Ответ 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Г1,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Г2,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Г3,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Г4,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Г5,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Быстрее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Медленнее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</w:tbl>
    <w:p>
      <w:pPr>
        <w:pStyle w:val="TableCaption"/>
      </w:pPr>
      <w:r>
        <w:t xml:space="preserve">Таблица 29. ИПН мужчин и женщин, пункты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90.3</w:t>
            </w:r>
          </w:p>
        </w:tc>
      </w:tr>
    </w:tbl>
    <w:p>
      <w:pPr>
        <w:pStyle w:val="BodyText"/>
      </w:pPr>
      <w:r>
        <w:t xml:space="preserve">Сравнения описательные. Они не устанавливают причинных связей и не распространяются на население РФ.</w:t>
      </w:r>
    </w:p>
    <w:p>
      <w:r>
        <w:br w:type="page"/>
      </w:r>
    </w:p>
    <w:bookmarkEnd w:id="25"/>
    <w:bookmarkStart w:id="50" w:name="графики"/>
    <w:p>
      <w:pPr>
        <w:pStyle w:val="Heading1"/>
      </w:pPr>
      <w:r>
        <w:t xml:space="preserve">7. Графики</w:t>
      </w:r>
    </w:p>
    <w:p>
      <w:pPr>
        <w:pStyle w:val="CaptionedFigure"/>
      </w:pPr>
      <w:r>
        <w:drawing>
          <wp:inline>
            <wp:extent cx="5669280" cy="2753650"/>
            <wp:effectExtent b="0" l="0" r="0" t="0"/>
            <wp:docPr descr="Рисунок 1. Q1/Q2: изменение цен за прошлый и следующий месяц, % ответов." title="" id="27" name="Picture"/>
            <a:graphic>
              <a:graphicData uri="http://schemas.openxmlformats.org/drawingml/2006/picture">
                <pic:pic>
                  <pic:nvPicPr>
                    <pic:cNvPr descr="Markin_LR1_var95_files/figure-docx/compact-fig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75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Q1/Q2: изменение цен за прошлый и следующий месяц, % ответов.</w:t>
      </w:r>
    </w:p>
    <w:p>
      <w:pPr>
        <w:pStyle w:val="CaptionedFigure"/>
      </w:pPr>
      <w:r>
        <w:drawing>
          <wp:inline>
            <wp:extent cx="5669280" cy="2753650"/>
            <wp:effectExtent b="0" l="0" r="0" t="0"/>
            <wp:docPr descr="Рисунок 2. Q3/Q5: изменение цен за прошлый и следующий год, % ответов." title="" id="30" name="Picture"/>
            <a:graphic>
              <a:graphicData uri="http://schemas.openxmlformats.org/drawingml/2006/picture">
                <pic:pic>
                  <pic:nvPicPr>
                    <pic:cNvPr descr="Markin_LR1_var95_files/figure-docx/compact-fig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75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Q3/Q5: изменение цен за прошлый и следующий год, % ответов.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5021362"/>
            <wp:effectExtent b="0" l="0" r="0" t="0"/>
            <wp:docPr descr="Рисунок 3. Частоты 13 кодов инфляции; обычные и уточненные медианы." title="" id="33" name="Picture"/>
            <a:graphic>
              <a:graphicData uri="http://schemas.openxmlformats.org/drawingml/2006/picture">
                <pic:pic>
                  <pic:nvPicPr>
                    <pic:cNvPr descr="Markin_LR1_var95_files/figure-docx/compact-fig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0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Частоты 13 кодов инфляции; обычные и уточненные медианы.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4373444"/>
            <wp:effectExtent b="0" l="0" r="0" t="0"/>
            <wp:docPr descr="Рисунок 4. Среднедушевой доход: шаг 5000 руб.; линия — обычная медиана." title="" id="36" name="Picture"/>
            <a:graphic>
              <a:graphicData uri="http://schemas.openxmlformats.org/drawingml/2006/picture">
                <pic:pic>
                  <pic:nvPicPr>
                    <pic:cNvPr descr="Markin_LR1_var95_files/figure-docx/compact-fig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373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Среднедушевой доход: шаг 5000 руб.; линия — обычная медиана.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3239588"/>
            <wp:effectExtent b="0" l="0" r="0" t="0"/>
            <wp:docPr descr="Рисунок 5. Частные индексы I1–I5, пункты; штриховая линия — 100." title="" id="39" name="Picture"/>
            <a:graphic>
              <a:graphicData uri="http://schemas.openxmlformats.org/drawingml/2006/picture">
                <pic:pic>
                  <pic:nvPicPr>
                    <pic:cNvPr descr="Markin_LR1_var95_files/figure-docx/compact-fig5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23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5. Частные индексы I1–I5, пункты; штриховая линия — 100.</w:t>
      </w:r>
    </w:p>
    <w:p>
      <w:pPr>
        <w:pStyle w:val="CaptionedFigure"/>
      </w:pPr>
      <w:r>
        <w:drawing>
          <wp:inline>
            <wp:extent cx="5669280" cy="2672660"/>
            <wp:effectExtent b="0" l="0" r="0" t="0"/>
            <wp:docPr descr="Рисунок 6. ИТС, ИПО и ИПН, пункты; штриховая линия — 100." title="" id="42" name="Picture"/>
            <a:graphic>
              <a:graphicData uri="http://schemas.openxmlformats.org/drawingml/2006/picture">
                <pic:pic>
                  <pic:nvPicPr>
                    <pic:cNvPr descr="Markin_LR1_var95_files/figure-docx/compact-fig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67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6. ИТС, ИПО и ИПН, пункты; штриховая линия — 100.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4616413"/>
            <wp:effectExtent b="0" l="0" r="0" t="0"/>
            <wp:docPr descr="Рисунок 7. Инфляционные медианы: линии — опубликованный январь–август; треугольники — учебный сентябрь." title="" id="45" name="Picture"/>
            <a:graphic>
              <a:graphicData uri="http://schemas.openxmlformats.org/drawingml/2006/picture">
                <pic:pic>
                  <pic:nvPicPr>
                    <pic:cNvPr descr="Markin_LR1_var95_files/figure-docx/compact-fig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16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7. Инфляционные медианы: линии — опубликованный январь–август; треугольники — учебный сентябрь.</w:t>
      </w:r>
    </w:p>
    <w:p>
      <w:r>
        <w:br w:type="page"/>
      </w:r>
    </w:p>
    <w:p>
      <w:pPr>
        <w:pStyle w:val="CaptionedFigure"/>
      </w:pPr>
      <w:r>
        <w:drawing>
          <wp:inline>
            <wp:extent cx="5669280" cy="4616413"/>
            <wp:effectExtent b="0" l="0" r="0" t="0"/>
            <wp:docPr descr="Рисунок 8. ИТС, ИПО, ИПН: линии — опубликованный январь–август; треугольники — учебный сентябрь." title="" id="48" name="Picture"/>
            <a:graphic>
              <a:graphicData uri="http://schemas.openxmlformats.org/drawingml/2006/picture">
                <pic:pic>
                  <pic:nvPicPr>
                    <pic:cNvPr descr="Markin_LR1_var95_files/figure-docx/compact-fig8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16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8. ИТС, ИПО, ИПН: линии — опубликованный январь–август; треугольники — учебный сентябрь.</w:t>
      </w:r>
    </w:p>
    <w:p>
      <w:r>
        <w:br w:type="page"/>
      </w:r>
    </w:p>
    <w:bookmarkEnd w:id="50"/>
    <w:bookmarkStart w:id="51" w:name="динамика-и-выводы"/>
    <w:p>
      <w:pPr>
        <w:pStyle w:val="Heading1"/>
      </w:pPr>
      <w:r>
        <w:t xml:space="preserve">8. Динамика и выводы</w:t>
      </w:r>
    </w:p>
    <w:p>
      <w:pPr>
        <w:pStyle w:val="FirstParagraph"/>
      </w:pPr>
      <w:r>
        <w:t xml:space="preserve">История — числовые подписи рис. 6 и 12 отчета инФОМ за август 2026, с. 10 и 14. Проверено 18.10.2026. Точность: медианы — 0,1 п. п., индексы — 1 пункт. В таблице «инФОМ» — опубликованный ряд, «Учебн.» — синтетическая выборка.</w:t>
      </w:r>
    </w:p>
    <w:p>
      <w:pPr>
        <w:pStyle w:val="TableCaption"/>
      </w:pPr>
      <w:r>
        <w:t xml:space="preserve">Таблица 30. Помесячные уровни и источник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43"/>
        <w:gridCol w:w="1233"/>
        <w:gridCol w:w="1233"/>
        <w:gridCol w:w="853"/>
        <w:gridCol w:w="853"/>
        <w:gridCol w:w="853"/>
        <w:gridCol w:w="18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Набл.,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Ожид.,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Учебн.</w:t>
            </w:r>
          </w:p>
        </w:tc>
      </w:tr>
    </w:tbl>
    <w:p>
      <w:pPr>
        <w:pStyle w:val="TableCaption"/>
      </w:pPr>
      <w:r>
        <w:t xml:space="preserve">Таблица 31. Август → учебный сентябрь: разность уровней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12"/>
        <w:gridCol w:w="1248"/>
        <w:gridCol w:w="1488"/>
        <w:gridCol w:w="1488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Август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Сентябрь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 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 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</w:tbl>
    <w:p>
      <w:pPr>
        <w:pStyle w:val="BodyText"/>
      </w:pPr>
      <w:r>
        <w:t xml:space="preserve">Наблюдаемая медиана — 14,5%, ожидаемая — 13,4%; обычные медианы — 14,5% и 14,5%. Различие уточненных оценок связано с интерполяцией внутри интервала.</w:t>
      </w:r>
    </w:p>
    <w:p>
      <w:pPr>
        <w:pStyle w:val="BodyText"/>
      </w:pPr>
      <w:r>
        <w:t xml:space="preserve">ИТС = 83,0, ИПО = 95,5, ИПН = 90,5 пункта; все ниже 100. Изменения к августу: инфляционные медианы +0,2 и -0,3 п. п.; ИТС -4,0, ИПО -0,5, ИПН -2,5 пункта. Изменения ИТС и ИПО однонаправленны.</w:t>
      </w:r>
    </w:p>
    <w:p>
      <w:pPr>
        <w:pStyle w:val="BodyText"/>
      </w:pPr>
      <w:r>
        <w:t xml:space="preserve">Доход рассчитан по 1613 анкетам; обычная медиана 27500,0 руб., уточненная 26164,1 руб. Пропуски исключались отдельно по каждому показателю; группировка влияет на уточненные оценки.</w:t>
      </w:r>
    </w:p>
    <w:p>
      <w:pPr>
        <w:pStyle w:val="BodyText"/>
      </w:pPr>
      <w:r>
        <w:rPr>
          <w:b/>
          <w:bCs/>
        </w:rPr>
        <w:t xml:space="preserve">Различия между опубликованным августом и синтетическим сентябрем нельзя трактовать как реальный сдвиг настроений населения или статистически установленное изменение.</w:t>
      </w:r>
    </w:p>
    <w:bookmarkEnd w:id="51"/>
    <w:bookmarkStart w:id="53" w:name="библиография"/>
    <w:p>
      <w:pPr>
        <w:pStyle w:val="Heading1"/>
      </w:pPr>
      <w:r>
        <w:t xml:space="preserve">Библиография</w:t>
      </w:r>
    </w:p>
    <w:p>
      <w:pPr>
        <w:pStyle w:val="Compact"/>
        <w:numPr>
          <w:ilvl w:val="0"/>
          <w:numId w:val="1001"/>
        </w:numPr>
      </w:pPr>
      <w:r>
        <w:t xml:space="preserve">Методические указания к ЛР №1 «Обработка анкет и описательная статистика в R». НИЯУ МИФИ, 2026.</w:t>
      </w:r>
    </w:p>
    <w:p>
      <w:pPr>
        <w:pStyle w:val="Compact"/>
        <w:numPr>
          <w:ilvl w:val="0"/>
          <w:numId w:val="1001"/>
        </w:numPr>
      </w:pPr>
      <w:r>
        <w:t xml:space="preserve">Индивидуальный файл Маркин.Никита.Алексеевич_Б24-902_Вар95.xlsx, вариант 95, 2000 анкет.</w:t>
      </w:r>
    </w:p>
    <w:p>
      <w:pPr>
        <w:pStyle w:val="Compact"/>
        <w:numPr>
          <w:ilvl w:val="0"/>
          <w:numId w:val="1001"/>
        </w:numPr>
      </w:pPr>
      <w:r>
        <w:t xml:space="preserve">ООО «инФОМ». Измерение инфляционных ожиданий и потребительских настроений. Август 2026, волна 162. С. 10, 14, 20, 74–78. Предоставленный PDF, проверен 18.10.2026.</w:t>
      </w:r>
      <w:r>
        <w:t xml:space="preserve"> </w:t>
      </w:r>
      <w:hyperlink r:id="rId52">
        <w:r>
          <w:rPr>
            <w:rStyle w:val="Hyperlink"/>
          </w:rPr>
          <w:t xml:space="preserve">https://www.cbr.ru/Collection/Collection/File/62282/inFOM_26-08.pdf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Учебные материалы по R: ilovepdf_merged_merged.pdf.</w:t>
      </w:r>
    </w:p>
    <w:bookmarkEnd w:id="53"/>
    <w:sectPr w:rsidR="00FC693F" w:rsidRPr="0006063C" w:rsidSect="00034616">
      <w:footerReference r:id="rId9" w:type="default"/>
      <w:pgSz w:h="16838" w:w="11906"/>
      <w:pgMar w:bottom="1134" w:footer="567" w:gutter="0" w:header="567" w:left="1701" w:right="1134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6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60" w:before="0" w:line="276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60" w:before="120" w:line="276" w:lineRule="auto"/>
      <w:ind w:firstLine="0"/>
      <w:jc w:val="both"/>
      <w:outlineLvl w:val="0"/>
    </w:pPr>
    <w:rPr>
      <w:rFonts w:ascii="Times New Roman" w:cs="Times New Roman" w:cstheme="majorBidi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60" w:before="120" w:line="276" w:lineRule="auto"/>
      <w:ind w:firstLine="0"/>
      <w:jc w:val="both"/>
      <w:outlineLvl w:val="1"/>
    </w:pPr>
    <w:rPr>
      <w:rFonts w:ascii="Times New Roman" w:cs="Times New Roman" w:cstheme="majorBidi" w:eastAsia="Times New Roman" w:hAnsi="Times New Roman"/>
      <w:b/>
      <w:bCs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20" w:line="276" w:lineRule="auto"/>
      <w:ind w:firstLine="0"/>
      <w:jc w:val="both"/>
      <w:outlineLvl w:val="2"/>
    </w:pPr>
    <w:rPr>
      <w:rFonts w:ascii="Times New Roman" w:cs="Times New Roman" w:cstheme="majorBidi" w:eastAsia="Times New Roman" w:hAnsi="Times New Roman"/>
      <w:b/>
      <w:bCs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3"/>
    </w:pPr>
    <w:rPr>
      <w:rFonts w:ascii="Times New Roman" w:cs="Times New Roman" w:cstheme="majorBidi" w:eastAsia="Times New Roman" w:hAnsi="Times New Roman"/>
      <w:b/>
      <w:bCs/>
      <w:i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4"/>
    </w:pPr>
    <w:rPr>
      <w:rFonts w:ascii="Times New Roman" w:cs="Times New Roman" w:cstheme="majorBidi" w:eastAsia="Times New Roman" w:hAnsi="Times New Roman"/>
      <w:color w:val="000000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5"/>
    </w:pPr>
    <w:rPr>
      <w:rFonts w:ascii="Times New Roman" w:cs="Times New Roman" w:cstheme="majorBidi" w:eastAsia="Times New Roman" w:hAnsi="Times New Roman"/>
      <w:i/>
      <w:iCs/>
      <w:color w:val="000000"/>
      <w:sz w:val="28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6"/>
    </w:pPr>
    <w:rPr>
      <w:rFonts w:ascii="Times New Roman" w:cs="Times New Roman" w:cstheme="majorBidi" w:eastAsia="Times New Roman" w:hAnsi="Times New Roman"/>
      <w:i/>
      <w:iCs/>
      <w:color w:val="000000"/>
      <w:sz w:val="28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7"/>
    </w:pPr>
    <w:rPr>
      <w:rFonts w:ascii="Times New Roman" w:cs="Times New Roman" w:cstheme="majorBidi" w:eastAsia="Times New Roman" w:hAnsi="Times New Roman"/>
      <w:color w:val="000000"/>
      <w:sz w:val="2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60" w:before="120" w:line="276" w:lineRule="auto"/>
      <w:outlineLvl w:val="8"/>
    </w:pPr>
    <w:rPr>
      <w:rFonts w:ascii="Times New Roman" w:cs="Times New Roman" w:cstheme="majorBidi" w:eastAsia="Times New Roman" w:hAnsi="Times New Roman"/>
      <w:i/>
      <w:iCs/>
      <w:color w:val="000000"/>
      <w:sz w:val="2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before="0" w:line="276" w:lineRule="auto"/>
      <w:ind w:firstLine="0"/>
      <w:contextualSpacing/>
      <w:jc w:val="center"/>
    </w:pPr>
    <w:rPr>
      <w:rFonts w:ascii="Times New Roman" w:cs="Times New Roman" w:cstheme="majorBidi" w:eastAsia="Times New Roman" w:hAnsi="Times New Roman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before="0" w:line="276" w:lineRule="auto"/>
      <w:ind w:firstLine="0"/>
      <w:jc w:val="center"/>
    </w:pPr>
    <w:rPr>
      <w:rFonts w:ascii="Times New Roman" w:cs="Times New Roman" w:cstheme="majorBidi" w:eastAsia="Times New Roman" w:hAnsi="Times New Roman"/>
      <w:i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60" w:before="0" w:line="276" w:lineRule="auto"/>
      <w:ind w:left="72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6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spacing w:after="60" w:before="0" w:line="276" w:lineRule="auto"/>
      <w:ind w:hanging="360" w:left="36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2" w:type="paragraph">
    <w:name w:val="List 2"/>
    <w:basedOn w:val="Normal"/>
    <w:uiPriority w:val="99"/>
    <w:unhideWhenUsed/>
    <w:rsid w:val="00326F90"/>
    <w:pPr>
      <w:spacing w:after="60" w:before="0" w:line="276" w:lineRule="auto"/>
      <w:ind w:hanging="360" w:left="72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3" w:type="paragraph">
    <w:name w:val="List 3"/>
    <w:basedOn w:val="Normal"/>
    <w:uiPriority w:val="99"/>
    <w:unhideWhenUsed/>
    <w:rsid w:val="00326F90"/>
    <w:pPr>
      <w:spacing w:after="60" w:before="0" w:line="276" w:lineRule="auto"/>
      <w:ind w:hanging="360" w:left="108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before="0" w:line="276" w:lineRule="auto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Continue" w:type="paragraph">
    <w:name w:val="List Continue"/>
    <w:basedOn w:val="Normal"/>
    <w:uiPriority w:val="99"/>
    <w:unhideWhenUsed/>
    <w:rsid w:val="0029639D"/>
    <w:pPr>
      <w:spacing w:after="60" w:before="0" w:line="276" w:lineRule="auto"/>
      <w:ind w:left="36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60" w:before="0" w:line="276" w:lineRule="auto"/>
      <w:ind w:left="72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60" w:before="0" w:line="276" w:lineRule="auto"/>
      <w:ind w:left="1080"/>
      <w:contextualSpacing/>
    </w:pPr>
    <w:rPr>
      <w:rFonts w:ascii="Times New Roman" w:cs="Times New Roman" w:eastAsia="Times New Roman" w:hAnsi="Times New Roman"/>
      <w:color w:val="000000"/>
      <w:sz w:val="28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60" w:before="0" w:line="276" w:lineRule="auto"/>
    </w:pPr>
    <w:rPr>
      <w:rFonts w:ascii="Times New Roman" w:cs="Times New Roman" w:eastAsia="Times New Roman" w:hAnsi="Times New Roman"/>
      <w:color w:val="000000"/>
      <w:sz w:val="2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60" w:before="0" w:line="276" w:lineRule="auto"/>
    </w:pPr>
    <w:rPr>
      <w:rFonts w:ascii="Times New Roman" w:cs="Times New Roman" w:eastAsia="Times New Roman" w:hAnsi="Times New Roman"/>
      <w:i/>
      <w:iCs/>
      <w:color w:val="000000"/>
      <w:sz w:val="28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 w:val="0"/>
      <w:spacing w:after="60" w:before="60" w:line="276" w:lineRule="auto"/>
      <w:ind w:firstLine="0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60" w:before="0" w:line="276" w:lineRule="auto"/>
      <w:ind w:left="936" w:right="936"/>
    </w:pPr>
    <w:rPr>
      <w:rFonts w:ascii="Times New Roman" w:cs="Times New Roman" w:eastAsia="Times New Roman" w:hAnsi="Times New Roman"/>
      <w:b/>
      <w:bCs/>
      <w:i/>
      <w:iCs/>
      <w:color w:val="000000"/>
      <w:sz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60" w:before="0" w:line="276" w:lineRule="auto"/>
      <w:ind w:firstLine="0"/>
      <w:jc w:val="both"/>
      <w:outlineLvl w:val="9"/>
    </w:pPr>
    <w:rPr>
      <w:rFonts w:ascii="Times New Roman" w:cs="Times New Roman" w:eastAsia="Times New Roman" w:hAnsi="Times New Roman"/>
      <w:color w:val="000000"/>
      <w:sz w:val="28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6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basedOn w:val="Normal"/>
    <w:pPr>
      <w:spacing w:after="0" w:before="0" w:line="276" w:lineRule="auto"/>
      <w:ind w:firstLine="0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TableCaption" w:type="paragraph">
    <w:name w:val="Table Caption"/>
    <w:basedOn w:val="Normal"/>
    <w:pPr>
      <w:keepNext/>
      <w:spacing w:after="60" w:before="60" w:line="276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</w:rPr>
  </w:style>
  <w:style w:customStyle="1" w:styleId="ImageCaption" w:type="paragraph">
    <w:name w:val="Image Caption"/>
    <w:basedOn w:val="Normal"/>
    <w:pPr>
      <w:keepNext w:val="0"/>
      <w:spacing w:after="60" w:before="60" w:line="276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hyperlink" Id="rId52" Target="https://www.cbr.ru/Collection/Collection/File/62282/inFOM_26-08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www.cbr.ru/Collection/Collection/File/62282/inFOM_26-08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2026-10-18T19:29:28Z</dcterms:created>
  <dcterms:modified xsi:type="dcterms:W3CDTF">2026-10-18T19:29:28Z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