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2F2433"/>
          <w:sz w:val="52"/>
        </w:rPr>
        <w:t>VantageAI</w:t>
      </w:r>
    </w:p>
    <w:p>
      <w:pPr>
        <w:spacing w:before="0" w:after="360"/>
      </w:pPr>
      <w:r>
        <w:rPr>
          <w:rFonts w:ascii="Arial" w:hAnsi="Arial"/>
          <w:b/>
          <w:color w:val="6E5C73"/>
          <w:sz w:val="28"/>
        </w:rPr>
        <w:t>AI-Powered Role-Based Candidate Screening &amp; Technical Evaluation Engine</w:t>
      </w:r>
    </w:p>
    <w:tbl>
      <w:tblPr>
        <w:tblW w:type="auto" w:w="0"/>
        <w:jc w:val="center"/>
        <w:tblLayout w:type="fixed"/>
        <w:tblLook w:firstColumn="1" w:firstRow="1" w:lastColumn="0" w:lastRow="0" w:noHBand="0" w:noVBand="1" w:val="04A0"/>
      </w:tblPr>
      <w:tblGrid>
        <w:gridCol w:w="4680"/>
        <w:gridCol w:w="4680"/>
      </w:tblGrid>
      <w:tr>
        <w:tc>
          <w:tcPr>
            <w:tcW w:type="dxa" w:w="2592"/>
            <w:shd w:fill="F5ECF7"/>
            <w:tcMar>
              <w:top w:w="60" w:type="dxa"/>
              <w:bottom w:w="60" w:type="dxa"/>
              <w:left w:w="100" w:type="dxa"/>
              <w:right w:w="100" w:type="dxa"/>
            </w:tcMar>
          </w:tcPr>
          <w:p>
            <w:pPr>
              <w:spacing w:before="40" w:after="40"/>
            </w:pPr>
            <w:r>
              <w:rPr>
                <w:rFonts w:ascii="Arial" w:hAnsi="Arial"/>
                <w:b/>
                <w:color w:val="2F2433"/>
                <w:sz w:val="19"/>
              </w:rPr>
              <w:t>Document Type:</w:t>
            </w:r>
          </w:p>
        </w:tc>
        <w:tc>
          <w:tcPr>
            <w:tcW w:type="dxa" w:w="6768"/>
            <w:shd w:fill="FFFFFF"/>
            <w:tcMar>
              <w:top w:w="60" w:type="dxa"/>
              <w:bottom w:w="60" w:type="dxa"/>
              <w:left w:w="100" w:type="dxa"/>
              <w:right w:w="100" w:type="dxa"/>
            </w:tcMar>
          </w:tcPr>
          <w:p>
            <w:pPr>
              <w:spacing w:before="40" w:after="40"/>
            </w:pPr>
            <w:r>
              <w:rPr>
                <w:rFonts w:ascii="Arial" w:hAnsi="Arial"/>
                <w:color w:val="1E1E1E"/>
                <w:sz w:val="19"/>
              </w:rPr>
              <w:t>Project Architecture &amp; System Specification Document</w:t>
            </w:r>
          </w:p>
        </w:tc>
      </w:tr>
      <w:tr>
        <w:tc>
          <w:tcPr>
            <w:tcW w:type="dxa" w:w="2592"/>
            <w:shd w:fill="FAF5FB"/>
            <w:tcMar>
              <w:top w:w="60" w:type="dxa"/>
              <w:bottom w:w="60" w:type="dxa"/>
              <w:left w:w="100" w:type="dxa"/>
              <w:right w:w="100" w:type="dxa"/>
            </w:tcMar>
          </w:tcPr>
          <w:p>
            <w:pPr>
              <w:spacing w:before="40" w:after="40"/>
            </w:pPr>
            <w:r>
              <w:rPr>
                <w:rFonts w:ascii="Arial" w:hAnsi="Arial"/>
                <w:b/>
                <w:color w:val="2F2433"/>
                <w:sz w:val="19"/>
              </w:rPr>
              <w:t>Project Name:</w:t>
            </w:r>
          </w:p>
        </w:tc>
        <w:tc>
          <w:tcPr>
            <w:tcW w:type="dxa" w:w="6768"/>
            <w:shd w:fill="FAF5FB"/>
            <w:tcMar>
              <w:top w:w="60" w:type="dxa"/>
              <w:bottom w:w="60" w:type="dxa"/>
              <w:left w:w="100" w:type="dxa"/>
              <w:right w:w="100" w:type="dxa"/>
            </w:tcMar>
          </w:tcPr>
          <w:p>
            <w:pPr>
              <w:spacing w:before="40" w:after="40"/>
            </w:pPr>
            <w:r>
              <w:rPr>
                <w:rFonts w:ascii="Arial" w:hAnsi="Arial"/>
                <w:color w:val="1E1E1E"/>
                <w:sz w:val="19"/>
              </w:rPr>
              <w:t>VantageAI Technical Screening Engine</w:t>
            </w:r>
          </w:p>
        </w:tc>
      </w:tr>
      <w:tr>
        <w:tc>
          <w:tcPr>
            <w:tcW w:type="dxa" w:w="2592"/>
            <w:shd w:fill="F5ECF7"/>
            <w:tcMar>
              <w:top w:w="60" w:type="dxa"/>
              <w:bottom w:w="60" w:type="dxa"/>
              <w:left w:w="100" w:type="dxa"/>
              <w:right w:w="100" w:type="dxa"/>
            </w:tcMar>
          </w:tcPr>
          <w:p>
            <w:pPr>
              <w:spacing w:before="40" w:after="40"/>
            </w:pPr>
            <w:r>
              <w:rPr>
                <w:rFonts w:ascii="Arial" w:hAnsi="Arial"/>
                <w:b/>
                <w:color w:val="2F2433"/>
                <w:sz w:val="19"/>
              </w:rPr>
              <w:t>Core Stack:</w:t>
            </w:r>
          </w:p>
        </w:tc>
        <w:tc>
          <w:tcPr>
            <w:tcW w:type="dxa" w:w="6768"/>
            <w:shd w:fill="FFFFFF"/>
            <w:tcMar>
              <w:top w:w="60" w:type="dxa"/>
              <w:bottom w:w="60" w:type="dxa"/>
              <w:left w:w="100" w:type="dxa"/>
              <w:right w:w="100" w:type="dxa"/>
            </w:tcMar>
          </w:tcPr>
          <w:p>
            <w:pPr>
              <w:spacing w:before="40" w:after="40"/>
            </w:pPr>
            <w:r>
              <w:rPr>
                <w:rFonts w:ascii="Arial" w:hAnsi="Arial"/>
                <w:color w:val="1E1E1E"/>
                <w:sz w:val="19"/>
              </w:rPr>
              <w:t>FastAPI (Python 3.12), React 18, Vite, Tailwind CSS, SQLite / SQLAlchemy, RAG Pipeline</w:t>
            </w:r>
          </w:p>
        </w:tc>
      </w:tr>
      <w:tr>
        <w:tc>
          <w:tcPr>
            <w:tcW w:type="dxa" w:w="2592"/>
            <w:shd w:fill="FAF5FB"/>
            <w:tcMar>
              <w:top w:w="60" w:type="dxa"/>
              <w:bottom w:w="60" w:type="dxa"/>
              <w:left w:w="100" w:type="dxa"/>
              <w:right w:w="100" w:type="dxa"/>
            </w:tcMar>
          </w:tcPr>
          <w:p>
            <w:pPr>
              <w:spacing w:before="40" w:after="40"/>
            </w:pPr>
            <w:r>
              <w:rPr>
                <w:rFonts w:ascii="Arial" w:hAnsi="Arial"/>
                <w:b/>
                <w:color w:val="2F2433"/>
                <w:sz w:val="19"/>
              </w:rPr>
              <w:t>Specification Version:</w:t>
            </w:r>
          </w:p>
        </w:tc>
        <w:tc>
          <w:tcPr>
            <w:tcW w:type="dxa" w:w="6768"/>
            <w:shd w:fill="FAF5FB"/>
            <w:tcMar>
              <w:top w:w="60" w:type="dxa"/>
              <w:bottom w:w="60" w:type="dxa"/>
              <w:left w:w="100" w:type="dxa"/>
              <w:right w:w="100" w:type="dxa"/>
            </w:tcMar>
          </w:tcPr>
          <w:p>
            <w:pPr>
              <w:spacing w:before="40" w:after="40"/>
            </w:pPr>
            <w:r>
              <w:rPr>
                <w:rFonts w:ascii="Arial" w:hAnsi="Arial"/>
                <w:color w:val="1E1E1E"/>
                <w:sz w:val="19"/>
              </w:rPr>
              <w:t>1.0.0 (Production Release)</w:t>
            </w:r>
          </w:p>
        </w:tc>
      </w:tr>
    </w:tbl>
    <w:p>
      <w:pPr>
        <w:spacing w:after="240"/>
      </w:pPr>
    </w:p>
    <w:p>
      <w:pPr>
        <w:keepNext/>
        <w:spacing w:before="320" w:after="120"/>
      </w:pPr>
      <w:r>
        <w:rPr>
          <w:rFonts w:ascii="Arial" w:hAnsi="Arial"/>
          <w:b/>
          <w:color w:val="2F2433"/>
          <w:sz w:val="28"/>
        </w:rPr>
        <w:t>1. Executive Summary &amp; Problem Formulation</w:t>
      </w:r>
    </w:p>
    <w:p>
      <w:pPr>
        <w:spacing w:before="40" w:after="100" w:line="276" w:lineRule="auto"/>
      </w:pPr>
      <w:r>
        <w:rPr>
          <w:rFonts w:ascii="Arial" w:hAnsi="Arial"/>
          <w:color w:val="1E1E1E"/>
          <w:sz w:val="20"/>
        </w:rPr>
        <w:t>Modern technical hiring frequently suffers from two distinct failure modes: standardized multiple-choice or competitive coding platforms that test rote memorization rather than applied architecture, and unstructured technical interviews that introduce significant interviewer subjectivity and lack standardized grading rubrics.</w:t>
      </w:r>
    </w:p>
    <w:p>
      <w:pPr>
        <w:spacing w:before="40" w:after="100" w:line="276" w:lineRule="auto"/>
      </w:pPr>
      <w:r>
        <w:rPr>
          <w:rFonts w:ascii="Arial" w:hAnsi="Arial"/>
          <w:b/>
          <w:color w:val="2F2433"/>
          <w:sz w:val="20"/>
        </w:rPr>
        <w:t xml:space="preserve">Core Value Proposition: </w:t>
      </w:r>
      <w:r>
        <w:rPr>
          <w:rFonts w:ascii="Arial" w:hAnsi="Arial"/>
          <w:color w:val="1E1E1E"/>
          <w:sz w:val="20"/>
        </w:rPr>
        <w:t>VantageAI is an end-to-end, AI-powered candidate technical screening and evaluation engine designed to conduct structured, multi-turn technical assessments. Rather than querying static question banks or indiscriminate web search results, VantageAI dynamically synthesizes interview questions and ground-truth evaluation rubrics by intersecting three distinct inputs:</w:t>
      </w:r>
    </w:p>
    <w:p>
      <w:pPr>
        <w:pStyle w:val="ListBullet"/>
        <w:spacing w:before="20" w:after="60" w:line="276" w:lineRule="auto"/>
      </w:pPr>
      <w:r>
        <w:rPr>
          <w:rFonts w:ascii="Arial" w:hAnsi="Arial"/>
          <w:b/>
          <w:color w:val="2F2433"/>
          <w:sz w:val="19"/>
        </w:rPr>
        <w:t xml:space="preserve">1. Candidate Profile: </w:t>
      </w:r>
      <w:r>
        <w:rPr>
          <w:rFonts w:ascii="Arial" w:hAnsi="Arial"/>
          <w:color w:val="1E1E1E"/>
          <w:sz w:val="19"/>
        </w:rPr>
        <w:t>Extracted technical skills, frameworks, and experience metrics from parsed PDF/text resumes.</w:t>
      </w:r>
    </w:p>
    <w:p>
      <w:pPr>
        <w:pStyle w:val="ListBullet"/>
        <w:spacing w:before="20" w:after="60" w:line="276" w:lineRule="auto"/>
      </w:pPr>
      <w:r>
        <w:rPr>
          <w:rFonts w:ascii="Arial" w:hAnsi="Arial"/>
          <w:b/>
          <w:color w:val="2F2433"/>
          <w:sz w:val="19"/>
        </w:rPr>
        <w:t xml:space="preserve">2. Selected Engineering Role: </w:t>
      </w:r>
      <w:r>
        <w:rPr>
          <w:rFonts w:ascii="Arial" w:hAnsi="Arial"/>
          <w:color w:val="1E1E1E"/>
          <w:sz w:val="19"/>
        </w:rPr>
        <w:t>Specialized tracks spanning AI/ML Systems, Applied Data Science, Distributed Backend Architecture, and Theoretical ML.</w:t>
      </w:r>
    </w:p>
    <w:p>
      <w:pPr>
        <w:pStyle w:val="ListBullet"/>
        <w:spacing w:before="20" w:after="60" w:line="276" w:lineRule="auto"/>
      </w:pPr>
      <w:r>
        <w:rPr>
          <w:rFonts w:ascii="Arial" w:hAnsi="Arial"/>
          <w:b/>
          <w:color w:val="2F2433"/>
          <w:sz w:val="19"/>
        </w:rPr>
        <w:t xml:space="preserve">3. Grounded Knowledge Base: </w:t>
      </w:r>
      <w:r>
        <w:rPr>
          <w:rFonts w:ascii="Arial" w:hAnsi="Arial"/>
          <w:color w:val="1E1E1E"/>
          <w:sz w:val="19"/>
        </w:rPr>
        <w:t>Authoritative classical textbooks (Tom Mitchell, Burkov, Jason Brownlee, Christopher Bishop, and High-Scale Systems Architecture) indexed via an in-memory RAG pipeline.</w:t>
      </w:r>
    </w:p>
    <w:p>
      <w:pPr>
        <w:keepNext/>
        <w:spacing w:before="320" w:after="120"/>
      </w:pPr>
      <w:r>
        <w:rPr>
          <w:rFonts w:ascii="Arial" w:hAnsi="Arial"/>
          <w:b/>
          <w:color w:val="2F2433"/>
          <w:sz w:val="28"/>
        </w:rPr>
        <w:t>2. High-Level System Architecture</w:t>
      </w:r>
    </w:p>
    <w:p>
      <w:pPr>
        <w:spacing w:before="40" w:after="100" w:line="276" w:lineRule="auto"/>
      </w:pPr>
      <w:r>
        <w:rPr>
          <w:rFonts w:ascii="Arial" w:hAnsi="Arial"/>
          <w:color w:val="1E1E1E"/>
          <w:sz w:val="20"/>
        </w:rPr>
        <w:t>The system follows a clean modular service-oriented architecture with strict separation of concerns across the presentation layer, REST API gateway, domain service layer, and persistence/knowledge tiers.</w:t>
      </w:r>
    </w:p>
    <w:p>
      <w:pPr>
        <w:keepNext/>
        <w:spacing w:before="240" w:after="80"/>
      </w:pPr>
      <w:r>
        <w:rPr>
          <w:rFonts w:ascii="Arial" w:hAnsi="Arial"/>
          <w:b/>
          <w:color w:val="6E5C73"/>
          <w:sz w:val="23"/>
        </w:rPr>
        <w:t>Architecture Tier Breakdown</w:t>
      </w:r>
    </w:p>
    <w:p>
      <w:pPr>
        <w:pStyle w:val="ListBullet"/>
        <w:spacing w:before="20" w:after="60" w:line="276" w:lineRule="auto"/>
      </w:pPr>
      <w:r>
        <w:rPr>
          <w:rFonts w:ascii="Arial" w:hAnsi="Arial"/>
          <w:b/>
          <w:color w:val="2F2433"/>
          <w:sz w:val="19"/>
        </w:rPr>
        <w:t xml:space="preserve">Presentation Layer: </w:t>
      </w:r>
      <w:r>
        <w:rPr>
          <w:rFonts w:ascii="Arial" w:hAnsi="Arial"/>
          <w:color w:val="1E1E1E"/>
          <w:sz w:val="19"/>
        </w:rPr>
        <w:t>React 18 single-page application built on Vite and styled with Tailwind CSS. Features role selection, resume dropzones, an interactive screening studio with live feedback, and comprehensive evaluation scorecard reporting.</w:t>
      </w:r>
    </w:p>
    <w:p>
      <w:pPr>
        <w:pStyle w:val="ListBullet"/>
        <w:spacing w:before="20" w:after="60" w:line="276" w:lineRule="auto"/>
      </w:pPr>
      <w:r>
        <w:rPr>
          <w:rFonts w:ascii="Arial" w:hAnsi="Arial"/>
          <w:b/>
          <w:color w:val="2F2433"/>
          <w:sz w:val="19"/>
        </w:rPr>
        <w:t xml:space="preserve">API &amp; Routing Gateway: </w:t>
      </w:r>
      <w:r>
        <w:rPr>
          <w:rFonts w:ascii="Arial" w:hAnsi="Arial"/>
          <w:color w:val="1E1E1E"/>
          <w:sz w:val="19"/>
        </w:rPr>
        <w:t>FastAPI service providing asynchronous request routing, Pydantic v2 request/response validation, dependency-injected database sessions, and auto-generated OpenAPI 3.1 documentation.</w:t>
      </w:r>
    </w:p>
    <w:p>
      <w:pPr>
        <w:pStyle w:val="ListBullet"/>
        <w:spacing w:before="20" w:after="60" w:line="276" w:lineRule="auto"/>
      </w:pPr>
      <w:r>
        <w:rPr>
          <w:rFonts w:ascii="Arial" w:hAnsi="Arial"/>
          <w:b/>
          <w:color w:val="2F2433"/>
          <w:sz w:val="19"/>
        </w:rPr>
        <w:t xml:space="preserve">Core Domain Services: </w:t>
      </w:r>
      <w:r>
        <w:rPr>
          <w:rFonts w:ascii="Arial" w:hAnsi="Arial"/>
          <w:color w:val="1E1E1E"/>
          <w:sz w:val="19"/>
        </w:rPr>
        <w:t>Dedicated business logic services comprising ResumeParserService, RAGService, InterviewEngine, EvaluationService, and the unified LLMProvider abstraction.</w:t>
      </w:r>
    </w:p>
    <w:p>
      <w:pPr>
        <w:pStyle w:val="ListBullet"/>
        <w:spacing w:before="20" w:after="60" w:line="276" w:lineRule="auto"/>
      </w:pPr>
      <w:r>
        <w:rPr>
          <w:rFonts w:ascii="Arial" w:hAnsi="Arial"/>
          <w:b/>
          <w:color w:val="2F2433"/>
          <w:sz w:val="19"/>
        </w:rPr>
        <w:t xml:space="preserve">Data &amp; Knowledge Persistence: </w:t>
      </w:r>
      <w:r>
        <w:rPr>
          <w:rFonts w:ascii="Arial" w:hAnsi="Arial"/>
          <w:color w:val="1E1E1E"/>
          <w:sz w:val="19"/>
        </w:rPr>
        <w:t>Relational persistence managed via SQLAlchemy 2.0 ORM over SQLite with multi-threaded connection pooling; document knowledge base indexed via in-memory TF-IDF vector representations.</w:t>
      </w:r>
    </w:p>
    <w:p>
      <w:pPr>
        <w:keepNext/>
        <w:spacing w:before="320" w:after="120"/>
      </w:pPr>
      <w:r>
        <w:rPr>
          <w:rFonts w:ascii="Arial" w:hAnsi="Arial"/>
          <w:b/>
          <w:color w:val="2F2433"/>
          <w:sz w:val="28"/>
        </w:rPr>
        <w:t>3. Retrieval-Augmented Generation (RAG) Architecture</w:t>
      </w:r>
    </w:p>
    <w:p>
      <w:pPr>
        <w:spacing w:before="40" w:after="100" w:line="276" w:lineRule="auto"/>
      </w:pPr>
      <w:r>
        <w:rPr>
          <w:rFonts w:ascii="Arial" w:hAnsi="Arial"/>
          <w:color w:val="1E1E1E"/>
          <w:sz w:val="20"/>
        </w:rPr>
        <w:t>The RAG subsystem grounds the interview process in authoritative literature, ensuring that generated questions and grading rubrics adhere strictly to classical engineering principles rather than probabilistic hallucinations.</w:t>
      </w:r>
    </w:p>
    <w:p>
      <w:pPr>
        <w:keepNext/>
        <w:spacing w:before="240" w:after="80"/>
      </w:pPr>
      <w:r>
        <w:rPr>
          <w:rFonts w:ascii="Arial" w:hAnsi="Arial"/>
          <w:b/>
          <w:color w:val="6E5C73"/>
          <w:sz w:val="23"/>
        </w:rPr>
        <w:t>1. Curated Role-Specific Knowledge Corpora</w:t>
      </w:r>
    </w:p>
    <w:p>
      <w:pPr>
        <w:spacing w:before="40" w:after="100" w:line="276" w:lineRule="auto"/>
      </w:pPr>
      <w:r>
        <w:rPr>
          <w:rFonts w:ascii="Arial" w:hAnsi="Arial"/>
          <w:color w:val="1E1E1E"/>
          <w:sz w:val="20"/>
        </w:rPr>
        <w:t>The knowledge base partitions technical literature into four canonical engineering domains:</w:t>
      </w:r>
    </w:p>
    <w:tbl>
      <w:tblPr>
        <w:tblW w:type="auto" w:w="0"/>
        <w:jc w:val="center"/>
        <w:tblLayout w:type="fixed"/>
        <w:tblLook w:firstColumn="1" w:firstRow="1" w:lastColumn="0" w:lastRow="0" w:noHBand="0" w:noVBand="1" w:val="04A0"/>
      </w:tblPr>
      <w:tblGrid>
        <w:gridCol w:w="2592"/>
        <w:gridCol w:w="3168"/>
        <w:gridCol w:w="3600"/>
      </w:tblGrid>
      <w:tr>
        <w:tc>
          <w:tcPr>
            <w:tcW w:type="dxa" w:w="3120"/>
            <w:shd w:fill="2F2433"/>
            <w:tcMar>
              <w:top w:w="80" w:type="dxa"/>
              <w:bottom w:w="80" w:type="dxa"/>
              <w:left w:w="100" w:type="dxa"/>
              <w:right w:w="100" w:type="dxa"/>
            </w:tcMar>
          </w:tcPr>
          <w:p>
            <w:r>
              <w:rPr>
                <w:b/>
                <w:color w:val="FFFFFF"/>
                <w:sz w:val="18"/>
              </w:rPr>
              <w:t>Engineering Role</w:t>
            </w:r>
          </w:p>
        </w:tc>
        <w:tc>
          <w:tcPr>
            <w:tcW w:type="dxa" w:w="3120"/>
            <w:shd w:fill="2F2433"/>
            <w:tcMar>
              <w:top w:w="80" w:type="dxa"/>
              <w:bottom w:w="80" w:type="dxa"/>
              <w:left w:w="100" w:type="dxa"/>
              <w:right w:w="100" w:type="dxa"/>
            </w:tcMar>
          </w:tcPr>
          <w:p>
            <w:r>
              <w:rPr>
                <w:b/>
                <w:color w:val="FFFFFF"/>
                <w:sz w:val="18"/>
              </w:rPr>
              <w:t>Primary Grounding Textbooks</w:t>
            </w:r>
          </w:p>
        </w:tc>
        <w:tc>
          <w:tcPr>
            <w:tcW w:type="dxa" w:w="3120"/>
            <w:shd w:fill="2F2433"/>
            <w:tcMar>
              <w:top w:w="80" w:type="dxa"/>
              <w:bottom w:w="80" w:type="dxa"/>
              <w:left w:w="100" w:type="dxa"/>
              <w:right w:w="100" w:type="dxa"/>
            </w:tcMar>
          </w:tcPr>
          <w:p>
            <w:r>
              <w:rPr>
                <w:b/>
                <w:color w:val="FFFFFF"/>
                <w:sz w:val="18"/>
              </w:rPr>
              <w:t>Core Technical Scope</w:t>
            </w:r>
          </w:p>
        </w:tc>
      </w:tr>
      <w:tr>
        <w:tc>
          <w:tcPr>
            <w:tcW w:type="dxa" w:w="3120"/>
            <w:shd w:fill="FAF5FB"/>
            <w:tcMar>
              <w:top w:w="60" w:type="dxa"/>
              <w:bottom w:w="60" w:type="dxa"/>
              <w:left w:w="80" w:type="dxa"/>
              <w:right w:w="80" w:type="dxa"/>
            </w:tcMar>
          </w:tcPr>
          <w:p>
            <w:pPr>
              <w:spacing w:before="40" w:after="40"/>
            </w:pPr>
            <w:r>
              <w:rPr>
                <w:rFonts w:ascii="Arial" w:hAnsi="Arial"/>
                <w:sz w:val="17"/>
              </w:rPr>
              <w:t>AI / Machine Learning Engineer</w:t>
            </w:r>
          </w:p>
        </w:tc>
        <w:tc>
          <w:tcPr>
            <w:tcW w:type="dxa" w:w="3120"/>
            <w:shd w:fill="FAF5FB"/>
            <w:tcMar>
              <w:top w:w="60" w:type="dxa"/>
              <w:bottom w:w="60" w:type="dxa"/>
              <w:left w:w="80" w:type="dxa"/>
              <w:right w:w="80" w:type="dxa"/>
            </w:tcMar>
          </w:tcPr>
          <w:p>
            <w:pPr>
              <w:spacing w:before="40" w:after="40"/>
            </w:pPr>
            <w:r>
              <w:rPr>
                <w:rFonts w:ascii="Arial" w:hAnsi="Arial"/>
                <w:sz w:val="17"/>
              </w:rPr>
              <w:t>Machine Learning (Tom Mitchell)</w:t>
              <w:br/>
              <w:t>The Hundred-Page Machine Learning Book (Burkov)</w:t>
            </w:r>
          </w:p>
        </w:tc>
        <w:tc>
          <w:tcPr>
            <w:tcW w:type="dxa" w:w="3120"/>
            <w:shd w:fill="FAF5FB"/>
            <w:tcMar>
              <w:top w:w="60" w:type="dxa"/>
              <w:bottom w:w="60" w:type="dxa"/>
              <w:left w:w="80" w:type="dxa"/>
              <w:right w:w="80" w:type="dxa"/>
            </w:tcMar>
          </w:tcPr>
          <w:p>
            <w:pPr>
              <w:spacing w:before="40" w:after="40"/>
            </w:pPr>
            <w:r>
              <w:rPr>
                <w:rFonts w:ascii="Arial" w:hAnsi="Arial"/>
                <w:sz w:val="17"/>
              </w:rPr>
              <w:t>Entropy, Information Gain, Backpropagation, Sigmoid vs ReLU, L1/L2 Regularization, SVM Kernels, Bellman Optimality</w:t>
            </w:r>
          </w:p>
        </w:tc>
      </w:tr>
      <w:tr>
        <w:tc>
          <w:tcPr>
            <w:tcW w:type="dxa" w:w="3120"/>
            <w:shd w:fill="FFFFFF"/>
            <w:tcMar>
              <w:top w:w="60" w:type="dxa"/>
              <w:bottom w:w="60" w:type="dxa"/>
              <w:left w:w="80" w:type="dxa"/>
              <w:right w:w="80" w:type="dxa"/>
            </w:tcMar>
          </w:tcPr>
          <w:p>
            <w:pPr>
              <w:spacing w:before="40" w:after="40"/>
            </w:pPr>
            <w:r>
              <w:rPr>
                <w:rFonts w:ascii="Arial" w:hAnsi="Arial"/>
                <w:sz w:val="17"/>
              </w:rPr>
              <w:t>Data Science / Applied ML</w:t>
            </w:r>
          </w:p>
        </w:tc>
        <w:tc>
          <w:tcPr>
            <w:tcW w:type="dxa" w:w="3120"/>
            <w:shd w:fill="FFFFFF"/>
            <w:tcMar>
              <w:top w:w="60" w:type="dxa"/>
              <w:bottom w:w="60" w:type="dxa"/>
              <w:left w:w="80" w:type="dxa"/>
              <w:right w:w="80" w:type="dxa"/>
            </w:tcMar>
          </w:tcPr>
          <w:p>
            <w:pPr>
              <w:spacing w:before="40" w:after="40"/>
            </w:pPr>
            <w:r>
              <w:rPr>
                <w:rFonts w:ascii="Arial" w:hAnsi="Arial"/>
                <w:sz w:val="17"/>
              </w:rPr>
              <w:t>Master Machine Learning Algorithms (Jason Brownlee)</w:t>
              <w:br/>
              <w:t>Applied Python ML Workflows</w:t>
            </w:r>
          </w:p>
        </w:tc>
        <w:tc>
          <w:tcPr>
            <w:tcW w:type="dxa" w:w="3120"/>
            <w:shd w:fill="FFFFFF"/>
            <w:tcMar>
              <w:top w:w="60" w:type="dxa"/>
              <w:bottom w:w="60" w:type="dxa"/>
              <w:left w:w="80" w:type="dxa"/>
              <w:right w:w="80" w:type="dxa"/>
            </w:tcMar>
          </w:tcPr>
          <w:p>
            <w:pPr>
              <w:spacing w:before="40" w:after="40"/>
            </w:pPr>
            <w:r>
              <w:rPr>
                <w:rFonts w:ascii="Arial" w:hAnsi="Arial"/>
                <w:sz w:val="17"/>
              </w:rPr>
              <w:t>Data Leakage Prevention, SMOTE &amp; Class Imbalance, GBDT vs Random Forest, Model Drift (PSI/KS-Test), Odds Ratios</w:t>
            </w:r>
          </w:p>
        </w:tc>
      </w:tr>
      <w:tr>
        <w:tc>
          <w:tcPr>
            <w:tcW w:type="dxa" w:w="3120"/>
            <w:shd w:fill="FAF5FB"/>
            <w:tcMar>
              <w:top w:w="60" w:type="dxa"/>
              <w:bottom w:w="60" w:type="dxa"/>
              <w:left w:w="80" w:type="dxa"/>
              <w:right w:w="80" w:type="dxa"/>
            </w:tcMar>
          </w:tcPr>
          <w:p>
            <w:pPr>
              <w:spacing w:before="40" w:after="40"/>
            </w:pPr>
            <w:r>
              <w:rPr>
                <w:rFonts w:ascii="Arial" w:hAnsi="Arial"/>
                <w:sz w:val="17"/>
              </w:rPr>
              <w:t>Backend &amp; Distributed Systems</w:t>
            </w:r>
          </w:p>
        </w:tc>
        <w:tc>
          <w:tcPr>
            <w:tcW w:type="dxa" w:w="3120"/>
            <w:shd w:fill="FAF5FB"/>
            <w:tcMar>
              <w:top w:w="60" w:type="dxa"/>
              <w:bottom w:w="60" w:type="dxa"/>
              <w:left w:w="80" w:type="dxa"/>
              <w:right w:w="80" w:type="dxa"/>
            </w:tcMar>
          </w:tcPr>
          <w:p>
            <w:pPr>
              <w:spacing w:before="40" w:after="40"/>
            </w:pPr>
            <w:r>
              <w:rPr>
                <w:rFonts w:ascii="Arial" w:hAnsi="Arial"/>
                <w:sz w:val="17"/>
              </w:rPr>
              <w:t>High-Scale Distributed Systems Architecture</w:t>
              <w:br/>
              <w:t>API Architecture, Concurrency &amp; Security Engineering</w:t>
            </w:r>
          </w:p>
        </w:tc>
        <w:tc>
          <w:tcPr>
            <w:tcW w:type="dxa" w:w="3120"/>
            <w:shd w:fill="FAF5FB"/>
            <w:tcMar>
              <w:top w:w="60" w:type="dxa"/>
              <w:bottom w:w="60" w:type="dxa"/>
              <w:left w:w="80" w:type="dxa"/>
              <w:right w:w="80" w:type="dxa"/>
            </w:tcMar>
          </w:tcPr>
          <w:p>
            <w:pPr>
              <w:spacing w:before="40" w:after="40"/>
            </w:pPr>
            <w:r>
              <w:rPr>
                <w:rFonts w:ascii="Arial" w:hAnsi="Arial"/>
                <w:sz w:val="17"/>
              </w:rPr>
              <w:t>Cache-Aside &amp; Invalidation, AsyncIO Event Loop vs ProcessPool, Sharding &amp; Consistent Hashing, SAGA Pattern, Rate Limiting</w:t>
            </w:r>
          </w:p>
        </w:tc>
      </w:tr>
      <w:tr>
        <w:tc>
          <w:tcPr>
            <w:tcW w:type="dxa" w:w="3120"/>
            <w:shd w:fill="FFFFFF"/>
            <w:tcMar>
              <w:top w:w="60" w:type="dxa"/>
              <w:bottom w:w="60" w:type="dxa"/>
              <w:left w:w="80" w:type="dxa"/>
              <w:right w:w="80" w:type="dxa"/>
            </w:tcMar>
          </w:tcPr>
          <w:p>
            <w:pPr>
              <w:spacing w:before="40" w:after="40"/>
            </w:pPr>
            <w:r>
              <w:rPr>
                <w:rFonts w:ascii="Arial" w:hAnsi="Arial"/>
                <w:sz w:val="17"/>
              </w:rPr>
              <w:t>Theoretical ML &amp; Statistical Foundations</w:t>
            </w:r>
          </w:p>
        </w:tc>
        <w:tc>
          <w:tcPr>
            <w:tcW w:type="dxa" w:w="3120"/>
            <w:shd w:fill="FFFFFF"/>
            <w:tcMar>
              <w:top w:w="60" w:type="dxa"/>
              <w:bottom w:w="60" w:type="dxa"/>
              <w:left w:w="80" w:type="dxa"/>
              <w:right w:w="80" w:type="dxa"/>
            </w:tcMar>
          </w:tcPr>
          <w:p>
            <w:pPr>
              <w:spacing w:before="40" w:after="40"/>
            </w:pPr>
            <w:r>
              <w:rPr>
                <w:rFonts w:ascii="Arial" w:hAnsi="Arial"/>
                <w:sz w:val="17"/>
              </w:rPr>
              <w:t>Pattern Recognition &amp; ML (Christopher Bishop)</w:t>
              <w:br/>
              <w:t>Deep Learning Theory &amp; Transformer Architecture</w:t>
            </w:r>
          </w:p>
        </w:tc>
        <w:tc>
          <w:tcPr>
            <w:tcW w:type="dxa" w:w="3120"/>
            <w:shd w:fill="FFFFFF"/>
            <w:tcMar>
              <w:top w:w="60" w:type="dxa"/>
              <w:bottom w:w="60" w:type="dxa"/>
              <w:left w:w="80" w:type="dxa"/>
              <w:right w:w="80" w:type="dxa"/>
            </w:tcMar>
          </w:tcPr>
          <w:p>
            <w:pPr>
              <w:spacing w:before="40" w:after="40"/>
            </w:pPr>
            <w:r>
              <w:rPr>
                <w:rFonts w:ascii="Arial" w:hAnsi="Arial"/>
                <w:sz w:val="17"/>
              </w:rPr>
              <w:t>Bayesian Conjugacy, EM Algorithm Intractability, Scaled Dot-Product Attention, PCA Eigen-Derivations, AdamW Weight Decay</w:t>
            </w:r>
          </w:p>
        </w:tc>
      </w:tr>
    </w:tbl>
    <w:p>
      <w:pPr>
        <w:spacing w:after="120"/>
      </w:pPr>
    </w:p>
    <w:p>
      <w:pPr>
        <w:keepNext/>
        <w:spacing w:before="240" w:after="80"/>
      </w:pPr>
      <w:r>
        <w:rPr>
          <w:rFonts w:ascii="Arial" w:hAnsi="Arial"/>
          <w:b/>
          <w:color w:val="6E5C73"/>
          <w:sz w:val="23"/>
        </w:rPr>
        <w:t>2. Semantic Chunking Strategy</w:t>
      </w:r>
    </w:p>
    <w:p>
      <w:pPr>
        <w:spacing w:before="40" w:after="100" w:line="276" w:lineRule="auto"/>
      </w:pPr>
      <w:r>
        <w:rPr>
          <w:rFonts w:ascii="Arial" w:hAnsi="Arial"/>
          <w:b/>
          <w:color w:val="2F2433"/>
          <w:sz w:val="20"/>
        </w:rPr>
        <w:t xml:space="preserve">Header-Preserving Semantic Slicing: </w:t>
      </w:r>
      <w:r>
        <w:rPr>
          <w:rFonts w:ascii="Arial" w:hAnsi="Arial"/>
          <w:color w:val="1E1E1E"/>
          <w:sz w:val="20"/>
        </w:rPr>
        <w:t>Naive fixed-character chunking frequently fractures mathematical formulas, code samples, and conceptual derivations across chunk boundaries. VantageAI utilizes a two-tier semantic chunker:</w:t>
      </w:r>
    </w:p>
    <w:p>
      <w:pPr>
        <w:pStyle w:val="ListBullet"/>
        <w:spacing w:before="20" w:after="60" w:line="276" w:lineRule="auto"/>
      </w:pPr>
      <w:r>
        <w:rPr>
          <w:rFonts w:ascii="Arial" w:hAnsi="Arial"/>
          <w:b/>
          <w:color w:val="2F2433"/>
          <w:sz w:val="19"/>
        </w:rPr>
        <w:t xml:space="preserve">Boundary Splitting: </w:t>
      </w:r>
      <w:r>
        <w:rPr>
          <w:rFonts w:ascii="Arial" w:hAnsi="Arial"/>
          <w:color w:val="1E1E1E"/>
          <w:sz w:val="19"/>
        </w:rPr>
        <w:t>The ingestion pipeline first splits documents along markdown structural boundaries (# Chapter, ## Section), ensuring that conceptual topics remain intact.</w:t>
      </w:r>
    </w:p>
    <w:p>
      <w:pPr>
        <w:pStyle w:val="ListBullet"/>
        <w:spacing w:before="20" w:after="60" w:line="276" w:lineRule="auto"/>
      </w:pPr>
      <w:r>
        <w:rPr>
          <w:rFonts w:ascii="Arial" w:hAnsi="Arial"/>
          <w:b/>
          <w:color w:val="2F2433"/>
          <w:sz w:val="19"/>
        </w:rPr>
        <w:t xml:space="preserve">Sliding Window Sub-Chunking: </w:t>
      </w:r>
      <w:r>
        <w:rPr>
          <w:rFonts w:ascii="Arial" w:hAnsi="Arial"/>
          <w:color w:val="1E1E1E"/>
          <w:sz w:val="19"/>
        </w:rPr>
        <w:t>Sections exceeding the target window are divided into sub-chunks of 450 words with an 80-word overlap, preventing context loss at chunk edges.</w:t>
      </w:r>
    </w:p>
    <w:p>
      <w:pPr>
        <w:pStyle w:val="ListBullet"/>
        <w:spacing w:before="20" w:after="60" w:line="276" w:lineRule="auto"/>
      </w:pPr>
      <w:r>
        <w:rPr>
          <w:rFonts w:ascii="Arial" w:hAnsi="Arial"/>
          <w:b/>
          <w:color w:val="2F2433"/>
          <w:sz w:val="19"/>
        </w:rPr>
        <w:t xml:space="preserve">Metadata Preservation: </w:t>
      </w:r>
      <w:r>
        <w:rPr>
          <w:rFonts w:ascii="Arial" w:hAnsi="Arial"/>
          <w:color w:val="1E1E1E"/>
          <w:sz w:val="19"/>
        </w:rPr>
        <w:t>Each chunk permanently retains metadata including chunk_id, source_book, chapter_title, and word_count for complete citation traceability.</w:t>
      </w:r>
    </w:p>
    <w:p>
      <w:pPr>
        <w:keepNext/>
        <w:spacing w:before="240" w:after="80"/>
      </w:pPr>
      <w:r>
        <w:rPr>
          <w:rFonts w:ascii="Arial" w:hAnsi="Arial"/>
          <w:b/>
          <w:color w:val="6E5C73"/>
          <w:sz w:val="23"/>
        </w:rPr>
        <w:t>3. Inverted TF-IDF Matrix &amp; Cosine Similarity Lookup</w:t>
      </w:r>
    </w:p>
    <w:p>
      <w:pPr>
        <w:spacing w:before="40" w:after="100" w:line="276" w:lineRule="auto"/>
      </w:pPr>
      <w:r>
        <w:rPr>
          <w:rFonts w:ascii="Arial" w:hAnsi="Arial"/>
          <w:color w:val="1E1E1E"/>
          <w:sz w:val="20"/>
        </w:rPr>
        <w:t>For curated authoritative literature, an in-memory inverted TF-IDF term matrix with cosine similarity offers substantial advantages over heavy external embedding models: sub-millisecond retrieval speeds, zero runtime API costs, zero external network failure modes, and exact keyword precision for mathematical terminology (e.g. SplitInformation, C4.5, SAGA, AdamW). The retrieval interface is decoupled, enabling seamless migration to pgvector or dedicated vector databases when scaling to millions of documents.</w:t>
      </w:r>
    </w:p>
    <w:p>
      <w:pPr>
        <w:keepNext/>
        <w:spacing w:before="320" w:after="120"/>
      </w:pPr>
      <w:r>
        <w:rPr>
          <w:rFonts w:ascii="Arial" w:hAnsi="Arial"/>
          <w:b/>
          <w:color w:val="2F2433"/>
          <w:sz w:val="28"/>
        </w:rPr>
        <w:t>4. Screening Engine &amp; Multi-Dimensional Evaluation</w:t>
      </w:r>
    </w:p>
    <w:p>
      <w:pPr>
        <w:keepNext/>
        <w:spacing w:before="240" w:after="80"/>
      </w:pPr>
      <w:r>
        <w:rPr>
          <w:rFonts w:ascii="Arial" w:hAnsi="Arial"/>
          <w:b/>
          <w:color w:val="6E5C73"/>
          <w:sz w:val="23"/>
        </w:rPr>
        <w:t>Multi-Turn State Progression</w:t>
      </w:r>
    </w:p>
    <w:p>
      <w:pPr>
        <w:spacing w:before="40" w:after="100" w:line="276" w:lineRule="auto"/>
      </w:pPr>
      <w:r>
        <w:rPr>
          <w:rFonts w:ascii="Arial" w:hAnsi="Arial"/>
          <w:color w:val="1E1E1E"/>
          <w:sz w:val="20"/>
        </w:rPr>
        <w:t>The InterviewEngine enforces a deterministic state machine managing the screening lifecycle from initialization to final report synthesis. When a candidate submits a response, the system records granular score attributes, advances the session index, and retrieves the next adaptive question.</w:t>
      </w:r>
    </w:p>
    <w:p>
      <w:pPr>
        <w:keepNext/>
        <w:spacing w:before="240" w:after="80"/>
      </w:pPr>
      <w:r>
        <w:rPr>
          <w:rFonts w:ascii="Arial" w:hAnsi="Arial"/>
          <w:b/>
          <w:color w:val="6E5C73"/>
          <w:sz w:val="23"/>
        </w:rPr>
        <w:t>4-Dimensional Evaluation Framework</w:t>
      </w:r>
    </w:p>
    <w:p>
      <w:pPr>
        <w:spacing w:before="40" w:after="100" w:line="276" w:lineRule="auto"/>
      </w:pPr>
      <w:r>
        <w:rPr>
          <w:rFonts w:ascii="Arial" w:hAnsi="Arial"/>
          <w:color w:val="1E1E1E"/>
          <w:sz w:val="20"/>
        </w:rPr>
        <w:t>Candidate responses are evaluated across four objective dimensions on a standardized 0.0 to 10.0 scale:</w:t>
      </w:r>
    </w:p>
    <w:tbl>
      <w:tblPr>
        <w:tblW w:type="auto" w:w="0"/>
        <w:jc w:val="center"/>
        <w:tblLayout w:type="fixed"/>
        <w:tblLook w:firstColumn="1" w:firstRow="1" w:lastColumn="0" w:lastRow="0" w:noHBand="0" w:noVBand="1" w:val="04A0"/>
      </w:tblPr>
      <w:tblGrid>
        <w:gridCol w:w="2880"/>
        <w:gridCol w:w="1440"/>
        <w:gridCol w:w="5040"/>
      </w:tblGrid>
      <w:tr>
        <w:tc>
          <w:tcPr>
            <w:tcW w:type="dxa" w:w="3120"/>
            <w:shd w:fill="2F2433"/>
            <w:tcMar>
              <w:top w:w="80" w:type="dxa"/>
              <w:bottom w:w="80" w:type="dxa"/>
              <w:left w:w="100" w:type="dxa"/>
              <w:right w:w="100" w:type="dxa"/>
            </w:tcMar>
          </w:tcPr>
          <w:p>
            <w:r>
              <w:rPr>
                <w:b/>
                <w:color w:val="FFFFFF"/>
                <w:sz w:val="18"/>
              </w:rPr>
              <w:t>Evaluation Dimension</w:t>
            </w:r>
          </w:p>
        </w:tc>
        <w:tc>
          <w:tcPr>
            <w:tcW w:type="dxa" w:w="3120"/>
            <w:shd w:fill="2F2433"/>
            <w:tcMar>
              <w:top w:w="80" w:type="dxa"/>
              <w:bottom w:w="80" w:type="dxa"/>
              <w:left w:w="100" w:type="dxa"/>
              <w:right w:w="100" w:type="dxa"/>
            </w:tcMar>
          </w:tcPr>
          <w:p>
            <w:r>
              <w:rPr>
                <w:b/>
                <w:color w:val="FFFFFF"/>
                <w:sz w:val="18"/>
              </w:rPr>
              <w:t>Weight</w:t>
            </w:r>
          </w:p>
        </w:tc>
        <w:tc>
          <w:tcPr>
            <w:tcW w:type="dxa" w:w="3120"/>
            <w:shd w:fill="2F2433"/>
            <w:tcMar>
              <w:top w:w="80" w:type="dxa"/>
              <w:bottom w:w="80" w:type="dxa"/>
              <w:left w:w="100" w:type="dxa"/>
              <w:right w:w="100" w:type="dxa"/>
            </w:tcMar>
          </w:tcPr>
          <w:p>
            <w:r>
              <w:rPr>
                <w:b/>
                <w:color w:val="FFFFFF"/>
                <w:sz w:val="18"/>
              </w:rPr>
              <w:t>Assessment Criteria</w:t>
            </w:r>
          </w:p>
        </w:tc>
      </w:tr>
      <w:tr>
        <w:tc>
          <w:tcPr>
            <w:tcW w:type="dxa" w:w="3120"/>
            <w:shd w:fill="FAF5FB"/>
            <w:tcMar>
              <w:top w:w="60" w:type="dxa"/>
              <w:bottom w:w="60" w:type="dxa"/>
              <w:left w:w="80" w:type="dxa"/>
              <w:right w:w="80" w:type="dxa"/>
            </w:tcMar>
          </w:tcPr>
          <w:p>
            <w:pPr>
              <w:spacing w:before="40" w:after="40"/>
            </w:pPr>
            <w:r>
              <w:rPr>
                <w:rFonts w:ascii="Arial" w:hAnsi="Arial"/>
                <w:sz w:val="17"/>
              </w:rPr>
              <w:t>Technical Accuracy</w:t>
            </w:r>
          </w:p>
        </w:tc>
        <w:tc>
          <w:tcPr>
            <w:tcW w:type="dxa" w:w="3120"/>
            <w:shd w:fill="FAF5FB"/>
            <w:tcMar>
              <w:top w:w="60" w:type="dxa"/>
              <w:bottom w:w="60" w:type="dxa"/>
              <w:left w:w="80" w:type="dxa"/>
              <w:right w:w="80" w:type="dxa"/>
            </w:tcMar>
          </w:tcPr>
          <w:p>
            <w:pPr>
              <w:spacing w:before="40" w:after="40"/>
            </w:pPr>
            <w:r>
              <w:rPr>
                <w:rFonts w:ascii="Arial" w:hAnsi="Arial"/>
                <w:sz w:val="17"/>
              </w:rPr>
              <w:t>35%</w:t>
            </w:r>
          </w:p>
        </w:tc>
        <w:tc>
          <w:tcPr>
            <w:tcW w:type="dxa" w:w="3120"/>
            <w:shd w:fill="FAF5FB"/>
            <w:tcMar>
              <w:top w:w="60" w:type="dxa"/>
              <w:bottom w:w="60" w:type="dxa"/>
              <w:left w:w="80" w:type="dxa"/>
              <w:right w:w="80" w:type="dxa"/>
            </w:tcMar>
          </w:tcPr>
          <w:p>
            <w:pPr>
              <w:spacing w:before="40" w:after="40"/>
            </w:pPr>
            <w:r>
              <w:rPr>
                <w:rFonts w:ascii="Arial" w:hAnsi="Arial"/>
                <w:sz w:val="17"/>
              </w:rPr>
              <w:t>Mathematical and algorithmic correctness, accurate formulation of principles, valid complexity bounds.</w:t>
            </w:r>
          </w:p>
        </w:tc>
      </w:tr>
      <w:tr>
        <w:tc>
          <w:tcPr>
            <w:tcW w:type="dxa" w:w="3120"/>
            <w:shd w:fill="FFFFFF"/>
            <w:tcMar>
              <w:top w:w="60" w:type="dxa"/>
              <w:bottom w:w="60" w:type="dxa"/>
              <w:left w:w="80" w:type="dxa"/>
              <w:right w:w="80" w:type="dxa"/>
            </w:tcMar>
          </w:tcPr>
          <w:p>
            <w:pPr>
              <w:spacing w:before="40" w:after="40"/>
            </w:pPr>
            <w:r>
              <w:rPr>
                <w:rFonts w:ascii="Arial" w:hAnsi="Arial"/>
                <w:sz w:val="17"/>
              </w:rPr>
              <w:t>Conceptual Depth</w:t>
            </w:r>
          </w:p>
        </w:tc>
        <w:tc>
          <w:tcPr>
            <w:tcW w:type="dxa" w:w="3120"/>
            <w:shd w:fill="FFFFFF"/>
            <w:tcMar>
              <w:top w:w="60" w:type="dxa"/>
              <w:bottom w:w="60" w:type="dxa"/>
              <w:left w:w="80" w:type="dxa"/>
              <w:right w:w="80" w:type="dxa"/>
            </w:tcMar>
          </w:tcPr>
          <w:p>
            <w:pPr>
              <w:spacing w:before="40" w:after="40"/>
            </w:pPr>
            <w:r>
              <w:rPr>
                <w:rFonts w:ascii="Arial" w:hAnsi="Arial"/>
                <w:sz w:val="17"/>
              </w:rPr>
              <w:t>25%</w:t>
            </w:r>
          </w:p>
        </w:tc>
        <w:tc>
          <w:tcPr>
            <w:tcW w:type="dxa" w:w="3120"/>
            <w:shd w:fill="FFFFFF"/>
            <w:tcMar>
              <w:top w:w="60" w:type="dxa"/>
              <w:bottom w:w="60" w:type="dxa"/>
              <w:left w:w="80" w:type="dxa"/>
              <w:right w:w="80" w:type="dxa"/>
            </w:tcMar>
          </w:tcPr>
          <w:p>
            <w:pPr>
              <w:spacing w:before="40" w:after="40"/>
            </w:pPr>
            <w:r>
              <w:rPr>
                <w:rFonts w:ascii="Arial" w:hAnsi="Arial"/>
                <w:sz w:val="17"/>
              </w:rPr>
              <w:t>Understanding of under-the-hood mechanics, failure modes, trade-offs, and boundary edge cases.</w:t>
            </w:r>
          </w:p>
        </w:tc>
      </w:tr>
      <w:tr>
        <w:tc>
          <w:tcPr>
            <w:tcW w:type="dxa" w:w="3120"/>
            <w:shd w:fill="FAF5FB"/>
            <w:tcMar>
              <w:top w:w="60" w:type="dxa"/>
              <w:bottom w:w="60" w:type="dxa"/>
              <w:left w:w="80" w:type="dxa"/>
              <w:right w:w="80" w:type="dxa"/>
            </w:tcMar>
          </w:tcPr>
          <w:p>
            <w:pPr>
              <w:spacing w:before="40" w:after="40"/>
            </w:pPr>
            <w:r>
              <w:rPr>
                <w:rFonts w:ascii="Arial" w:hAnsi="Arial"/>
                <w:sz w:val="17"/>
              </w:rPr>
              <w:t>Practical Application</w:t>
            </w:r>
          </w:p>
        </w:tc>
        <w:tc>
          <w:tcPr>
            <w:tcW w:type="dxa" w:w="3120"/>
            <w:shd w:fill="FAF5FB"/>
            <w:tcMar>
              <w:top w:w="60" w:type="dxa"/>
              <w:bottom w:w="60" w:type="dxa"/>
              <w:left w:w="80" w:type="dxa"/>
              <w:right w:w="80" w:type="dxa"/>
            </w:tcMar>
          </w:tcPr>
          <w:p>
            <w:pPr>
              <w:spacing w:before="40" w:after="40"/>
            </w:pPr>
            <w:r>
              <w:rPr>
                <w:rFonts w:ascii="Arial" w:hAnsi="Arial"/>
                <w:sz w:val="17"/>
              </w:rPr>
              <w:t>25%</w:t>
            </w:r>
          </w:p>
        </w:tc>
        <w:tc>
          <w:tcPr>
            <w:tcW w:type="dxa" w:w="3120"/>
            <w:shd w:fill="FAF5FB"/>
            <w:tcMar>
              <w:top w:w="60" w:type="dxa"/>
              <w:bottom w:w="60" w:type="dxa"/>
              <w:left w:w="80" w:type="dxa"/>
              <w:right w:w="80" w:type="dxa"/>
            </w:tcMar>
          </w:tcPr>
          <w:p>
            <w:pPr>
              <w:spacing w:before="40" w:after="40"/>
            </w:pPr>
            <w:r>
              <w:rPr>
                <w:rFonts w:ascii="Arial" w:hAnsi="Arial"/>
                <w:sz w:val="17"/>
              </w:rPr>
              <w:t>Real-world engineering viability, scalability considerations, implementation pragmatic realism.</w:t>
            </w:r>
          </w:p>
        </w:tc>
      </w:tr>
      <w:tr>
        <w:tc>
          <w:tcPr>
            <w:tcW w:type="dxa" w:w="3120"/>
            <w:shd w:fill="FFFFFF"/>
            <w:tcMar>
              <w:top w:w="60" w:type="dxa"/>
              <w:bottom w:w="60" w:type="dxa"/>
              <w:left w:w="80" w:type="dxa"/>
              <w:right w:w="80" w:type="dxa"/>
            </w:tcMar>
          </w:tcPr>
          <w:p>
            <w:pPr>
              <w:spacing w:before="40" w:after="40"/>
            </w:pPr>
            <w:r>
              <w:rPr>
                <w:rFonts w:ascii="Arial" w:hAnsi="Arial"/>
                <w:sz w:val="17"/>
              </w:rPr>
              <w:t>Clarity &amp; Precision</w:t>
            </w:r>
          </w:p>
        </w:tc>
        <w:tc>
          <w:tcPr>
            <w:tcW w:type="dxa" w:w="3120"/>
            <w:shd w:fill="FFFFFF"/>
            <w:tcMar>
              <w:top w:w="60" w:type="dxa"/>
              <w:bottom w:w="60" w:type="dxa"/>
              <w:left w:w="80" w:type="dxa"/>
              <w:right w:w="80" w:type="dxa"/>
            </w:tcMar>
          </w:tcPr>
          <w:p>
            <w:pPr>
              <w:spacing w:before="40" w:after="40"/>
            </w:pPr>
            <w:r>
              <w:rPr>
                <w:rFonts w:ascii="Arial" w:hAnsi="Arial"/>
                <w:sz w:val="17"/>
              </w:rPr>
              <w:t>15%</w:t>
            </w:r>
          </w:p>
        </w:tc>
        <w:tc>
          <w:tcPr>
            <w:tcW w:type="dxa" w:w="3120"/>
            <w:shd w:fill="FFFFFF"/>
            <w:tcMar>
              <w:top w:w="60" w:type="dxa"/>
              <w:bottom w:w="60" w:type="dxa"/>
              <w:left w:w="80" w:type="dxa"/>
              <w:right w:w="80" w:type="dxa"/>
            </w:tcMar>
          </w:tcPr>
          <w:p>
            <w:pPr>
              <w:spacing w:before="40" w:after="40"/>
            </w:pPr>
            <w:r>
              <w:rPr>
                <w:rFonts w:ascii="Arial" w:hAnsi="Arial"/>
                <w:sz w:val="17"/>
              </w:rPr>
              <w:t>Structured reasoning, correct domain terminology, lack of ambiguity or hand-waving.</w:t>
            </w:r>
          </w:p>
        </w:tc>
      </w:tr>
    </w:tbl>
    <w:p>
      <w:pPr>
        <w:spacing w:after="120"/>
      </w:pPr>
    </w:p>
    <w:p>
      <w:pPr>
        <w:keepNext/>
        <w:spacing w:before="240" w:after="80"/>
      </w:pPr>
      <w:r>
        <w:rPr>
          <w:rFonts w:ascii="Arial" w:hAnsi="Arial"/>
          <w:b/>
          <w:color w:val="6E5C73"/>
          <w:sz w:val="23"/>
        </w:rPr>
        <w:t>Proficiency &amp; Mastery Rating Tiers</w:t>
      </w:r>
    </w:p>
    <w:p>
      <w:pPr>
        <w:spacing w:before="40" w:after="100" w:line="276" w:lineRule="auto"/>
      </w:pPr>
      <w:r>
        <w:rPr>
          <w:rFonts w:ascii="Arial" w:hAnsi="Arial"/>
          <w:color w:val="1E1E1E"/>
          <w:sz w:val="20"/>
        </w:rPr>
        <w:t>Aggregate session scores (0-100%) map to standardized competency tiers:</w:t>
      </w:r>
    </w:p>
    <w:p>
      <w:pPr>
        <w:pStyle w:val="ListBullet"/>
        <w:spacing w:before="20" w:after="60" w:line="276" w:lineRule="auto"/>
      </w:pPr>
      <w:r>
        <w:rPr>
          <w:rFonts w:ascii="Arial" w:hAnsi="Arial"/>
          <w:b/>
          <w:color w:val="2F2433"/>
          <w:sz w:val="19"/>
        </w:rPr>
        <w:t xml:space="preserve">Principal Mastery: </w:t>
      </w:r>
      <w:r>
        <w:rPr>
          <w:rFonts w:ascii="Arial" w:hAnsi="Arial"/>
          <w:color w:val="1E1E1E"/>
          <w:sz w:val="19"/>
        </w:rPr>
        <w:t>Score &gt;= 85%: Demonstrates exceptional architectural depth, mathematical rigor, and nuanced trade-off analysis.</w:t>
      </w:r>
    </w:p>
    <w:p>
      <w:pPr>
        <w:pStyle w:val="ListBullet"/>
        <w:spacing w:before="20" w:after="60" w:line="276" w:lineRule="auto"/>
      </w:pPr>
      <w:r>
        <w:rPr>
          <w:rFonts w:ascii="Arial" w:hAnsi="Arial"/>
          <w:b/>
          <w:color w:val="2F2433"/>
          <w:sz w:val="19"/>
        </w:rPr>
        <w:t xml:space="preserve">Advanced Proficiency: </w:t>
      </w:r>
      <w:r>
        <w:rPr>
          <w:rFonts w:ascii="Arial" w:hAnsi="Arial"/>
          <w:color w:val="1E1E1E"/>
          <w:sz w:val="19"/>
        </w:rPr>
        <w:t>Score &gt;= 70%: Solid technical grasp with consistent practical and conceptual execution.</w:t>
      </w:r>
    </w:p>
    <w:p>
      <w:pPr>
        <w:pStyle w:val="ListBullet"/>
        <w:spacing w:before="20" w:after="60" w:line="276" w:lineRule="auto"/>
      </w:pPr>
      <w:r>
        <w:rPr>
          <w:rFonts w:ascii="Arial" w:hAnsi="Arial"/>
          <w:b/>
          <w:color w:val="2F2433"/>
          <w:sz w:val="19"/>
        </w:rPr>
        <w:t xml:space="preserve">Demonstrated Competency: </w:t>
      </w:r>
      <w:r>
        <w:rPr>
          <w:rFonts w:ascii="Arial" w:hAnsi="Arial"/>
          <w:color w:val="1E1E1E"/>
          <w:sz w:val="19"/>
        </w:rPr>
        <w:t>Score &gt;= 55%: Sound baseline competency with minor gaps in edge-case or distributed scaling nuances.</w:t>
      </w:r>
    </w:p>
    <w:p>
      <w:pPr>
        <w:pStyle w:val="ListBullet"/>
        <w:spacing w:before="20" w:after="60" w:line="276" w:lineRule="auto"/>
      </w:pPr>
      <w:r>
        <w:rPr>
          <w:rFonts w:ascii="Arial" w:hAnsi="Arial"/>
          <w:b/>
          <w:color w:val="2F2433"/>
          <w:sz w:val="19"/>
        </w:rPr>
        <w:t xml:space="preserve">Developing / Foundational: </w:t>
      </w:r>
      <w:r>
        <w:rPr>
          <w:rFonts w:ascii="Arial" w:hAnsi="Arial"/>
          <w:color w:val="1E1E1E"/>
          <w:sz w:val="19"/>
        </w:rPr>
        <w:t>Score &lt; 55%: Foundational understanding requiring further depth in core algorithmic or system mechanics.</w:t>
      </w:r>
    </w:p>
    <w:p>
      <w:pPr>
        <w:keepNext/>
        <w:spacing w:before="320" w:after="120"/>
      </w:pPr>
      <w:r>
        <w:rPr>
          <w:rFonts w:ascii="Arial" w:hAnsi="Arial"/>
          <w:b/>
          <w:color w:val="2F2433"/>
          <w:sz w:val="28"/>
        </w:rPr>
        <w:t>5. System Resilience &amp; Multi-Tier Provider Layer</w:t>
      </w:r>
    </w:p>
    <w:p>
      <w:pPr>
        <w:spacing w:before="40" w:after="100" w:line="276" w:lineRule="auto"/>
      </w:pPr>
      <w:r>
        <w:rPr>
          <w:rFonts w:ascii="Arial" w:hAnsi="Arial"/>
          <w:color w:val="1E1E1E"/>
          <w:sz w:val="20"/>
        </w:rPr>
        <w:t>VantageAI implements an intelligent multi-tier LLM provider layer ensuring zero-downtime operation under any network condition:</w:t>
      </w:r>
    </w:p>
    <w:p>
      <w:pPr>
        <w:pStyle w:val="ListBullet"/>
        <w:spacing w:before="20" w:after="60" w:line="276" w:lineRule="auto"/>
      </w:pPr>
      <w:r>
        <w:rPr>
          <w:rFonts w:ascii="Arial" w:hAnsi="Arial"/>
          <w:b/>
          <w:color w:val="2F2433"/>
          <w:sz w:val="19"/>
        </w:rPr>
        <w:t xml:space="preserve">Primary Cloud LLM: </w:t>
      </w:r>
      <w:r>
        <w:rPr>
          <w:rFonts w:ascii="Arial" w:hAnsi="Arial"/>
          <w:color w:val="1E1E1E"/>
          <w:sz w:val="19"/>
        </w:rPr>
        <w:t>Integrates with Google Gemini API (gemini-1.5-flash) and OpenAI API (gpt-4o-mini) via structured JSON schema enforcement.</w:t>
      </w:r>
    </w:p>
    <w:p>
      <w:pPr>
        <w:pStyle w:val="ListBullet"/>
        <w:spacing w:before="20" w:after="60" w:line="276" w:lineRule="auto"/>
      </w:pPr>
      <w:r>
        <w:rPr>
          <w:rFonts w:ascii="Arial" w:hAnsi="Arial"/>
          <w:b/>
          <w:color w:val="2F2433"/>
          <w:sz w:val="19"/>
        </w:rPr>
        <w:t xml:space="preserve">Strict Request Timeouts: </w:t>
      </w:r>
      <w:r>
        <w:rPr>
          <w:rFonts w:ascii="Arial" w:hAnsi="Arial"/>
          <w:color w:val="1E1E1E"/>
          <w:sz w:val="19"/>
        </w:rPr>
        <w:t>All external cloud calls enforce strict 4.0-second request timeouts (timeout=4.0) to eliminate UI freezing or hanging HTTP connections.</w:t>
      </w:r>
    </w:p>
    <w:p>
      <w:pPr>
        <w:pStyle w:val="ListBullet"/>
        <w:spacing w:before="20" w:after="60" w:line="276" w:lineRule="auto"/>
      </w:pPr>
      <w:r>
        <w:rPr>
          <w:rFonts w:ascii="Arial" w:hAnsi="Arial"/>
          <w:b/>
          <w:color w:val="2F2433"/>
          <w:sz w:val="19"/>
        </w:rPr>
        <w:t xml:space="preserve">High-Fidelity Offline Fallback: </w:t>
      </w:r>
      <w:r>
        <w:rPr>
          <w:rFonts w:ascii="Arial" w:hAnsi="Arial"/>
          <w:color w:val="1E1E1E"/>
          <w:sz w:val="19"/>
        </w:rPr>
        <w:t>If API keys are absent, rate-limited, or encountering latency, the engine automatically switches to a built-in deterministic heuristic evaluator in under 20 milliseconds, guaranteeing 100% offline testability.</w:t>
      </w:r>
    </w:p>
    <w:p>
      <w:pPr>
        <w:keepNext/>
        <w:spacing w:before="320" w:after="120"/>
      </w:pPr>
      <w:r>
        <w:rPr>
          <w:rFonts w:ascii="Arial" w:hAnsi="Arial"/>
          <w:b/>
          <w:color w:val="2F2433"/>
          <w:sz w:val="28"/>
        </w:rPr>
        <w:t>6. Data Models &amp; API Specifications</w:t>
      </w:r>
    </w:p>
    <w:p>
      <w:pPr>
        <w:keepNext/>
        <w:spacing w:before="240" w:after="80"/>
      </w:pPr>
      <w:r>
        <w:rPr>
          <w:rFonts w:ascii="Arial" w:hAnsi="Arial"/>
          <w:b/>
          <w:color w:val="6E5C73"/>
          <w:sz w:val="23"/>
        </w:rPr>
        <w:t>Relational Data Schema (SQLite / SQLAlchemy ORM)</w:t>
      </w:r>
    </w:p>
    <w:p>
      <w:pPr>
        <w:pStyle w:val="ListBullet"/>
        <w:spacing w:before="20" w:after="60" w:line="276" w:lineRule="auto"/>
      </w:pPr>
      <w:r>
        <w:rPr>
          <w:rFonts w:ascii="Arial" w:hAnsi="Arial"/>
          <w:b/>
          <w:color w:val="2F2433"/>
          <w:sz w:val="19"/>
        </w:rPr>
        <w:t xml:space="preserve">candidates: </w:t>
      </w:r>
      <w:r>
        <w:rPr>
          <w:rFonts w:ascii="Arial" w:hAnsi="Arial"/>
          <w:color w:val="1E1E1E"/>
          <w:sz w:val="19"/>
        </w:rPr>
        <w:t>Stores candidate identity, email, and registration metadata.</w:t>
      </w:r>
    </w:p>
    <w:p>
      <w:pPr>
        <w:pStyle w:val="ListBullet"/>
        <w:spacing w:before="20" w:after="60" w:line="276" w:lineRule="auto"/>
      </w:pPr>
      <w:r>
        <w:rPr>
          <w:rFonts w:ascii="Arial" w:hAnsi="Arial"/>
          <w:b/>
          <w:color w:val="2F2433"/>
          <w:sz w:val="19"/>
        </w:rPr>
        <w:t xml:space="preserve">resume_data: </w:t>
      </w:r>
      <w:r>
        <w:rPr>
          <w:rFonts w:ascii="Arial" w:hAnsi="Arial"/>
          <w:color w:val="1E1E1E"/>
          <w:sz w:val="19"/>
        </w:rPr>
        <w:t>Contains raw resume text, extracted skill taxonomy arrays, and experience estimates.</w:t>
      </w:r>
    </w:p>
    <w:p>
      <w:pPr>
        <w:pStyle w:val="ListBullet"/>
        <w:spacing w:before="20" w:after="60" w:line="276" w:lineRule="auto"/>
      </w:pPr>
      <w:r>
        <w:rPr>
          <w:rFonts w:ascii="Arial" w:hAnsi="Arial"/>
          <w:b/>
          <w:color w:val="2F2433"/>
          <w:sz w:val="19"/>
        </w:rPr>
        <w:t xml:space="preserve">interview_sessions: </w:t>
      </w:r>
      <w:r>
        <w:rPr>
          <w:rFonts w:ascii="Arial" w:hAnsi="Arial"/>
          <w:color w:val="1E1E1E"/>
          <w:sz w:val="19"/>
        </w:rPr>
        <w:t>Manages session token UUIDs, target roles, progress indexes, and completion timestamps.</w:t>
      </w:r>
    </w:p>
    <w:p>
      <w:pPr>
        <w:pStyle w:val="ListBullet"/>
        <w:spacing w:before="20" w:after="60" w:line="276" w:lineRule="auto"/>
      </w:pPr>
      <w:r>
        <w:rPr>
          <w:rFonts w:ascii="Arial" w:hAnsi="Arial"/>
          <w:b/>
          <w:color w:val="2F2433"/>
          <w:sz w:val="19"/>
        </w:rPr>
        <w:t xml:space="preserve">questions: </w:t>
      </w:r>
      <w:r>
        <w:rPr>
          <w:rFonts w:ascii="Arial" w:hAnsi="Arial"/>
          <w:color w:val="1E1E1E"/>
          <w:sz w:val="19"/>
        </w:rPr>
        <w:t>Stores question prompts, topics, difficulty, ideal rubrics, and cited RAG chunk IDs.</w:t>
      </w:r>
    </w:p>
    <w:p>
      <w:pPr>
        <w:pStyle w:val="ListBullet"/>
        <w:spacing w:before="20" w:after="60" w:line="276" w:lineRule="auto"/>
      </w:pPr>
      <w:r>
        <w:rPr>
          <w:rFonts w:ascii="Arial" w:hAnsi="Arial"/>
          <w:b/>
          <w:color w:val="2F2433"/>
          <w:sz w:val="19"/>
        </w:rPr>
        <w:t xml:space="preserve">candidate_answers: </w:t>
      </w:r>
      <w:r>
        <w:rPr>
          <w:rFonts w:ascii="Arial" w:hAnsi="Arial"/>
          <w:color w:val="1E1E1E"/>
          <w:sz w:val="19"/>
        </w:rPr>
        <w:t>Stores submitted answers, 4-dimension scores, feedback commentary, strengths, and growth areas.</w:t>
      </w:r>
    </w:p>
    <w:p>
      <w:pPr>
        <w:pStyle w:val="ListBullet"/>
        <w:spacing w:before="20" w:after="60" w:line="276" w:lineRule="auto"/>
      </w:pPr>
      <w:r>
        <w:rPr>
          <w:rFonts w:ascii="Arial" w:hAnsi="Arial"/>
          <w:b/>
          <w:color w:val="2F2433"/>
          <w:sz w:val="19"/>
        </w:rPr>
        <w:t xml:space="preserve">session_evaluations: </w:t>
      </w:r>
      <w:r>
        <w:rPr>
          <w:rFonts w:ascii="Arial" w:hAnsi="Arial"/>
          <w:color w:val="1E1E1E"/>
          <w:sz w:val="19"/>
        </w:rPr>
        <w:t>Stores final aggregated scorecards, category proficiencies, and executive summaries.</w:t>
      </w:r>
    </w:p>
    <w:p>
      <w:pPr>
        <w:keepNext/>
        <w:spacing w:before="240" w:after="80"/>
      </w:pPr>
      <w:r>
        <w:rPr>
          <w:rFonts w:ascii="Arial" w:hAnsi="Arial"/>
          <w:b/>
          <w:color w:val="6E5C73"/>
          <w:sz w:val="23"/>
        </w:rPr>
        <w:t>Core REST API Endpoints</w:t>
      </w:r>
    </w:p>
    <w:tbl>
      <w:tblPr>
        <w:tblW w:type="auto" w:w="0"/>
        <w:jc w:val="center"/>
        <w:tblLayout w:type="fixed"/>
        <w:tblLook w:firstColumn="1" w:firstRow="1" w:lastColumn="0" w:lastRow="0" w:noHBand="0" w:noVBand="1" w:val="04A0"/>
      </w:tblPr>
      <w:tblGrid>
        <w:gridCol w:w="3168"/>
        <w:gridCol w:w="3024"/>
        <w:gridCol w:w="3168"/>
      </w:tblGrid>
      <w:tr>
        <w:tc>
          <w:tcPr>
            <w:tcW w:type="dxa" w:w="3120"/>
            <w:shd w:fill="2F2433"/>
            <w:tcMar>
              <w:top w:w="80" w:type="dxa"/>
              <w:bottom w:w="80" w:type="dxa"/>
              <w:left w:w="100" w:type="dxa"/>
              <w:right w:w="100" w:type="dxa"/>
            </w:tcMar>
          </w:tcPr>
          <w:p>
            <w:r>
              <w:rPr>
                <w:b/>
                <w:color w:val="FFFFFF"/>
                <w:sz w:val="17"/>
              </w:rPr>
              <w:t>Method &amp; Endpoint</w:t>
            </w:r>
          </w:p>
        </w:tc>
        <w:tc>
          <w:tcPr>
            <w:tcW w:type="dxa" w:w="3120"/>
            <w:shd w:fill="2F2433"/>
            <w:tcMar>
              <w:top w:w="80" w:type="dxa"/>
              <w:bottom w:w="80" w:type="dxa"/>
              <w:left w:w="100" w:type="dxa"/>
              <w:right w:w="100" w:type="dxa"/>
            </w:tcMar>
          </w:tcPr>
          <w:p>
            <w:r>
              <w:rPr>
                <w:b/>
                <w:color w:val="FFFFFF"/>
                <w:sz w:val="17"/>
              </w:rPr>
              <w:t>Primary Payload / Params</w:t>
            </w:r>
          </w:p>
        </w:tc>
        <w:tc>
          <w:tcPr>
            <w:tcW w:type="dxa" w:w="3120"/>
            <w:shd w:fill="2F2433"/>
            <w:tcMar>
              <w:top w:w="80" w:type="dxa"/>
              <w:bottom w:w="80" w:type="dxa"/>
              <w:left w:w="100" w:type="dxa"/>
              <w:right w:w="100" w:type="dxa"/>
            </w:tcMar>
          </w:tcPr>
          <w:p>
            <w:r>
              <w:rPr>
                <w:b/>
                <w:color w:val="FFFFFF"/>
                <w:sz w:val="17"/>
              </w:rPr>
              <w:t>Functional Purpose</w:t>
            </w:r>
          </w:p>
        </w:tc>
      </w:tr>
      <w:tr>
        <w:tc>
          <w:tcPr>
            <w:tcW w:type="dxa" w:w="3120"/>
            <w:shd w:fill="FAF5FB"/>
            <w:tcMar>
              <w:top w:w="50" w:type="dxa"/>
              <w:bottom w:w="50" w:type="dxa"/>
              <w:left w:w="70" w:type="dxa"/>
              <w:right w:w="70" w:type="dxa"/>
            </w:tcMar>
          </w:tcPr>
          <w:p>
            <w:pPr>
              <w:spacing w:before="40" w:after="40"/>
            </w:pPr>
            <w:r>
              <w:rPr>
                <w:rFonts w:ascii="Arial" w:hAnsi="Arial"/>
                <w:sz w:val="16"/>
              </w:rPr>
              <w:t>POST /api/v1/resume/upload</w:t>
            </w:r>
          </w:p>
        </w:tc>
        <w:tc>
          <w:tcPr>
            <w:tcW w:type="dxa" w:w="3120"/>
            <w:shd w:fill="FAF5FB"/>
            <w:tcMar>
              <w:top w:w="50" w:type="dxa"/>
              <w:bottom w:w="50" w:type="dxa"/>
              <w:left w:w="70" w:type="dxa"/>
              <w:right w:w="70" w:type="dxa"/>
            </w:tcMar>
          </w:tcPr>
          <w:p>
            <w:pPr>
              <w:spacing w:before="40" w:after="40"/>
            </w:pPr>
            <w:r>
              <w:rPr>
                <w:rFonts w:ascii="Arial" w:hAnsi="Arial"/>
                <w:sz w:val="16"/>
              </w:rPr>
              <w:t>multipart/form-data (PDF / TXT)</w:t>
            </w:r>
          </w:p>
        </w:tc>
        <w:tc>
          <w:tcPr>
            <w:tcW w:type="dxa" w:w="3120"/>
            <w:shd w:fill="FAF5FB"/>
            <w:tcMar>
              <w:top w:w="50" w:type="dxa"/>
              <w:bottom w:w="50" w:type="dxa"/>
              <w:left w:w="70" w:type="dxa"/>
              <w:right w:w="70" w:type="dxa"/>
            </w:tcMar>
          </w:tcPr>
          <w:p>
            <w:pPr>
              <w:spacing w:before="40" w:after="40"/>
            </w:pPr>
            <w:r>
              <w:rPr>
                <w:rFonts w:ascii="Arial" w:hAnsi="Arial"/>
                <w:sz w:val="16"/>
              </w:rPr>
              <w:t>Ingests binary resume, extracts contact info &amp; technical taxonomy</w:t>
            </w:r>
          </w:p>
        </w:tc>
      </w:tr>
      <w:tr>
        <w:tc>
          <w:tcPr>
            <w:tcW w:type="dxa" w:w="3120"/>
            <w:shd w:fill="FFFFFF"/>
            <w:tcMar>
              <w:top w:w="50" w:type="dxa"/>
              <w:bottom w:w="50" w:type="dxa"/>
              <w:left w:w="70" w:type="dxa"/>
              <w:right w:w="70" w:type="dxa"/>
            </w:tcMar>
          </w:tcPr>
          <w:p>
            <w:pPr>
              <w:spacing w:before="40" w:after="40"/>
            </w:pPr>
            <w:r>
              <w:rPr>
                <w:rFonts w:ascii="Arial" w:hAnsi="Arial"/>
                <w:sz w:val="16"/>
              </w:rPr>
              <w:t>POST /api/v1/resume/parse-text</w:t>
            </w:r>
          </w:p>
        </w:tc>
        <w:tc>
          <w:tcPr>
            <w:tcW w:type="dxa" w:w="3120"/>
            <w:shd w:fill="FFFFFF"/>
            <w:tcMar>
              <w:top w:w="50" w:type="dxa"/>
              <w:bottom w:w="50" w:type="dxa"/>
              <w:left w:w="70" w:type="dxa"/>
              <w:right w:w="70" w:type="dxa"/>
            </w:tcMar>
          </w:tcPr>
          <w:p>
            <w:pPr>
              <w:spacing w:before="40" w:after="40"/>
            </w:pPr>
            <w:r>
              <w:rPr>
                <w:rFonts w:ascii="Arial" w:hAnsi="Arial"/>
                <w:sz w:val="16"/>
              </w:rPr>
              <w:t>JSON: raw_text, candidate_name</w:t>
            </w:r>
          </w:p>
        </w:tc>
        <w:tc>
          <w:tcPr>
            <w:tcW w:type="dxa" w:w="3120"/>
            <w:shd w:fill="FFFFFF"/>
            <w:tcMar>
              <w:top w:w="50" w:type="dxa"/>
              <w:bottom w:w="50" w:type="dxa"/>
              <w:left w:w="70" w:type="dxa"/>
              <w:right w:w="70" w:type="dxa"/>
            </w:tcMar>
          </w:tcPr>
          <w:p>
            <w:pPr>
              <w:spacing w:before="40" w:after="40"/>
            </w:pPr>
            <w:r>
              <w:rPr>
                <w:rFonts w:ascii="Arial" w:hAnsi="Arial"/>
                <w:sz w:val="16"/>
              </w:rPr>
              <w:t>Parses raw text resume payload into structured entities</w:t>
            </w:r>
          </w:p>
        </w:tc>
      </w:tr>
      <w:tr>
        <w:tc>
          <w:tcPr>
            <w:tcW w:type="dxa" w:w="3120"/>
            <w:shd w:fill="FAF5FB"/>
            <w:tcMar>
              <w:top w:w="50" w:type="dxa"/>
              <w:bottom w:w="50" w:type="dxa"/>
              <w:left w:w="70" w:type="dxa"/>
              <w:right w:w="70" w:type="dxa"/>
            </w:tcMar>
          </w:tcPr>
          <w:p>
            <w:pPr>
              <w:spacing w:before="40" w:after="40"/>
            </w:pPr>
            <w:r>
              <w:rPr>
                <w:rFonts w:ascii="Arial" w:hAnsi="Arial"/>
                <w:sz w:val="16"/>
              </w:rPr>
              <w:t>POST /api/v1/interview/start</w:t>
            </w:r>
          </w:p>
        </w:tc>
        <w:tc>
          <w:tcPr>
            <w:tcW w:type="dxa" w:w="3120"/>
            <w:shd w:fill="FAF5FB"/>
            <w:tcMar>
              <w:top w:w="50" w:type="dxa"/>
              <w:bottom w:w="50" w:type="dxa"/>
              <w:left w:w="70" w:type="dxa"/>
              <w:right w:w="70" w:type="dxa"/>
            </w:tcMar>
          </w:tcPr>
          <w:p>
            <w:pPr>
              <w:spacing w:before="40" w:after="40"/>
            </w:pPr>
            <w:r>
              <w:rPr>
                <w:rFonts w:ascii="Arial" w:hAnsi="Arial"/>
                <w:sz w:val="16"/>
              </w:rPr>
              <w:t>JSON: resume_id, target_role, difficulty</w:t>
            </w:r>
          </w:p>
        </w:tc>
        <w:tc>
          <w:tcPr>
            <w:tcW w:type="dxa" w:w="3120"/>
            <w:shd w:fill="FAF5FB"/>
            <w:tcMar>
              <w:top w:w="50" w:type="dxa"/>
              <w:bottom w:w="50" w:type="dxa"/>
              <w:left w:w="70" w:type="dxa"/>
              <w:right w:w="70" w:type="dxa"/>
            </w:tcMar>
          </w:tcPr>
          <w:p>
            <w:pPr>
              <w:spacing w:before="40" w:after="40"/>
            </w:pPr>
            <w:r>
              <w:rPr>
                <w:rFonts w:ascii="Arial" w:hAnsi="Arial"/>
                <w:sz w:val="16"/>
              </w:rPr>
              <w:t>Initializes session state machine and generates Question #1 via RAG</w:t>
            </w:r>
          </w:p>
        </w:tc>
      </w:tr>
      <w:tr>
        <w:tc>
          <w:tcPr>
            <w:tcW w:type="dxa" w:w="3120"/>
            <w:shd w:fill="FFFFFF"/>
            <w:tcMar>
              <w:top w:w="50" w:type="dxa"/>
              <w:bottom w:w="50" w:type="dxa"/>
              <w:left w:w="70" w:type="dxa"/>
              <w:right w:w="70" w:type="dxa"/>
            </w:tcMar>
          </w:tcPr>
          <w:p>
            <w:pPr>
              <w:spacing w:before="40" w:after="40"/>
            </w:pPr>
            <w:r>
              <w:rPr>
                <w:rFonts w:ascii="Arial" w:hAnsi="Arial"/>
                <w:sz w:val="16"/>
              </w:rPr>
              <w:t>POST /api/v1/interview/{id}/submit-answer</w:t>
            </w:r>
          </w:p>
        </w:tc>
        <w:tc>
          <w:tcPr>
            <w:tcW w:type="dxa" w:w="3120"/>
            <w:shd w:fill="FFFFFF"/>
            <w:tcMar>
              <w:top w:w="50" w:type="dxa"/>
              <w:bottom w:w="50" w:type="dxa"/>
              <w:left w:w="70" w:type="dxa"/>
              <w:right w:w="70" w:type="dxa"/>
            </w:tcMar>
          </w:tcPr>
          <w:p>
            <w:pPr>
              <w:spacing w:before="40" w:after="40"/>
            </w:pPr>
            <w:r>
              <w:rPr>
                <w:rFonts w:ascii="Arial" w:hAnsi="Arial"/>
                <w:sz w:val="16"/>
              </w:rPr>
              <w:t>JSON: question_id, answer_text</w:t>
            </w:r>
          </w:p>
        </w:tc>
        <w:tc>
          <w:tcPr>
            <w:tcW w:type="dxa" w:w="3120"/>
            <w:shd w:fill="FFFFFF"/>
            <w:tcMar>
              <w:top w:w="50" w:type="dxa"/>
              <w:bottom w:w="50" w:type="dxa"/>
              <w:left w:w="70" w:type="dxa"/>
              <w:right w:w="70" w:type="dxa"/>
            </w:tcMar>
          </w:tcPr>
          <w:p>
            <w:pPr>
              <w:spacing w:before="40" w:after="40"/>
            </w:pPr>
            <w:r>
              <w:rPr>
                <w:rFonts w:ascii="Arial" w:hAnsi="Arial"/>
                <w:sz w:val="16"/>
              </w:rPr>
              <w:t>Grades candidate answer across 4 dimensions and serves next question</w:t>
            </w:r>
          </w:p>
        </w:tc>
      </w:tr>
      <w:tr>
        <w:tc>
          <w:tcPr>
            <w:tcW w:type="dxa" w:w="3120"/>
            <w:shd w:fill="FAF5FB"/>
            <w:tcMar>
              <w:top w:w="50" w:type="dxa"/>
              <w:bottom w:w="50" w:type="dxa"/>
              <w:left w:w="70" w:type="dxa"/>
              <w:right w:w="70" w:type="dxa"/>
            </w:tcMar>
          </w:tcPr>
          <w:p>
            <w:pPr>
              <w:spacing w:before="40" w:after="40"/>
            </w:pPr>
            <w:r>
              <w:rPr>
                <w:rFonts w:ascii="Arial" w:hAnsi="Arial"/>
                <w:sz w:val="16"/>
              </w:rPr>
              <w:t>GET /api/v1/evaluation/{id}/report</w:t>
            </w:r>
          </w:p>
        </w:tc>
        <w:tc>
          <w:tcPr>
            <w:tcW w:type="dxa" w:w="3120"/>
            <w:shd w:fill="FAF5FB"/>
            <w:tcMar>
              <w:top w:w="50" w:type="dxa"/>
              <w:bottom w:w="50" w:type="dxa"/>
              <w:left w:w="70" w:type="dxa"/>
              <w:right w:w="70" w:type="dxa"/>
            </w:tcMar>
          </w:tcPr>
          <w:p>
            <w:pPr>
              <w:spacing w:before="40" w:after="40"/>
            </w:pPr>
            <w:r>
              <w:rPr>
                <w:rFonts w:ascii="Arial" w:hAnsi="Arial"/>
                <w:sz w:val="16"/>
              </w:rPr>
              <w:t>Path: session_id</w:t>
            </w:r>
          </w:p>
        </w:tc>
        <w:tc>
          <w:tcPr>
            <w:tcW w:type="dxa" w:w="3120"/>
            <w:shd w:fill="FAF5FB"/>
            <w:tcMar>
              <w:top w:w="50" w:type="dxa"/>
              <w:bottom w:w="50" w:type="dxa"/>
              <w:left w:w="70" w:type="dxa"/>
              <w:right w:w="70" w:type="dxa"/>
            </w:tcMar>
          </w:tcPr>
          <w:p>
            <w:pPr>
              <w:spacing w:before="40" w:after="40"/>
            </w:pPr>
            <w:r>
              <w:rPr>
                <w:rFonts w:ascii="Arial" w:hAnsi="Arial"/>
                <w:sz w:val="16"/>
              </w:rPr>
              <w:t>Retrieves complete candidate scorecard, category scores &amp; review</w:t>
            </w:r>
          </w:p>
        </w:tc>
      </w:tr>
      <w:tr>
        <w:tc>
          <w:tcPr>
            <w:tcW w:type="dxa" w:w="3120"/>
            <w:shd w:fill="FFFFFF"/>
            <w:tcMar>
              <w:top w:w="50" w:type="dxa"/>
              <w:bottom w:w="50" w:type="dxa"/>
              <w:left w:w="70" w:type="dxa"/>
              <w:right w:w="70" w:type="dxa"/>
            </w:tcMar>
          </w:tcPr>
          <w:p>
            <w:pPr>
              <w:spacing w:before="40" w:after="40"/>
            </w:pPr>
            <w:r>
              <w:rPr>
                <w:rFonts w:ascii="Arial" w:hAnsi="Arial"/>
                <w:sz w:val="16"/>
              </w:rPr>
              <w:t>GET /api/v1/evaluation/{id}/export-json</w:t>
            </w:r>
          </w:p>
        </w:tc>
        <w:tc>
          <w:tcPr>
            <w:tcW w:type="dxa" w:w="3120"/>
            <w:shd w:fill="FFFFFF"/>
            <w:tcMar>
              <w:top w:w="50" w:type="dxa"/>
              <w:bottom w:w="50" w:type="dxa"/>
              <w:left w:w="70" w:type="dxa"/>
              <w:right w:w="70" w:type="dxa"/>
            </w:tcMar>
          </w:tcPr>
          <w:p>
            <w:pPr>
              <w:spacing w:before="40" w:after="40"/>
            </w:pPr>
            <w:r>
              <w:rPr>
                <w:rFonts w:ascii="Arial" w:hAnsi="Arial"/>
                <w:sz w:val="16"/>
              </w:rPr>
              <w:t>Path: session_id</w:t>
            </w:r>
          </w:p>
        </w:tc>
        <w:tc>
          <w:tcPr>
            <w:tcW w:type="dxa" w:w="3120"/>
            <w:shd w:fill="FFFFFF"/>
            <w:tcMar>
              <w:top w:w="50" w:type="dxa"/>
              <w:bottom w:w="50" w:type="dxa"/>
              <w:left w:w="70" w:type="dxa"/>
              <w:right w:w="70" w:type="dxa"/>
            </w:tcMar>
          </w:tcPr>
          <w:p>
            <w:pPr>
              <w:spacing w:before="40" w:after="40"/>
            </w:pPr>
            <w:r>
              <w:rPr>
                <w:rFonts w:ascii="Arial" w:hAnsi="Arial"/>
                <w:sz w:val="16"/>
              </w:rPr>
              <w:t>Exports raw interview audit trail and scorecard as structured JSON</w:t>
            </w:r>
          </w:p>
        </w:tc>
      </w:tr>
      <w:tr>
        <w:tc>
          <w:tcPr>
            <w:tcW w:type="dxa" w:w="3120"/>
            <w:shd w:fill="FAF5FB"/>
            <w:tcMar>
              <w:top w:w="50" w:type="dxa"/>
              <w:bottom w:w="50" w:type="dxa"/>
              <w:left w:w="70" w:type="dxa"/>
              <w:right w:w="70" w:type="dxa"/>
            </w:tcMar>
          </w:tcPr>
          <w:p>
            <w:pPr>
              <w:spacing w:before="40" w:after="40"/>
            </w:pPr>
            <w:r>
              <w:rPr>
                <w:rFonts w:ascii="Arial" w:hAnsi="Arial"/>
                <w:sz w:val="16"/>
              </w:rPr>
              <w:t>GET /api/v1/rag/roles</w:t>
            </w:r>
          </w:p>
        </w:tc>
        <w:tc>
          <w:tcPr>
            <w:tcW w:type="dxa" w:w="3120"/>
            <w:shd w:fill="FAF5FB"/>
            <w:tcMar>
              <w:top w:w="50" w:type="dxa"/>
              <w:bottom w:w="50" w:type="dxa"/>
              <w:left w:w="70" w:type="dxa"/>
              <w:right w:w="70" w:type="dxa"/>
            </w:tcMar>
          </w:tcPr>
          <w:p>
            <w:pPr>
              <w:spacing w:before="40" w:after="40"/>
            </w:pPr>
            <w:r>
              <w:rPr>
                <w:rFonts w:ascii="Arial" w:hAnsi="Arial"/>
                <w:sz w:val="16"/>
              </w:rPr>
              <w:t>None</w:t>
            </w:r>
          </w:p>
        </w:tc>
        <w:tc>
          <w:tcPr>
            <w:tcW w:type="dxa" w:w="3120"/>
            <w:shd w:fill="FAF5FB"/>
            <w:tcMar>
              <w:top w:w="50" w:type="dxa"/>
              <w:bottom w:w="50" w:type="dxa"/>
              <w:left w:w="70" w:type="dxa"/>
              <w:right w:w="70" w:type="dxa"/>
            </w:tcMar>
          </w:tcPr>
          <w:p>
            <w:pPr>
              <w:spacing w:before="40" w:after="40"/>
            </w:pPr>
            <w:r>
              <w:rPr>
                <w:rFonts w:ascii="Arial" w:hAnsi="Arial"/>
                <w:sz w:val="16"/>
              </w:rPr>
              <w:t>Lists all supported technical roles and mapped textbook literature</w:t>
            </w:r>
          </w:p>
        </w:tc>
      </w:tr>
      <w:tr>
        <w:tc>
          <w:tcPr>
            <w:tcW w:type="dxa" w:w="3120"/>
            <w:shd w:fill="FFFFFF"/>
            <w:tcMar>
              <w:top w:w="50" w:type="dxa"/>
              <w:bottom w:w="50" w:type="dxa"/>
              <w:left w:w="70" w:type="dxa"/>
              <w:right w:w="70" w:type="dxa"/>
            </w:tcMar>
          </w:tcPr>
          <w:p>
            <w:pPr>
              <w:spacing w:before="40" w:after="40"/>
            </w:pPr>
            <w:r>
              <w:rPr>
                <w:rFonts w:ascii="Arial" w:hAnsi="Arial"/>
                <w:sz w:val="16"/>
              </w:rPr>
              <w:t>POST /api/v1/rag/query</w:t>
            </w:r>
          </w:p>
        </w:tc>
        <w:tc>
          <w:tcPr>
            <w:tcW w:type="dxa" w:w="3120"/>
            <w:shd w:fill="FFFFFF"/>
            <w:tcMar>
              <w:top w:w="50" w:type="dxa"/>
              <w:bottom w:w="50" w:type="dxa"/>
              <w:left w:w="70" w:type="dxa"/>
              <w:right w:w="70" w:type="dxa"/>
            </w:tcMar>
          </w:tcPr>
          <w:p>
            <w:pPr>
              <w:spacing w:before="40" w:after="40"/>
            </w:pPr>
            <w:r>
              <w:rPr>
                <w:rFonts w:ascii="Arial" w:hAnsi="Arial"/>
                <w:sz w:val="16"/>
              </w:rPr>
              <w:t>JSON: query, role, top_k</w:t>
            </w:r>
          </w:p>
        </w:tc>
        <w:tc>
          <w:tcPr>
            <w:tcW w:type="dxa" w:w="3120"/>
            <w:shd w:fill="FFFFFF"/>
            <w:tcMar>
              <w:top w:w="50" w:type="dxa"/>
              <w:bottom w:w="50" w:type="dxa"/>
              <w:left w:w="70" w:type="dxa"/>
              <w:right w:w="70" w:type="dxa"/>
            </w:tcMar>
          </w:tcPr>
          <w:p>
            <w:pPr>
              <w:spacing w:before="40" w:after="40"/>
            </w:pPr>
            <w:r>
              <w:rPr>
                <w:rFonts w:ascii="Arial" w:hAnsi="Arial"/>
                <w:sz w:val="16"/>
              </w:rPr>
              <w:t>Inspects semantic chunk retrieval and similarity relevance scores</w:t>
            </w:r>
          </w:p>
        </w:tc>
      </w:tr>
    </w:tbl>
    <w:p>
      <w:pPr>
        <w:spacing w:after="120"/>
      </w:pPr>
    </w:p>
    <w:p>
      <w:pPr>
        <w:keepNext/>
        <w:spacing w:before="320" w:after="120"/>
      </w:pPr>
      <w:r>
        <w:rPr>
          <w:rFonts w:ascii="Arial" w:hAnsi="Arial"/>
          <w:b/>
          <w:color w:val="2F2433"/>
          <w:sz w:val="28"/>
        </w:rPr>
        <w:t>7. Testing &amp; Quality Assurance Verification</w:t>
      </w:r>
    </w:p>
    <w:p>
      <w:pPr>
        <w:spacing w:before="40" w:after="100" w:line="276" w:lineRule="auto"/>
      </w:pPr>
      <w:r>
        <w:rPr>
          <w:rFonts w:ascii="Arial" w:hAnsi="Arial"/>
          <w:color w:val="1E1E1E"/>
          <w:sz w:val="20"/>
        </w:rPr>
        <w:t>The system includes a rigorous automated test suite with 100% test passing rate across all subsystem layers:</w:t>
      </w:r>
    </w:p>
    <w:tbl>
      <w:tblPr>
        <w:tblW w:type="auto" w:w="0"/>
        <w:jc w:val="center"/>
        <w:tblLayout w:type="fixed"/>
        <w:tblLook w:firstColumn="1" w:firstRow="1" w:lastColumn="0" w:lastRow="0" w:noHBand="0" w:noVBand="1" w:val="04A0"/>
      </w:tblPr>
      <w:tblGrid>
        <w:gridCol w:w="2592"/>
        <w:gridCol w:w="1440"/>
        <w:gridCol w:w="5328"/>
      </w:tblGrid>
      <w:tr>
        <w:tc>
          <w:tcPr>
            <w:tcW w:type="dxa" w:w="3120"/>
            <w:shd w:fill="2F2433"/>
            <w:tcMar>
              <w:top w:w="80" w:type="dxa"/>
              <w:bottom w:w="80" w:type="dxa"/>
              <w:left w:w="100" w:type="dxa"/>
              <w:right w:w="100" w:type="dxa"/>
            </w:tcMar>
          </w:tcPr>
          <w:p>
            <w:r>
              <w:rPr>
                <w:b/>
                <w:color w:val="FFFFFF"/>
                <w:sz w:val="17"/>
              </w:rPr>
              <w:t>Test Module</w:t>
            </w:r>
          </w:p>
        </w:tc>
        <w:tc>
          <w:tcPr>
            <w:tcW w:type="dxa" w:w="3120"/>
            <w:shd w:fill="2F2433"/>
            <w:tcMar>
              <w:top w:w="80" w:type="dxa"/>
              <w:bottom w:w="80" w:type="dxa"/>
              <w:left w:w="100" w:type="dxa"/>
              <w:right w:w="100" w:type="dxa"/>
            </w:tcMar>
          </w:tcPr>
          <w:p>
            <w:r>
              <w:rPr>
                <w:b/>
                <w:color w:val="FFFFFF"/>
                <w:sz w:val="17"/>
              </w:rPr>
              <w:t>Test Count</w:t>
            </w:r>
          </w:p>
        </w:tc>
        <w:tc>
          <w:tcPr>
            <w:tcW w:type="dxa" w:w="3120"/>
            <w:shd w:fill="2F2433"/>
            <w:tcMar>
              <w:top w:w="80" w:type="dxa"/>
              <w:bottom w:w="80" w:type="dxa"/>
              <w:left w:w="100" w:type="dxa"/>
              <w:right w:w="100" w:type="dxa"/>
            </w:tcMar>
          </w:tcPr>
          <w:p>
            <w:r>
              <w:rPr>
                <w:b/>
                <w:color w:val="FFFFFF"/>
                <w:sz w:val="17"/>
              </w:rPr>
              <w:t>Verified Subsystem Functionalities</w:t>
            </w:r>
          </w:p>
        </w:tc>
      </w:tr>
      <w:tr>
        <w:tc>
          <w:tcPr>
            <w:tcW w:type="dxa" w:w="3120"/>
            <w:shd w:fill="FAF5FB"/>
            <w:tcMar>
              <w:top w:w="50" w:type="dxa"/>
              <w:bottom w:w="50" w:type="dxa"/>
              <w:left w:w="70" w:type="dxa"/>
              <w:right w:w="70" w:type="dxa"/>
            </w:tcMar>
          </w:tcPr>
          <w:p>
            <w:pPr>
              <w:spacing w:before="40" w:after="40"/>
            </w:pPr>
            <w:r>
              <w:rPr>
                <w:rFonts w:ascii="Arial" w:hAnsi="Arial"/>
                <w:sz w:val="16"/>
              </w:rPr>
              <w:t>test_resume_parser.py</w:t>
            </w:r>
          </w:p>
        </w:tc>
        <w:tc>
          <w:tcPr>
            <w:tcW w:type="dxa" w:w="3120"/>
            <w:shd w:fill="FAF5FB"/>
            <w:tcMar>
              <w:top w:w="50" w:type="dxa"/>
              <w:bottom w:w="50" w:type="dxa"/>
              <w:left w:w="70" w:type="dxa"/>
              <w:right w:w="70" w:type="dxa"/>
            </w:tcMar>
          </w:tcPr>
          <w:p>
            <w:pPr>
              <w:spacing w:before="40" w:after="40"/>
            </w:pPr>
            <w:r>
              <w:rPr>
                <w:rFonts w:ascii="Arial" w:hAnsi="Arial"/>
                <w:sz w:val="16"/>
              </w:rPr>
              <w:t>5 tests</w:t>
            </w:r>
          </w:p>
        </w:tc>
        <w:tc>
          <w:tcPr>
            <w:tcW w:type="dxa" w:w="3120"/>
            <w:shd w:fill="FAF5FB"/>
            <w:tcMar>
              <w:top w:w="50" w:type="dxa"/>
              <w:bottom w:w="50" w:type="dxa"/>
              <w:left w:w="70" w:type="dxa"/>
              <w:right w:w="70" w:type="dxa"/>
            </w:tcMar>
          </w:tcPr>
          <w:p>
            <w:pPr>
              <w:spacing w:before="40" w:after="40"/>
            </w:pPr>
            <w:r>
              <w:rPr>
                <w:rFonts w:ascii="Arial" w:hAnsi="Arial"/>
                <w:sz w:val="16"/>
              </w:rPr>
              <w:t>PDF extraction, contact regex, skills taxonomy matching, domain exposure, experience heuristics.</w:t>
            </w:r>
          </w:p>
        </w:tc>
      </w:tr>
      <w:tr>
        <w:tc>
          <w:tcPr>
            <w:tcW w:type="dxa" w:w="3120"/>
            <w:shd w:fill="FFFFFF"/>
            <w:tcMar>
              <w:top w:w="50" w:type="dxa"/>
              <w:bottom w:w="50" w:type="dxa"/>
              <w:left w:w="70" w:type="dxa"/>
              <w:right w:w="70" w:type="dxa"/>
            </w:tcMar>
          </w:tcPr>
          <w:p>
            <w:pPr>
              <w:spacing w:before="40" w:after="40"/>
            </w:pPr>
            <w:r>
              <w:rPr>
                <w:rFonts w:ascii="Arial" w:hAnsi="Arial"/>
                <w:sz w:val="16"/>
              </w:rPr>
              <w:t>test_rag_service.py</w:t>
            </w:r>
          </w:p>
        </w:tc>
        <w:tc>
          <w:tcPr>
            <w:tcW w:type="dxa" w:w="3120"/>
            <w:shd w:fill="FFFFFF"/>
            <w:tcMar>
              <w:top w:w="50" w:type="dxa"/>
              <w:bottom w:w="50" w:type="dxa"/>
              <w:left w:w="70" w:type="dxa"/>
              <w:right w:w="70" w:type="dxa"/>
            </w:tcMar>
          </w:tcPr>
          <w:p>
            <w:pPr>
              <w:spacing w:before="40" w:after="40"/>
            </w:pPr>
            <w:r>
              <w:rPr>
                <w:rFonts w:ascii="Arial" w:hAnsi="Arial"/>
                <w:sz w:val="16"/>
              </w:rPr>
              <w:t>4 tests</w:t>
            </w:r>
          </w:p>
        </w:tc>
        <w:tc>
          <w:tcPr>
            <w:tcW w:type="dxa" w:w="3120"/>
            <w:shd w:fill="FFFFFF"/>
            <w:tcMar>
              <w:top w:w="50" w:type="dxa"/>
              <w:bottom w:w="50" w:type="dxa"/>
              <w:left w:w="70" w:type="dxa"/>
              <w:right w:w="70" w:type="dxa"/>
            </w:tcMar>
          </w:tcPr>
          <w:p>
            <w:pPr>
              <w:spacing w:before="40" w:after="40"/>
            </w:pPr>
            <w:r>
              <w:rPr>
                <w:rFonts w:ascii="Arial" w:hAnsi="Arial"/>
                <w:sz w:val="16"/>
              </w:rPr>
              <w:t>Corpus ingestion, semantic chunking, TF-IDF vector matrix construction, cosine relevance scoring, metadata traceability.</w:t>
            </w:r>
          </w:p>
        </w:tc>
      </w:tr>
      <w:tr>
        <w:tc>
          <w:tcPr>
            <w:tcW w:type="dxa" w:w="3120"/>
            <w:shd w:fill="FAF5FB"/>
            <w:tcMar>
              <w:top w:w="50" w:type="dxa"/>
              <w:bottom w:w="50" w:type="dxa"/>
              <w:left w:w="70" w:type="dxa"/>
              <w:right w:w="70" w:type="dxa"/>
            </w:tcMar>
          </w:tcPr>
          <w:p>
            <w:pPr>
              <w:spacing w:before="40" w:after="40"/>
            </w:pPr>
            <w:r>
              <w:rPr>
                <w:rFonts w:ascii="Arial" w:hAnsi="Arial"/>
                <w:sz w:val="16"/>
              </w:rPr>
              <w:t>test_interview_engine.py</w:t>
            </w:r>
          </w:p>
        </w:tc>
        <w:tc>
          <w:tcPr>
            <w:tcW w:type="dxa" w:w="3120"/>
            <w:shd w:fill="FAF5FB"/>
            <w:tcMar>
              <w:top w:w="50" w:type="dxa"/>
              <w:bottom w:w="50" w:type="dxa"/>
              <w:left w:w="70" w:type="dxa"/>
              <w:right w:w="70" w:type="dxa"/>
            </w:tcMar>
          </w:tcPr>
          <w:p>
            <w:pPr>
              <w:spacing w:before="40" w:after="40"/>
            </w:pPr>
            <w:r>
              <w:rPr>
                <w:rFonts w:ascii="Arial" w:hAnsi="Arial"/>
                <w:sz w:val="16"/>
              </w:rPr>
              <w:t>2 tests</w:t>
            </w:r>
          </w:p>
        </w:tc>
        <w:tc>
          <w:tcPr>
            <w:tcW w:type="dxa" w:w="3120"/>
            <w:shd w:fill="FAF5FB"/>
            <w:tcMar>
              <w:top w:w="50" w:type="dxa"/>
              <w:bottom w:w="50" w:type="dxa"/>
              <w:left w:w="70" w:type="dxa"/>
              <w:right w:w="70" w:type="dxa"/>
            </w:tcMar>
          </w:tcPr>
          <w:p>
            <w:pPr>
              <w:spacing w:before="40" w:after="40"/>
            </w:pPr>
            <w:r>
              <w:rPr>
                <w:rFonts w:ascii="Arial" w:hAnsi="Arial"/>
                <w:sz w:val="16"/>
              </w:rPr>
              <w:t>Session initialization, question generation from RAG context, multi-turn state progression, completion transitions.</w:t>
            </w:r>
          </w:p>
        </w:tc>
      </w:tr>
      <w:tr>
        <w:tc>
          <w:tcPr>
            <w:tcW w:type="dxa" w:w="3120"/>
            <w:shd w:fill="FFFFFF"/>
            <w:tcMar>
              <w:top w:w="50" w:type="dxa"/>
              <w:bottom w:w="50" w:type="dxa"/>
              <w:left w:w="70" w:type="dxa"/>
              <w:right w:w="70" w:type="dxa"/>
            </w:tcMar>
          </w:tcPr>
          <w:p>
            <w:pPr>
              <w:spacing w:before="40" w:after="40"/>
            </w:pPr>
            <w:r>
              <w:rPr>
                <w:rFonts w:ascii="Arial" w:hAnsi="Arial"/>
                <w:sz w:val="16"/>
              </w:rPr>
              <w:t>test_evaluation_service.py</w:t>
            </w:r>
          </w:p>
        </w:tc>
        <w:tc>
          <w:tcPr>
            <w:tcW w:type="dxa" w:w="3120"/>
            <w:shd w:fill="FFFFFF"/>
            <w:tcMar>
              <w:top w:w="50" w:type="dxa"/>
              <w:bottom w:w="50" w:type="dxa"/>
              <w:left w:w="70" w:type="dxa"/>
              <w:right w:w="70" w:type="dxa"/>
            </w:tcMar>
          </w:tcPr>
          <w:p>
            <w:pPr>
              <w:spacing w:before="40" w:after="40"/>
            </w:pPr>
            <w:r>
              <w:rPr>
                <w:rFonts w:ascii="Arial" w:hAnsi="Arial"/>
                <w:sz w:val="16"/>
              </w:rPr>
              <w:t>1 test</w:t>
            </w:r>
          </w:p>
        </w:tc>
        <w:tc>
          <w:tcPr>
            <w:tcW w:type="dxa" w:w="3120"/>
            <w:shd w:fill="FFFFFF"/>
            <w:tcMar>
              <w:top w:w="50" w:type="dxa"/>
              <w:bottom w:w="50" w:type="dxa"/>
              <w:left w:w="70" w:type="dxa"/>
              <w:right w:w="70" w:type="dxa"/>
            </w:tcMar>
          </w:tcPr>
          <w:p>
            <w:pPr>
              <w:spacing w:before="40" w:after="40"/>
            </w:pPr>
            <w:r>
              <w:rPr>
                <w:rFonts w:ascii="Arial" w:hAnsi="Arial"/>
                <w:sz w:val="16"/>
              </w:rPr>
              <w:t>4-dimension rubric scoring, category proficiency aggregation, mastery rating computation.</w:t>
            </w:r>
          </w:p>
        </w:tc>
      </w:tr>
      <w:tr>
        <w:tc>
          <w:tcPr>
            <w:tcW w:type="dxa" w:w="3120"/>
            <w:shd w:fill="FAF5FB"/>
            <w:tcMar>
              <w:top w:w="50" w:type="dxa"/>
              <w:bottom w:w="50" w:type="dxa"/>
              <w:left w:w="70" w:type="dxa"/>
              <w:right w:w="70" w:type="dxa"/>
            </w:tcMar>
          </w:tcPr>
          <w:p>
            <w:pPr>
              <w:spacing w:before="40" w:after="40"/>
            </w:pPr>
            <w:r>
              <w:rPr>
                <w:rFonts w:ascii="Arial" w:hAnsi="Arial"/>
                <w:sz w:val="16"/>
              </w:rPr>
              <w:t>test_api_endpoints.py</w:t>
            </w:r>
          </w:p>
        </w:tc>
        <w:tc>
          <w:tcPr>
            <w:tcW w:type="dxa" w:w="3120"/>
            <w:shd w:fill="FAF5FB"/>
            <w:tcMar>
              <w:top w:w="50" w:type="dxa"/>
              <w:bottom w:w="50" w:type="dxa"/>
              <w:left w:w="70" w:type="dxa"/>
              <w:right w:w="70" w:type="dxa"/>
            </w:tcMar>
          </w:tcPr>
          <w:p>
            <w:pPr>
              <w:spacing w:before="40" w:after="40"/>
            </w:pPr>
            <w:r>
              <w:rPr>
                <w:rFonts w:ascii="Arial" w:hAnsi="Arial"/>
                <w:sz w:val="16"/>
              </w:rPr>
              <w:t>5 tests</w:t>
            </w:r>
          </w:p>
        </w:tc>
        <w:tc>
          <w:tcPr>
            <w:tcW w:type="dxa" w:w="3120"/>
            <w:shd w:fill="FAF5FB"/>
            <w:tcMar>
              <w:top w:w="50" w:type="dxa"/>
              <w:bottom w:w="50" w:type="dxa"/>
              <w:left w:w="70" w:type="dxa"/>
              <w:right w:w="70" w:type="dxa"/>
            </w:tcMar>
          </w:tcPr>
          <w:p>
            <w:pPr>
              <w:spacing w:before="40" w:after="40"/>
            </w:pPr>
            <w:r>
              <w:rPr>
                <w:rFonts w:ascii="Arial" w:hAnsi="Arial"/>
                <w:sz w:val="16"/>
              </w:rPr>
              <w:t>Healthcheck, supported roles, RAG query inspection, resume parsing API, full screening lifecycle HTTP integration.</w:t>
            </w:r>
          </w:p>
        </w:tc>
      </w:tr>
    </w:tbl>
    <w:p>
      <w:pPr>
        <w:spacing w:after="120"/>
      </w:pPr>
    </w:p>
    <w:p>
      <w:pPr>
        <w:keepNext/>
        <w:spacing w:before="320" w:after="120"/>
      </w:pPr>
      <w:r>
        <w:rPr>
          <w:rFonts w:ascii="Arial" w:hAnsi="Arial"/>
          <w:b/>
          <w:color w:val="2F2433"/>
          <w:sz w:val="28"/>
        </w:rPr>
        <w:t>8. Production Scalability &amp; Security Roadmap</w:t>
      </w:r>
    </w:p>
    <w:p>
      <w:pPr>
        <w:spacing w:before="40" w:after="100" w:line="276" w:lineRule="auto"/>
      </w:pPr>
      <w:r>
        <w:rPr>
          <w:rFonts w:ascii="Arial" w:hAnsi="Arial"/>
          <w:color w:val="1E1E1E"/>
          <w:sz w:val="20"/>
        </w:rPr>
        <w:t>To transition VantageAI from a single-node deployment to an enterprise-scale architecture supporting 10,000+ concurrent candidate sessions:</w:t>
      </w:r>
    </w:p>
    <w:p>
      <w:pPr>
        <w:pStyle w:val="ListBullet"/>
        <w:spacing w:before="20" w:after="60" w:line="276" w:lineRule="auto"/>
      </w:pPr>
      <w:r>
        <w:rPr>
          <w:rFonts w:ascii="Arial" w:hAnsi="Arial"/>
          <w:b/>
          <w:color w:val="2F2433"/>
          <w:sz w:val="19"/>
        </w:rPr>
        <w:t xml:space="preserve">1. Distributed Relational Database: </w:t>
      </w:r>
      <w:r>
        <w:rPr>
          <w:rFonts w:ascii="Arial" w:hAnsi="Arial"/>
          <w:color w:val="1E1E1E"/>
          <w:sz w:val="19"/>
        </w:rPr>
        <w:t>Migrate from SQLite to PostgreSQL with read replicas, utilizing connection pooling (PgBouncer) for high concurrency.</w:t>
      </w:r>
    </w:p>
    <w:p>
      <w:pPr>
        <w:pStyle w:val="ListBullet"/>
        <w:spacing w:before="20" w:after="60" w:line="276" w:lineRule="auto"/>
      </w:pPr>
      <w:r>
        <w:rPr>
          <w:rFonts w:ascii="Arial" w:hAnsi="Arial"/>
          <w:b/>
          <w:color w:val="2F2433"/>
          <w:sz w:val="19"/>
        </w:rPr>
        <w:t xml:space="preserve">2. Asynchronous Worker Architecture: </w:t>
      </w:r>
      <w:r>
        <w:rPr>
          <w:rFonts w:ascii="Arial" w:hAnsi="Arial"/>
          <w:color w:val="1E1E1E"/>
          <w:sz w:val="19"/>
        </w:rPr>
        <w:t>Offload LLM evaluation and question synthesis to background worker pools (Celery / Redis Queue), delivering real-time candidate updates via WebSockets.</w:t>
      </w:r>
    </w:p>
    <w:p>
      <w:pPr>
        <w:pStyle w:val="ListBullet"/>
        <w:spacing w:before="20" w:after="60" w:line="276" w:lineRule="auto"/>
      </w:pPr>
      <w:r>
        <w:rPr>
          <w:rFonts w:ascii="Arial" w:hAnsi="Arial"/>
          <w:b/>
          <w:color w:val="2F2433"/>
          <w:sz w:val="19"/>
        </w:rPr>
        <w:t xml:space="preserve">3. Hybrid Vector Scaling: </w:t>
      </w:r>
      <w:r>
        <w:rPr>
          <w:rFonts w:ascii="Arial" w:hAnsi="Arial"/>
          <w:color w:val="1E1E1E"/>
          <w:sz w:val="19"/>
        </w:rPr>
        <w:t>Implement hybrid vector search (dense embeddings + BM25 sparse keyword search) utilizing pgvector or dedicated vector databases (Qdrant / Pinecone).</w:t>
      </w:r>
    </w:p>
    <w:p>
      <w:pPr>
        <w:pStyle w:val="ListBullet"/>
        <w:spacing w:before="20" w:after="60" w:line="276" w:lineRule="auto"/>
      </w:pPr>
      <w:r>
        <w:rPr>
          <w:rFonts w:ascii="Arial" w:hAnsi="Arial"/>
          <w:b/>
          <w:color w:val="2F2433"/>
          <w:sz w:val="19"/>
        </w:rPr>
        <w:t xml:space="preserve">4. Security &amp; Rate Limiting: </w:t>
      </w:r>
      <w:r>
        <w:rPr>
          <w:rFonts w:ascii="Arial" w:hAnsi="Arial"/>
          <w:color w:val="1E1E1E"/>
          <w:sz w:val="19"/>
        </w:rPr>
        <w:t>Introduce rate limiting (Token Bucket via Redis), input sanitization against prompt injection attacks, and encrypted candidate PII at rest.</w:t>
      </w:r>
    </w:p>
    <w:p>
      <w:pPr>
        <w:pStyle w:val="ListBullet"/>
        <w:spacing w:before="20" w:after="60" w:line="276" w:lineRule="auto"/>
      </w:pPr>
      <w:r>
        <w:rPr>
          <w:rFonts w:ascii="Arial" w:hAnsi="Arial"/>
          <w:b/>
          <w:color w:val="2F2433"/>
          <w:sz w:val="19"/>
        </w:rPr>
        <w:t xml:space="preserve">5. Observability &amp; Telemetry: </w:t>
      </w:r>
      <w:r>
        <w:rPr>
          <w:rFonts w:ascii="Arial" w:hAnsi="Arial"/>
          <w:color w:val="1E1E1E"/>
          <w:sz w:val="19"/>
        </w:rPr>
        <w:t>Incorporate OpenTelemetry tracing and Langfuse observability to monitor LLM token latency, score distributions, and cost per screening session.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