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2"/>
        <w:jc w:val="center"/>
        <w:rPr>
          <w:b/>
          <w:sz w:val="23"/>
          <w:szCs w:val="23"/>
        </w:rPr>
      </w:pPr>
      <w:r>
        <w:rPr>
          <w:b/>
          <w:sz w:val="23"/>
          <w:szCs w:val="23"/>
        </w:rPr>
        <w:t>Договор № {contract_number}</w:t>
      </w:r>
    </w:p>
    <w:p>
      <w:pPr>
        <w:pStyle w:val="22"/>
        <w:jc w:val="center"/>
        <w:rPr>
          <w:b/>
          <w:sz w:val="23"/>
          <w:szCs w:val="23"/>
        </w:rPr>
      </w:pPr>
      <w:r>
        <w:rPr>
          <w:b/>
          <w:sz w:val="23"/>
          <w:szCs w:val="23"/>
        </w:rPr>
      </w:r>
    </w:p>
    <w:p>
      <w:pPr>
        <w:pStyle w:val="Normal"/>
        <w:shd w:fill="FFFFFF" w:val="clear"/>
        <w:spacing w:lineRule="exact" w:line="269"/>
        <w:ind w:firstLine="710" w:end="-1"/>
        <w:jc w:val="both"/>
        <w:rPr/>
      </w:pPr>
      <w:r>
        <w:rPr>
          <w:color w:val="000000"/>
          <w:sz w:val="23"/>
          <w:szCs w:val="23"/>
        </w:rPr>
        <w:t>г. Санкт-Петербург                                                                                     «{contract_date}» г.</w:t>
      </w:r>
    </w:p>
    <w:p>
      <w:pPr>
        <w:pStyle w:val="Normal"/>
        <w:shd w:fill="FFFFFF" w:val="clear"/>
        <w:spacing w:lineRule="exact" w:line="269"/>
        <w:ind w:firstLine="710" w:end="-1"/>
        <w:jc w:val="both"/>
        <w:rPr>
          <w:color w:val="000000"/>
          <w:sz w:val="23"/>
          <w:szCs w:val="23"/>
        </w:rPr>
      </w:pPr>
      <w:r>
        <w:rPr>
          <w:color w:val="000000"/>
          <w:sz w:val="23"/>
          <w:szCs w:val="23"/>
        </w:rPr>
      </w:r>
    </w:p>
    <w:p>
      <w:pPr>
        <w:pStyle w:val="Normal"/>
        <w:autoSpaceDE w:val="false"/>
        <w:jc w:val="both"/>
        <w:rPr>
          <w:b/>
          <w:bCs/>
          <w:color w:val="000000"/>
          <w:sz w:val="23"/>
          <w:szCs w:val="23"/>
        </w:rPr>
      </w:pPr>
      <w:r>
        <w:rPr>
          <w:color w:val="000000"/>
          <w:sz w:val="23"/>
          <w:szCs w:val="23"/>
        </w:rPr>
        <w:t>{customer_full_name}, именуемое в дальнейшем «Заказчик», {customer_signatory_clause}, с одной стороны, и {contractor_full_name}, именуемый в дальнейшем «Поставщик», в лице {contractor_signatory_position} {contractor_signatory_full_name}, {contractor_acting_basis}, с другой стороны, вместе именуемые «Стороны», 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r>
        <w:rPr>
          <w:b/>
          <w:color w:val="000000"/>
          <w:sz w:val="23"/>
          <w:szCs w:val="23"/>
        </w:rPr>
        <w:t xml:space="preserve"> </w:t>
      </w:r>
    </w:p>
    <w:p>
      <w:pPr>
        <w:pStyle w:val="Normal"/>
        <w:shd w:fill="FFFFFF" w:val="clear"/>
        <w:spacing w:before="264" w:after="0"/>
        <w:ind w:start="3614" w:end="-1"/>
        <w:rPr>
          <w:sz w:val="23"/>
          <w:szCs w:val="23"/>
        </w:rPr>
      </w:pPr>
      <w:r>
        <w:rPr>
          <w:b/>
          <w:color w:val="000000"/>
          <w:sz w:val="23"/>
          <w:szCs w:val="23"/>
        </w:rPr>
        <w:t>1. ПРЕДМЕТ ДОГОВОРА</w:t>
      </w:r>
    </w:p>
    <w:p>
      <w:pPr>
        <w:pStyle w:val="Normal"/>
        <w:spacing w:before="0" w:after="120"/>
        <w:ind w:firstLine="567" w:end="-1"/>
        <w:jc w:val="both"/>
        <w:rPr>
          <w:sz w:val="23"/>
          <w:szCs w:val="23"/>
        </w:rPr>
      </w:pPr>
      <w:r>
        <w:rPr>
          <w:sz w:val="23"/>
          <w:szCs w:val="23"/>
        </w:rPr>
        <w:t>1.1. По настоящему Договору Поставщик обязуется по заданию Заказчика осуществить {subject_description}</w:t>
      </w:r>
      <w:r>
        <w:rPr>
          <w:i/>
          <w:sz w:val="23"/>
          <w:szCs w:val="23"/>
        </w:rPr>
        <w:t xml:space="preserve"> </w:t>
      </w:r>
      <w:r>
        <w:rPr>
          <w:sz w:val="23"/>
          <w:szCs w:val="23"/>
        </w:rPr>
        <w:t>для реализации мероприятий проекта «{project_name}»</w:t>
      </w:r>
      <w:r>
        <w:rPr>
          <w:i/>
          <w:sz w:val="23"/>
          <w:szCs w:val="23"/>
        </w:rPr>
        <w:t xml:space="preserve"> </w:t>
      </w:r>
      <w:r>
        <w:rPr>
          <w:sz w:val="23"/>
          <w:szCs w:val="23"/>
        </w:rPr>
        <w:t xml:space="preserve">(далее – Товар), а Заказчик – оплатить Товар. </w:t>
      </w:r>
    </w:p>
    <w:p>
      <w:pPr>
        <w:pStyle w:val="Normal"/>
        <w:ind w:firstLine="567" w:end="-1"/>
        <w:jc w:val="both"/>
        <w:rPr/>
      </w:pPr>
      <w:r>
        <w:rPr>
          <w:sz w:val="23"/>
          <w:szCs w:val="23"/>
        </w:rPr>
        <w:t>1.2. Поставка Товара, указанного в п.1.1, выполняется в соответствии с Спецификацией (Приложение № 1), являющейся неотъемлемой частью Договора, в целях реализации проектного решения «Практикум развития культурного движения «По зову сердца».</w:t>
        <w:tab/>
        <w:tab/>
        <w:tab/>
        <w:tab/>
        <w:tab/>
        <w:tab/>
        <w:tab/>
        <w:tab/>
        <w:tab/>
        <w:tab/>
      </w:r>
    </w:p>
    <w:p>
      <w:pPr>
        <w:pStyle w:val="Normal"/>
        <w:ind w:firstLine="567" w:end="-1"/>
        <w:jc w:val="both"/>
        <w:rPr>
          <w:sz w:val="23"/>
          <w:szCs w:val="23"/>
        </w:rPr>
      </w:pPr>
      <w:r>
        <w:rPr>
          <w:sz w:val="23"/>
          <w:szCs w:val="23"/>
        </w:rPr>
      </w:r>
    </w:p>
    <w:p>
      <w:pPr>
        <w:pStyle w:val="Normal"/>
        <w:ind w:start="567" w:end="0"/>
        <w:jc w:val="center"/>
        <w:rPr/>
      </w:pPr>
      <w:r>
        <w:rPr>
          <w:b/>
          <w:sz w:val="23"/>
          <w:szCs w:val="23"/>
        </w:rPr>
        <w:t>2. УСЛОВИЯ ИЗГОТОВЛЕНИЯ И ПОСТАВКИ ТОВАРА</w:t>
      </w:r>
    </w:p>
    <w:p>
      <w:pPr>
        <w:pStyle w:val="Normal"/>
        <w:ind w:firstLine="567" w:end="0"/>
        <w:jc w:val="both"/>
        <w:rPr>
          <w:sz w:val="23"/>
          <w:szCs w:val="23"/>
        </w:rPr>
      </w:pPr>
      <w:r>
        <w:rPr>
          <w:sz w:val="23"/>
          <w:szCs w:val="23"/>
        </w:rPr>
        <w:t>2.1. Срок изготовления и поставки Товара по настоящему договору: {delivery_deadline} г. Заказчик в день заключения договора представляет Поставщику макет нанесения. По настоящему договору Стороны определили, что изготовление и поставка осуществляется поэтапно в соответствии со сроками, указанными в приложениях к настоящему договору.</w:t>
      </w:r>
    </w:p>
    <w:p>
      <w:pPr>
        <w:pStyle w:val="Normal"/>
        <w:ind w:firstLine="567" w:end="0"/>
        <w:jc w:val="both"/>
        <w:rPr>
          <w:sz w:val="23"/>
          <w:szCs w:val="23"/>
        </w:rPr>
      </w:pPr>
      <w:r>
        <w:rPr>
          <w:sz w:val="23"/>
          <w:szCs w:val="23"/>
        </w:rPr>
        <w:t xml:space="preserve">Изготовленные в соответствии со Спецификациями, образцы Товара должны быть представлены Заказчику в течение 3 (трех) рабочих дней с даты заключения договора. </w:t>
      </w:r>
    </w:p>
    <w:p>
      <w:pPr>
        <w:pStyle w:val="Normal"/>
        <w:ind w:firstLine="567" w:end="0"/>
        <w:jc w:val="both"/>
        <w:rPr/>
      </w:pPr>
      <w:r>
        <w:rPr>
          <w:sz w:val="23"/>
          <w:szCs w:val="23"/>
        </w:rPr>
        <w:t>Поставка Товара до места передачи, погрузо-разгрузочные работы на складе Заказчика производятся силами и средствами Поставщика. При этом должна обеспечиваться сохранность Товара.</w:t>
      </w:r>
    </w:p>
    <w:p>
      <w:pPr>
        <w:pStyle w:val="Normal"/>
        <w:ind w:firstLine="567" w:end="0"/>
        <w:jc w:val="both"/>
        <w:rPr/>
      </w:pPr>
      <w:r>
        <w:rPr>
          <w:sz w:val="23"/>
          <w:szCs w:val="23"/>
        </w:rPr>
        <w:t>2.2. Поставка Товара осуществляется по адресам Заказчика в соответствии со Спецификацией (Приложение № 1).</w:t>
      </w:r>
    </w:p>
    <w:p>
      <w:pPr>
        <w:pStyle w:val="Normal"/>
        <w:ind w:firstLine="567" w:end="0"/>
        <w:jc w:val="both"/>
        <w:rPr>
          <w:sz w:val="23"/>
          <w:szCs w:val="23"/>
        </w:rPr>
      </w:pPr>
      <w:r>
        <w:rPr>
          <w:sz w:val="23"/>
          <w:szCs w:val="23"/>
        </w:rPr>
        <w:t xml:space="preserve">2.3. Товар считается переданным Поставщиком и принятым Заказчиком после подписания Сторонами товарных накладных/УПД. </w:t>
      </w:r>
    </w:p>
    <w:p>
      <w:pPr>
        <w:pStyle w:val="Normal"/>
        <w:ind w:firstLine="567" w:end="0"/>
        <w:jc w:val="both"/>
        <w:rPr/>
      </w:pPr>
      <w:r>
        <w:rPr>
          <w:sz w:val="23"/>
          <w:szCs w:val="23"/>
        </w:rPr>
        <w:t>2.4. Право собственности и риск случайной гибели на Товар переходит от Поставщика к Заказчику с момента подписания Заказчиком товарной накладной.</w:t>
      </w:r>
    </w:p>
    <w:p>
      <w:pPr>
        <w:pStyle w:val="Normal"/>
        <w:ind w:firstLine="567" w:end="0"/>
        <w:jc w:val="both"/>
        <w:rPr/>
      </w:pPr>
      <w:r>
        <w:rPr>
          <w:sz w:val="23"/>
          <w:szCs w:val="23"/>
        </w:rPr>
        <w:t>2.5. Поставщик обязуется передать Заказчику Товар, соответствующий национальным стандартам Российской Федерации, установленным для данного вида Товара, а также техническим условиям и сертификатам завода-изготовителя Товара.</w:t>
      </w:r>
    </w:p>
    <w:p>
      <w:pPr>
        <w:pStyle w:val="Normal"/>
        <w:ind w:firstLine="567" w:end="0"/>
        <w:jc w:val="both"/>
        <w:rPr/>
      </w:pPr>
      <w:r>
        <w:rPr>
          <w:sz w:val="23"/>
          <w:szCs w:val="23"/>
        </w:rPr>
        <w:t>2.6. Поставщик обязуется осуществить поставку Товара в упаковке, которая бы обеспечила сохранность Товара во время транспортировки и до передачи Товара Заказчику.</w:t>
      </w:r>
    </w:p>
    <w:p>
      <w:pPr>
        <w:pStyle w:val="Normal"/>
        <w:ind w:firstLine="567" w:end="0"/>
        <w:jc w:val="both"/>
        <w:rPr/>
      </w:pPr>
      <w:r>
        <w:rPr>
          <w:sz w:val="23"/>
          <w:szCs w:val="23"/>
        </w:rPr>
        <w:t>2.7. Поставщик обязан уведомить Заказчика о готовности Товара к передаче не позднее 12 часов до предполагаемых даты и времени поставки (доставки) Товара.</w:t>
      </w:r>
    </w:p>
    <w:p>
      <w:pPr>
        <w:pStyle w:val="Normal"/>
        <w:ind w:firstLine="567" w:end="0"/>
        <w:jc w:val="both"/>
        <w:rPr>
          <w:sz w:val="23"/>
          <w:szCs w:val="23"/>
        </w:rPr>
      </w:pPr>
      <w:r>
        <w:rPr>
          <w:sz w:val="23"/>
          <w:szCs w:val="23"/>
        </w:rPr>
      </w:r>
    </w:p>
    <w:p>
      <w:pPr>
        <w:pStyle w:val="Normal"/>
        <w:numPr>
          <w:ilvl w:val="0"/>
          <w:numId w:val="4"/>
        </w:numPr>
        <w:jc w:val="center"/>
        <w:rPr>
          <w:b/>
          <w:sz w:val="23"/>
          <w:szCs w:val="23"/>
        </w:rPr>
      </w:pPr>
      <w:r>
        <w:rPr>
          <w:b/>
          <w:sz w:val="23"/>
          <w:szCs w:val="23"/>
        </w:rPr>
        <w:t>ЦЕНА ДОГОВОРА И ПОРЯДОК ОПЛАТЫ</w:t>
      </w:r>
    </w:p>
    <w:p>
      <w:pPr>
        <w:pStyle w:val="Normal"/>
        <w:ind w:firstLine="567" w:end="0"/>
        <w:jc w:val="both"/>
        <w:rPr>
          <w:sz w:val="23"/>
          <w:szCs w:val="23"/>
        </w:rPr>
      </w:pPr>
      <w:r>
        <w:rPr>
          <w:sz w:val="23"/>
          <w:szCs w:val="23"/>
        </w:rPr>
        <w:t>3.1. Стоимость Товара, в том числе тары, упаковки, маркировки, доставки, разгрузки составляет {total_amount_numeric} ({total_amount_words}) рублей 00 копеек, {vat_clause}.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pPr>
        <w:pStyle w:val="Normal"/>
        <w:ind w:firstLine="567" w:end="0"/>
        <w:jc w:val="both"/>
        <w:rPr/>
      </w:pPr>
      <w:r>
        <w:rPr>
          <w:sz w:val="23"/>
          <w:szCs w:val="23"/>
        </w:rPr>
        <w:t>3.2. Все платежи по настоящему Договору производятся путем перечисления денежных средств на расчетный счет Поставщика.</w:t>
      </w:r>
    </w:p>
    <w:p>
      <w:pPr>
        <w:pStyle w:val="Normal"/>
        <w:ind w:firstLine="567" w:end="0"/>
        <w:jc w:val="both"/>
        <w:rPr/>
      </w:pPr>
      <w:r>
        <w:rPr>
          <w:sz w:val="23"/>
          <w:szCs w:val="23"/>
        </w:rPr>
        <w:t>3.3 Заказчик вправе по согласованию с Поставщиком в ходе исполнения договора дополнить предусмотренный договором объем Товара не более чем на 30% (тридцать процентов). При увеличении объема закупаемой продукции Заказчик по согласованию с Поставщиком вправе изменить первоначальную цену договора соответственно изменяемому объему продукции, а при внесении соответствующих изменений в договор в связи с сокращением объема закупаемой продукции Заказчик обязан изменить цену договора указанным образом.</w:t>
      </w:r>
    </w:p>
    <w:p>
      <w:pPr>
        <w:pStyle w:val="Normal"/>
        <w:ind w:firstLine="567" w:end="0"/>
        <w:jc w:val="both"/>
        <w:rPr>
          <w:sz w:val="23"/>
          <w:szCs w:val="23"/>
        </w:rPr>
      </w:pPr>
      <w:r>
        <w:rPr>
          <w:sz w:val="23"/>
          <w:szCs w:val="23"/>
        </w:rPr>
        <w:t xml:space="preserve">3.4. Оплата поставленного товара в соответствии с требованиями настоящего договора, включая Спецификацию, производится Заказчиком платежными поручениями по безналичному расчету путем перечисления денежных средств на счет Поставщика, указанный в настоящем Договоре по факту поставки товара в течение {payment_term_days} ({payment_term_days_words}) рабочих дней с момента подписания товарных накладных/УПД.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w:t>
      </w:r>
      <w:r>
        <w:rPr>
          <w:color w:val="000000"/>
          <w:sz w:val="23"/>
          <w:szCs w:val="23"/>
        </w:rPr>
        <w:t>{igk}</w:t>
      </w:r>
      <w:r>
        <w:rPr>
          <w:sz w:val="23"/>
          <w:szCs w:val="23"/>
        </w:rPr>
        <w:t xml:space="preserve"> является обязательным.</w:t>
      </w:r>
    </w:p>
    <w:p>
      <w:pPr>
        <w:pStyle w:val="Normal"/>
        <w:rPr>
          <w:sz w:val="23"/>
          <w:szCs w:val="23"/>
        </w:rPr>
      </w:pPr>
      <w:r>
        <w:rPr>
          <w:sz w:val="23"/>
          <w:szCs w:val="23"/>
        </w:rPr>
      </w:r>
    </w:p>
    <w:p>
      <w:pPr>
        <w:pStyle w:val="Normal"/>
        <w:numPr>
          <w:ilvl w:val="0"/>
          <w:numId w:val="4"/>
        </w:numPr>
        <w:jc w:val="center"/>
        <w:rPr>
          <w:b/>
          <w:sz w:val="23"/>
          <w:szCs w:val="23"/>
        </w:rPr>
      </w:pPr>
      <w:r>
        <w:rPr>
          <w:b/>
          <w:sz w:val="23"/>
          <w:szCs w:val="23"/>
        </w:rPr>
        <w:t>ПОРЯДОК ПЕРЕДАЧИ ТОВАРА</w:t>
      </w:r>
    </w:p>
    <w:p>
      <w:pPr>
        <w:pStyle w:val="Normal"/>
        <w:ind w:firstLine="567" w:end="0"/>
        <w:jc w:val="both"/>
        <w:rPr/>
      </w:pPr>
      <w:r>
        <w:rPr>
          <w:sz w:val="23"/>
          <w:szCs w:val="23"/>
        </w:rPr>
        <w:t>4.1. Поставщик гарантирует, что поставляемый Товар соответствует требованиям, установленным в Российской Федерации по данному виду Товара и имеет соответствующие сертификаты соответствия.</w:t>
      </w:r>
    </w:p>
    <w:p>
      <w:pPr>
        <w:pStyle w:val="Normal"/>
        <w:ind w:firstLine="567" w:end="0"/>
        <w:jc w:val="both"/>
        <w:rPr/>
      </w:pPr>
      <w:r>
        <w:rPr>
          <w:sz w:val="23"/>
          <w:szCs w:val="23"/>
        </w:rPr>
        <w:t>4.2. При поставке Товара по Договору Поставщик оформляет товарную накладную/УПД и вместе с Товаром передает для подписания Заказчику.</w:t>
      </w:r>
    </w:p>
    <w:p>
      <w:pPr>
        <w:pStyle w:val="Normal"/>
        <w:ind w:firstLine="567" w:end="0"/>
        <w:jc w:val="both"/>
        <w:rPr/>
      </w:pPr>
      <w:r>
        <w:rPr>
          <w:sz w:val="23"/>
          <w:szCs w:val="23"/>
        </w:rPr>
        <w:t>4.3. Заказчик в момент передачи Товара в присутствии представителя Поставщика проверяет Товар, по количеству, ассортименту и упаковке Товара на соответствие его сведениям, указанным в товарной накладной и техническому заданию.</w:t>
      </w:r>
    </w:p>
    <w:p>
      <w:pPr>
        <w:pStyle w:val="Normal"/>
        <w:ind w:firstLine="567" w:end="0"/>
        <w:jc w:val="both"/>
        <w:rPr/>
      </w:pPr>
      <w:r>
        <w:rPr>
          <w:sz w:val="23"/>
          <w:szCs w:val="23"/>
        </w:rPr>
        <w:t>4.4. В случае соответствия Товара по количеству, ассортименту и упаковке сведениям, указанным в товарной накладной и техническом задании, Заказчик подписывает товарную накладную/УПД.</w:t>
      </w:r>
    </w:p>
    <w:p>
      <w:pPr>
        <w:pStyle w:val="Normal"/>
        <w:ind w:firstLine="567" w:end="0"/>
        <w:jc w:val="both"/>
        <w:rPr/>
      </w:pPr>
      <w:r>
        <w:rPr>
          <w:sz w:val="23"/>
          <w:szCs w:val="23"/>
        </w:rPr>
        <w:t>4.5. При обнаружении несоответствия поставляемого Товара или упаковки такого Товара, сведениям, указанным в товарной накладной/УПД и техническом задании, Заказчик оформляет Акт о претензиях в отношении Товара по результатам внешнего осмотра, который должен быть рассмотрен и исполнен Поставщиком в течение 2 рабочих дней. При этом Поставщик несет ответственность в соответствии с п.5.4 настоящего Договора до момента исполнения Поставщиком своих обязательств по поставке Товара.</w:t>
      </w:r>
    </w:p>
    <w:p>
      <w:pPr>
        <w:pStyle w:val="Normal"/>
        <w:ind w:firstLine="567" w:end="0"/>
        <w:jc w:val="both"/>
        <w:rPr/>
      </w:pPr>
      <w:r>
        <w:rPr>
          <w:sz w:val="23"/>
          <w:szCs w:val="23"/>
        </w:rPr>
        <w:t>4.6. Претензии относительно скрытых дефектов Товара, которые не могли быть выявлены по результатам внешнего осмотра в ходе первоначальной проверки, подаются Заказчиком Поставщику в письменной форме, путем подписания, уполномоченным техническим специалистом Заказчика и направления Поставщику соответствующего Акта.</w:t>
      </w:r>
    </w:p>
    <w:p>
      <w:pPr>
        <w:pStyle w:val="Normal"/>
        <w:ind w:firstLine="567" w:end="0"/>
        <w:jc w:val="both"/>
        <w:rPr/>
      </w:pPr>
      <w:r>
        <w:rPr>
          <w:sz w:val="23"/>
          <w:szCs w:val="23"/>
        </w:rPr>
        <w:t>4.7. В случае обнаружения Заказчиком дефектов или недостатков Товара, которые делают Товар неприемлемыми для Заказчика, и выполнения условий, приведенных в п.п. 4.4 - 4.5 настоящего Договора, Заказчик имеет право по своему усмотрению:</w:t>
      </w:r>
    </w:p>
    <w:p>
      <w:pPr>
        <w:pStyle w:val="Normal"/>
        <w:ind w:firstLine="567" w:end="0"/>
        <w:jc w:val="both"/>
        <w:rPr/>
      </w:pPr>
      <w:r>
        <w:rPr>
          <w:sz w:val="23"/>
          <w:szCs w:val="23"/>
        </w:rPr>
        <w:t>4.8.1. Или отказаться от Товара, поставляемого по соответствующему Заказу, и потребовать от Поставщика возврата уплаченной за такое Товар стоимости.</w:t>
      </w:r>
    </w:p>
    <w:p>
      <w:pPr>
        <w:pStyle w:val="Normal"/>
        <w:ind w:firstLine="567" w:end="0"/>
        <w:jc w:val="both"/>
        <w:rPr/>
      </w:pPr>
      <w:r>
        <w:rPr>
          <w:sz w:val="23"/>
          <w:szCs w:val="23"/>
        </w:rPr>
        <w:t>4.8.2. Или потребовать от Поставщика в срок не более 5 (Пять) рабочих дней произвести замену такого Товара на Товар надлежащего качества.</w:t>
      </w:r>
    </w:p>
    <w:p>
      <w:pPr>
        <w:pStyle w:val="Normal"/>
        <w:ind w:firstLine="567" w:end="0"/>
        <w:jc w:val="both"/>
        <w:rPr>
          <w:sz w:val="23"/>
          <w:szCs w:val="23"/>
        </w:rPr>
      </w:pPr>
      <w:r>
        <w:rPr>
          <w:sz w:val="23"/>
          <w:szCs w:val="23"/>
        </w:rPr>
        <w:t>4.8.3. Все расходы, связанные с отказом от поставляемого Товара или с заменой такого Товара на Товар надлежащего качества, несет Поставщик.</w:t>
      </w:r>
    </w:p>
    <w:p>
      <w:pPr>
        <w:pStyle w:val="Normal"/>
        <w:ind w:firstLine="567" w:end="0"/>
        <w:jc w:val="both"/>
        <w:rPr/>
      </w:pPr>
      <w:r>
        <w:rPr>
          <w:sz w:val="23"/>
          <w:szCs w:val="23"/>
        </w:rPr>
        <w:t>4.9. Все претензии Заказчика относительно обнаруженных дефектов или недостатков Товара принимаются в течение гарантийного срока, определенного настоящим Договором.</w:t>
      </w:r>
    </w:p>
    <w:p>
      <w:pPr>
        <w:pStyle w:val="Normal"/>
        <w:ind w:firstLine="567" w:end="0"/>
        <w:jc w:val="both"/>
        <w:rPr>
          <w:sz w:val="23"/>
          <w:szCs w:val="23"/>
        </w:rPr>
      </w:pPr>
      <w:r>
        <w:rPr>
          <w:sz w:val="23"/>
          <w:szCs w:val="23"/>
        </w:rPr>
      </w:r>
    </w:p>
    <w:p>
      <w:pPr>
        <w:pStyle w:val="Normal"/>
        <w:ind w:firstLine="567" w:end="0"/>
        <w:jc w:val="both"/>
        <w:rPr>
          <w:sz w:val="23"/>
          <w:szCs w:val="23"/>
        </w:rPr>
      </w:pPr>
      <w:r>
        <w:rPr>
          <w:sz w:val="23"/>
          <w:szCs w:val="23"/>
        </w:rPr>
      </w:r>
    </w:p>
    <w:p>
      <w:pPr>
        <w:pStyle w:val="Normal"/>
        <w:ind w:firstLine="567" w:end="0"/>
        <w:jc w:val="both"/>
        <w:rPr>
          <w:sz w:val="23"/>
          <w:szCs w:val="23"/>
        </w:rPr>
      </w:pPr>
      <w:r>
        <w:rPr>
          <w:sz w:val="23"/>
          <w:szCs w:val="23"/>
        </w:rPr>
      </w:r>
    </w:p>
    <w:p>
      <w:pPr>
        <w:pStyle w:val="Normal"/>
        <w:ind w:firstLine="567" w:end="0"/>
        <w:jc w:val="both"/>
        <w:rPr>
          <w:sz w:val="23"/>
          <w:szCs w:val="23"/>
        </w:rPr>
      </w:pPr>
      <w:r>
        <w:rPr>
          <w:sz w:val="23"/>
          <w:szCs w:val="23"/>
        </w:rPr>
      </w:r>
    </w:p>
    <w:p>
      <w:pPr>
        <w:pStyle w:val="Normal"/>
        <w:ind w:firstLine="567" w:end="0"/>
        <w:jc w:val="both"/>
        <w:rPr>
          <w:sz w:val="23"/>
          <w:szCs w:val="23"/>
        </w:rPr>
      </w:pPr>
      <w:r>
        <w:rPr>
          <w:sz w:val="23"/>
          <w:szCs w:val="23"/>
        </w:rPr>
      </w:r>
    </w:p>
    <w:p>
      <w:pPr>
        <w:pStyle w:val="Normal"/>
        <w:ind w:firstLine="567" w:end="0"/>
        <w:jc w:val="both"/>
        <w:rPr>
          <w:sz w:val="23"/>
          <w:szCs w:val="23"/>
        </w:rPr>
      </w:pPr>
      <w:r>
        <w:rPr>
          <w:sz w:val="23"/>
          <w:szCs w:val="23"/>
        </w:rPr>
      </w:r>
    </w:p>
    <w:p>
      <w:pPr>
        <w:pStyle w:val="Normal"/>
        <w:numPr>
          <w:ilvl w:val="0"/>
          <w:numId w:val="5"/>
        </w:numPr>
        <w:jc w:val="center"/>
        <w:rPr>
          <w:b/>
          <w:sz w:val="23"/>
          <w:szCs w:val="23"/>
        </w:rPr>
      </w:pPr>
      <w:r>
        <w:rPr>
          <w:b/>
          <w:sz w:val="23"/>
          <w:szCs w:val="23"/>
        </w:rPr>
        <w:t>ОТВЕТСТВЕННОСТЬ СТОРОН</w:t>
      </w:r>
    </w:p>
    <w:p>
      <w:pPr>
        <w:pStyle w:val="Normal"/>
        <w:ind w:firstLine="567" w:end="0"/>
        <w:jc w:val="both"/>
        <w:rPr/>
      </w:pPr>
      <w:r>
        <w:rPr>
          <w:sz w:val="23"/>
          <w:szCs w:val="23"/>
        </w:rPr>
        <w:t>5.1. Неисполнение либо ненадлежащее выполнение обязательств по Договору влечет за собой имущественную ответственность виновной стороны в порядке и на основаниях, предусмотренных требованиями действующего законодательства Российской Федерации.</w:t>
      </w:r>
    </w:p>
    <w:p>
      <w:pPr>
        <w:pStyle w:val="Normal"/>
        <w:ind w:firstLine="567" w:end="0"/>
        <w:jc w:val="both"/>
        <w:rPr>
          <w:sz w:val="23"/>
          <w:szCs w:val="23"/>
        </w:rPr>
      </w:pPr>
      <w:r>
        <w:rPr>
          <w:sz w:val="23"/>
          <w:szCs w:val="23"/>
        </w:rPr>
        <w:t>5.2. За просрочку поставки или недопоставку Товара в течение срока поставки Товара с момента заключения Договора, Заказчик вправе потребовать оплаты пени в размере </w:t>
      </w:r>
      <w:r>
        <w:rPr>
          <w:color w:val="000000"/>
          <w:sz w:val="23"/>
          <w:szCs w:val="23"/>
        </w:rPr>
        <w:t>одной трехсотой действующей на день уплаты неустойки (штрафа, пеней) ключевой ставки Центрального банка Российской Федерации.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p>
    <w:p>
      <w:pPr>
        <w:pStyle w:val="Normal"/>
        <w:ind w:firstLine="567" w:end="0"/>
        <w:jc w:val="both"/>
        <w:rPr/>
      </w:pPr>
      <w:r>
        <w:rPr>
          <w:sz w:val="23"/>
          <w:szCs w:val="23"/>
        </w:rPr>
        <w:t>5.3. Заказчик обязан обеспечить приемку Товара в течение 1 (Одного) дня с момента уведомления (по факсу или электронной почте) Поставщиком Заказчика по адресу, указанному в п.2.2 настоящего Договора.</w:t>
      </w:r>
    </w:p>
    <w:p>
      <w:pPr>
        <w:pStyle w:val="Normal"/>
        <w:ind w:firstLine="567" w:end="0"/>
        <w:jc w:val="both"/>
        <w:rPr/>
      </w:pPr>
      <w:r>
        <w:rPr>
          <w:sz w:val="23"/>
          <w:szCs w:val="23"/>
        </w:rPr>
        <w:t>5.4. При нарушении Заказчиком сроков окончательной оплаты Поставщик вправе потребовать выплаты пени в размере </w:t>
      </w:r>
      <w:r>
        <w:rPr>
          <w:color w:val="000000"/>
          <w:sz w:val="23"/>
          <w:szCs w:val="23"/>
        </w:rPr>
        <w:t>одной трехсотой действующей на день уплаты неустойки (штрафа, пеней) ключевой ставки Центрального банка Российской Федерации.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r>
        <w:rPr>
          <w:sz w:val="23"/>
          <w:szCs w:val="23"/>
        </w:rPr>
        <w:t>.</w:t>
      </w:r>
    </w:p>
    <w:p>
      <w:pPr>
        <w:pStyle w:val="Normal"/>
        <w:ind w:firstLine="567" w:end="0"/>
        <w:jc w:val="both"/>
        <w:rPr>
          <w:sz w:val="23"/>
          <w:szCs w:val="23"/>
        </w:rPr>
      </w:pPr>
      <w:r>
        <w:rPr>
          <w:sz w:val="23"/>
          <w:szCs w:val="23"/>
        </w:rPr>
        <w:t>5.5. Выплата пени не освобождает Стороны от выполнения установленных Договором обязательств.</w:t>
      </w:r>
    </w:p>
    <w:p>
      <w:pPr>
        <w:pStyle w:val="Normal"/>
        <w:ind w:firstLine="567" w:end="0"/>
        <w:jc w:val="both"/>
        <w:rPr>
          <w:sz w:val="23"/>
          <w:szCs w:val="23"/>
        </w:rPr>
      </w:pPr>
      <w:r>
        <w:rPr>
          <w:sz w:val="23"/>
          <w:szCs w:val="23"/>
        </w:rPr>
        <w:t>5.6. В случае просрочки поставки более чем на 10 (Десять) календарных дней Заказчик вправе расторгнуть Договор в одностороннем порядке и потребовать от Поставщика возмещения всех возникших у Заказчика убытков.</w:t>
      </w:r>
    </w:p>
    <w:p>
      <w:pPr>
        <w:pStyle w:val="Normal"/>
        <w:ind w:firstLine="567" w:end="0"/>
        <w:jc w:val="both"/>
        <w:rPr>
          <w:sz w:val="23"/>
          <w:szCs w:val="23"/>
        </w:rPr>
      </w:pPr>
      <w:r>
        <w:rPr>
          <w:sz w:val="23"/>
          <w:szCs w:val="23"/>
        </w:rPr>
        <w:t>5.7. Поставщик выражает согласие на осуществление ФЕДЕРАЛЬНЫМ АГЕНТСТВОМ ПО ДЕЛАМ МОЛОДЕЖИ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pPr>
        <w:pStyle w:val="32"/>
        <w:spacing w:before="0" w:after="0"/>
        <w:rPr>
          <w:sz w:val="23"/>
          <w:szCs w:val="23"/>
        </w:rPr>
      </w:pPr>
      <w:r>
        <w:rPr>
          <w:sz w:val="23"/>
          <w:szCs w:val="23"/>
        </w:rPr>
      </w:r>
    </w:p>
    <w:p>
      <w:pPr>
        <w:pStyle w:val="Normal"/>
        <w:numPr>
          <w:ilvl w:val="0"/>
          <w:numId w:val="2"/>
        </w:numPr>
        <w:jc w:val="center"/>
        <w:rPr>
          <w:b/>
          <w:sz w:val="23"/>
          <w:szCs w:val="23"/>
        </w:rPr>
      </w:pPr>
      <w:r>
        <w:rPr>
          <w:b/>
          <w:sz w:val="23"/>
          <w:szCs w:val="23"/>
        </w:rPr>
        <w:t>УПАКОВКА, МАРКИРОВКА И ОТГРУЗКА</w:t>
      </w:r>
    </w:p>
    <w:p>
      <w:pPr>
        <w:pStyle w:val="Normal"/>
        <w:ind w:firstLine="567" w:end="0"/>
        <w:jc w:val="both"/>
        <w:rPr/>
      </w:pPr>
      <w:r>
        <w:rPr>
          <w:sz w:val="23"/>
          <w:szCs w:val="23"/>
        </w:rPr>
        <w:t>6.1. Поставщик должен обеспечить передачу Товара в упаковке, обеспечивающей его сохранность от повреждений.</w:t>
      </w:r>
    </w:p>
    <w:p>
      <w:pPr>
        <w:pStyle w:val="Normal"/>
        <w:ind w:firstLine="567" w:end="0"/>
        <w:jc w:val="both"/>
        <w:rPr/>
      </w:pPr>
      <w:r>
        <w:rPr>
          <w:sz w:val="23"/>
          <w:szCs w:val="23"/>
        </w:rPr>
        <w:t>6.2. Поставщик несет ответственность перед Заказчиком за порчу, повреждение, поломку Товара вследствие ненадлежащей упаковки.</w:t>
      </w:r>
    </w:p>
    <w:p>
      <w:pPr>
        <w:pStyle w:val="Normal"/>
        <w:ind w:firstLine="567" w:end="0"/>
        <w:jc w:val="both"/>
        <w:rPr>
          <w:sz w:val="23"/>
          <w:szCs w:val="23"/>
        </w:rPr>
      </w:pPr>
      <w:r>
        <w:rPr>
          <w:sz w:val="23"/>
          <w:szCs w:val="23"/>
        </w:rPr>
      </w:r>
    </w:p>
    <w:p>
      <w:pPr>
        <w:pStyle w:val="Normal"/>
        <w:numPr>
          <w:ilvl w:val="0"/>
          <w:numId w:val="6"/>
        </w:numPr>
        <w:jc w:val="center"/>
        <w:rPr>
          <w:b/>
          <w:sz w:val="23"/>
          <w:szCs w:val="23"/>
        </w:rPr>
      </w:pPr>
      <w:r>
        <w:rPr>
          <w:b/>
          <w:sz w:val="23"/>
          <w:szCs w:val="23"/>
        </w:rPr>
        <w:t>ОБСТОЯТЕЛЬСТВА НЕПРЕОДОЛИМОЙ СИЛЫ</w:t>
      </w:r>
    </w:p>
    <w:p>
      <w:pPr>
        <w:pStyle w:val="Normal"/>
        <w:ind w:firstLine="567" w:end="0"/>
        <w:jc w:val="both"/>
        <w:rPr/>
      </w:pPr>
      <w:r>
        <w:rPr>
          <w:sz w:val="23"/>
          <w:szCs w:val="23"/>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pPr>
        <w:pStyle w:val="Normal"/>
        <w:ind w:firstLine="567" w:end="0"/>
        <w:jc w:val="both"/>
        <w:rPr/>
      </w:pPr>
      <w:r>
        <w:rPr>
          <w:sz w:val="23"/>
          <w:szCs w:val="23"/>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pPr>
        <w:pStyle w:val="Normal"/>
        <w:ind w:firstLine="567" w:end="0"/>
        <w:jc w:val="both"/>
        <w:rPr>
          <w:sz w:val="23"/>
          <w:szCs w:val="23"/>
        </w:rPr>
      </w:pPr>
      <w:r>
        <w:rPr>
          <w:sz w:val="23"/>
          <w:szCs w:val="23"/>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pPr>
        <w:pStyle w:val="Normal"/>
        <w:ind w:firstLine="567" w:end="0"/>
        <w:jc w:val="both"/>
        <w:rPr/>
      </w:pPr>
      <w:r>
        <w:rPr>
          <w:sz w:val="23"/>
          <w:szCs w:val="23"/>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pPr>
        <w:pStyle w:val="Normal"/>
        <w:ind w:start="567" w:end="0"/>
        <w:rPr>
          <w:sz w:val="23"/>
          <w:szCs w:val="23"/>
        </w:rPr>
      </w:pPr>
      <w:r>
        <w:rPr>
          <w:sz w:val="23"/>
          <w:szCs w:val="23"/>
        </w:rPr>
      </w:r>
    </w:p>
    <w:p>
      <w:pPr>
        <w:pStyle w:val="Normal"/>
        <w:numPr>
          <w:ilvl w:val="0"/>
          <w:numId w:val="6"/>
        </w:numPr>
        <w:tabs>
          <w:tab w:val="clear" w:pos="709"/>
          <w:tab w:val="left" w:pos="284" w:leader="none"/>
          <w:tab w:val="left" w:pos="851" w:leader="none"/>
        </w:tabs>
        <w:ind w:hanging="360" w:start="426" w:end="0"/>
        <w:jc w:val="center"/>
        <w:rPr>
          <w:b/>
          <w:sz w:val="23"/>
          <w:szCs w:val="23"/>
        </w:rPr>
      </w:pPr>
      <w:r>
        <w:rPr>
          <w:b/>
          <w:sz w:val="23"/>
          <w:szCs w:val="23"/>
        </w:rPr>
        <w:t>АРБИТРАЖ</w:t>
      </w:r>
    </w:p>
    <w:p>
      <w:pPr>
        <w:pStyle w:val="Normal"/>
        <w:ind w:firstLine="567" w:end="0"/>
        <w:jc w:val="both"/>
        <w:rPr/>
      </w:pPr>
      <w:r>
        <w:rPr>
          <w:sz w:val="23"/>
          <w:szCs w:val="23"/>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pPr>
        <w:pStyle w:val="Normal"/>
        <w:ind w:firstLine="567" w:end="0"/>
        <w:jc w:val="both"/>
        <w:rPr/>
      </w:pPr>
      <w:r>
        <w:rPr>
          <w:sz w:val="23"/>
          <w:szCs w:val="23"/>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pPr>
        <w:pStyle w:val="32"/>
        <w:rPr>
          <w:sz w:val="23"/>
          <w:szCs w:val="23"/>
        </w:rPr>
      </w:pPr>
      <w:r>
        <w:rPr>
          <w:sz w:val="23"/>
          <w:szCs w:val="23"/>
        </w:rPr>
      </w:r>
    </w:p>
    <w:p>
      <w:pPr>
        <w:pStyle w:val="Normal"/>
        <w:numPr>
          <w:ilvl w:val="0"/>
          <w:numId w:val="6"/>
        </w:numPr>
        <w:jc w:val="center"/>
        <w:rPr>
          <w:b/>
          <w:sz w:val="23"/>
          <w:szCs w:val="23"/>
        </w:rPr>
      </w:pPr>
      <w:r>
        <w:rPr>
          <w:b/>
          <w:sz w:val="23"/>
          <w:szCs w:val="23"/>
        </w:rPr>
        <w:t>СРОК ДЕЙСТВИЯ И РАСТОРЖЕНИЯ ДОГОВОРА</w:t>
      </w:r>
    </w:p>
    <w:p>
      <w:pPr>
        <w:pStyle w:val="Normal"/>
        <w:ind w:firstLine="567" w:end="0"/>
        <w:jc w:val="both"/>
        <w:rPr/>
      </w:pPr>
      <w:r>
        <w:rPr>
          <w:sz w:val="23"/>
          <w:szCs w:val="23"/>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pPr>
        <w:pStyle w:val="Normal"/>
        <w:ind w:firstLine="567" w:end="0"/>
        <w:jc w:val="both"/>
        <w:rPr/>
      </w:pPr>
      <w:r>
        <w:rPr>
          <w:sz w:val="23"/>
          <w:szCs w:val="23"/>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pPr>
        <w:pStyle w:val="32"/>
        <w:spacing w:before="0" w:after="0"/>
        <w:rPr>
          <w:sz w:val="23"/>
          <w:szCs w:val="23"/>
        </w:rPr>
      </w:pPr>
      <w:r>
        <w:rPr>
          <w:sz w:val="23"/>
          <w:szCs w:val="23"/>
        </w:rPr>
      </w:r>
    </w:p>
    <w:p>
      <w:pPr>
        <w:pStyle w:val="Normal"/>
        <w:numPr>
          <w:ilvl w:val="0"/>
          <w:numId w:val="6"/>
        </w:numPr>
        <w:jc w:val="center"/>
        <w:rPr>
          <w:b/>
          <w:sz w:val="23"/>
          <w:szCs w:val="23"/>
        </w:rPr>
      </w:pPr>
      <w:r>
        <w:rPr>
          <w:b/>
          <w:sz w:val="23"/>
          <w:szCs w:val="23"/>
        </w:rPr>
        <w:t>АНТИКОРРУПЦИОННАЯ ОГОВОРКА</w:t>
      </w:r>
    </w:p>
    <w:p>
      <w:pPr>
        <w:pStyle w:val="Normal"/>
        <w:ind w:firstLine="567" w:end="0"/>
        <w:jc w:val="both"/>
        <w:rPr/>
      </w:pPr>
      <w:r>
        <w:rPr>
          <w:sz w:val="23"/>
          <w:szCs w:val="23"/>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pPr>
        <w:pStyle w:val="Normal"/>
        <w:ind w:firstLine="567" w:end="0"/>
        <w:jc w:val="both"/>
        <w:rPr/>
      </w:pPr>
      <w:r>
        <w:rPr>
          <w:sz w:val="23"/>
          <w:szCs w:val="23"/>
        </w:rPr>
        <w:t>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pPr>
        <w:pStyle w:val="Normal"/>
        <w:ind w:firstLine="567" w:end="0"/>
        <w:jc w:val="both"/>
        <w:rPr/>
      </w:pPr>
      <w:r>
        <w:rPr>
          <w:sz w:val="23"/>
          <w:szCs w:val="23"/>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pPr>
        <w:pStyle w:val="32"/>
        <w:spacing w:before="0" w:after="0"/>
        <w:rPr>
          <w:sz w:val="23"/>
          <w:szCs w:val="23"/>
        </w:rPr>
      </w:pPr>
      <w:r>
        <w:rPr>
          <w:sz w:val="23"/>
          <w:szCs w:val="23"/>
        </w:rPr>
      </w:r>
    </w:p>
    <w:p>
      <w:pPr>
        <w:pStyle w:val="Normal"/>
        <w:numPr>
          <w:ilvl w:val="0"/>
          <w:numId w:val="6"/>
        </w:numPr>
        <w:jc w:val="center"/>
        <w:rPr>
          <w:b/>
          <w:sz w:val="23"/>
          <w:szCs w:val="23"/>
        </w:rPr>
      </w:pPr>
      <w:r>
        <w:rPr>
          <w:b/>
          <w:sz w:val="23"/>
          <w:szCs w:val="23"/>
        </w:rPr>
        <w:t>ОБЩИЕ ПОЛОЖЕНИЯ</w:t>
      </w:r>
    </w:p>
    <w:p>
      <w:pPr>
        <w:pStyle w:val="Normal"/>
        <w:ind w:firstLine="567" w:end="0"/>
        <w:jc w:val="both"/>
        <w:rPr/>
      </w:pPr>
      <w:r>
        <w:rPr>
          <w:sz w:val="23"/>
          <w:szCs w:val="23"/>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pPr>
        <w:pStyle w:val="Normal"/>
        <w:ind w:firstLine="567" w:end="0"/>
        <w:jc w:val="both"/>
        <w:rPr/>
      </w:pPr>
      <w:r>
        <w:rPr>
          <w:rFonts w:eastAsia="Calibri"/>
          <w:sz w:val="23"/>
          <w:szCs w:val="23"/>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pPr>
        <w:pStyle w:val="Normal"/>
        <w:ind w:firstLine="567" w:end="0"/>
        <w:rPr/>
      </w:pPr>
      <w:r>
        <w:rPr>
          <w:rFonts w:eastAsia="Calibri"/>
          <w:sz w:val="23"/>
          <w:szCs w:val="23"/>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ООО «Компания «Тензор», ИНН 7605016030, КПП 760401001, ОГРН 1027600787994, 150001, Ярославская обл, г. Ярославль, пр-т Московский, д. 12.</w:t>
      </w:r>
    </w:p>
    <w:p>
      <w:pPr>
        <w:pStyle w:val="Normal"/>
        <w:ind w:firstLine="567" w:end="0"/>
        <w:jc w:val="both"/>
        <w:rPr>
          <w:sz w:val="23"/>
          <w:szCs w:val="23"/>
        </w:rPr>
      </w:pPr>
      <w:r>
        <w:rPr>
          <w:rFonts w:eastAsia="Calibri"/>
          <w:sz w:val="23"/>
          <w:szCs w:val="23"/>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pPr>
        <w:pStyle w:val="Normal"/>
        <w:ind w:firstLine="567" w:end="0"/>
        <w:jc w:val="both"/>
        <w:rPr/>
      </w:pPr>
      <w:r>
        <w:rPr>
          <w:sz w:val="23"/>
          <w:szCs w:val="23"/>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pPr>
        <w:pStyle w:val="Normal"/>
        <w:ind w:firstLine="567" w:end="0"/>
        <w:jc w:val="both"/>
        <w:rPr/>
      </w:pPr>
      <w:r>
        <w:rPr>
          <w:sz w:val="23"/>
          <w:szCs w:val="23"/>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pPr>
        <w:pStyle w:val="Normal"/>
        <w:ind w:firstLine="567" w:end="0"/>
        <w:jc w:val="both"/>
        <w:rPr/>
      </w:pPr>
      <w:r>
        <w:rPr>
          <w:sz w:val="23"/>
          <w:szCs w:val="23"/>
        </w:rPr>
        <w:t>11.7. Взаимоотношения Сторон, не урегулированные настоящим Договором, регулируются действующим законодательством Российской Федерации.</w:t>
      </w:r>
    </w:p>
    <w:p>
      <w:pPr>
        <w:pStyle w:val="Normal"/>
        <w:ind w:firstLine="567" w:end="0"/>
        <w:jc w:val="both"/>
        <w:rPr/>
      </w:pPr>
      <w:r>
        <w:rPr>
          <w:sz w:val="23"/>
          <w:szCs w:val="23"/>
        </w:rPr>
        <w:t>11.8. Приложение «Спецификация» является неотъемлемой частью настоящего Договора.</w:t>
      </w:r>
    </w:p>
    <w:p>
      <w:pPr>
        <w:pStyle w:val="Normal"/>
        <w:ind w:start="567" w:end="0"/>
        <w:rPr>
          <w:sz w:val="23"/>
          <w:szCs w:val="23"/>
        </w:rPr>
      </w:pPr>
      <w:r>
        <w:rPr>
          <w:sz w:val="23"/>
          <w:szCs w:val="23"/>
        </w:rPr>
      </w:r>
    </w:p>
    <w:p>
      <w:pPr>
        <w:pStyle w:val="Normal"/>
        <w:ind w:start="567" w:end="0"/>
        <w:rPr>
          <w:sz w:val="23"/>
          <w:szCs w:val="23"/>
        </w:rPr>
      </w:pPr>
      <w:r>
        <w:rPr>
          <w:sz w:val="23"/>
          <w:szCs w:val="23"/>
        </w:rPr>
      </w:r>
    </w:p>
    <w:p>
      <w:pPr>
        <w:pStyle w:val="Normal"/>
        <w:numPr>
          <w:ilvl w:val="0"/>
          <w:numId w:val="2"/>
        </w:numPr>
        <w:jc w:val="center"/>
        <w:rPr>
          <w:b/>
          <w:sz w:val="23"/>
          <w:szCs w:val="23"/>
        </w:rPr>
      </w:pPr>
      <w:r>
        <w:rPr>
          <w:b/>
          <w:sz w:val="23"/>
          <w:szCs w:val="23"/>
        </w:rPr>
        <w:t>РЕКВИЗИТЫ СТОРОН</w:t>
      </w:r>
    </w:p>
    <w:p>
      <w:pPr>
        <w:pStyle w:val="Normal"/>
        <w:shd w:fill="FFFFFF" w:val="clear"/>
        <w:tabs>
          <w:tab w:val="clear" w:pos="709"/>
          <w:tab w:val="left" w:pos="1061" w:leader="none"/>
        </w:tabs>
        <w:spacing w:lineRule="exact" w:line="274" w:before="5" w:after="0"/>
        <w:ind w:end="-1"/>
        <w:jc w:val="center"/>
        <w:rPr>
          <w:b/>
          <w:color w:val="000000"/>
          <w:sz w:val="23"/>
          <w:szCs w:val="23"/>
        </w:rPr>
      </w:pPr>
      <w:r>
        <w:rPr>
          <w:b/>
          <w:color w:val="000000"/>
          <w:sz w:val="23"/>
          <w:szCs w:val="23"/>
        </w:rPr>
      </w:r>
    </w:p>
    <w:tbl>
      <w:tblPr>
        <w:tblW w:w="10173" w:type="dxa"/>
        <w:jc w:val="start"/>
        <w:tblInd w:w="0" w:type="dxa"/>
        <w:tblLayout w:type="fixed"/>
        <w:tblCellMar>
          <w:top w:w="0" w:type="dxa"/>
          <w:start w:w="108" w:type="dxa"/>
          <w:bottom w:w="0" w:type="dxa"/>
          <w:end w:w="108" w:type="dxa"/>
        </w:tblCellMar>
      </w:tblPr>
      <w:tblGrid>
        <w:gridCol w:w="4928"/>
        <w:gridCol w:w="5245"/>
      </w:tblGrid>
      <w:tr>
        <w:trPr/>
        <w:tc>
          <w:tcPr>
            <w:tcW w:w="4928" w:type="dxa"/>
            <w:tcBorders/>
          </w:tcPr>
          <w:p>
            <w:pPr>
              <w:pStyle w:val="Normal"/>
              <w:keepLines/>
              <w:widowControl w:val="false"/>
              <w:tabs>
                <w:tab w:val="clear" w:pos="709"/>
                <w:tab w:val="left" w:pos="720" w:leader="none"/>
              </w:tabs>
              <w:suppressAutoHyphens w:val="true"/>
              <w:rPr>
                <w:b/>
                <w:caps/>
                <w:sz w:val="22"/>
                <w:szCs w:val="22"/>
                <w:lang w:eastAsia="ar-SA"/>
              </w:rPr>
            </w:pPr>
            <w:r>
              <w:rPr>
                <w:b/>
                <w:caps/>
                <w:sz w:val="22"/>
                <w:szCs w:val="22"/>
                <w:lang w:eastAsia="ar-SA"/>
              </w:rPr>
              <w:t>Поставщик</w:t>
            </w:r>
          </w:p>
        </w:tc>
        <w:tc>
          <w:tcPr>
            <w:tcW w:w="5245" w:type="dxa"/>
            <w:tcBorders/>
          </w:tcPr>
          <w:p>
            <w:pPr>
              <w:pStyle w:val="Normal"/>
              <w:keepLines/>
              <w:widowControl w:val="false"/>
              <w:tabs>
                <w:tab w:val="clear" w:pos="709"/>
                <w:tab w:val="left" w:pos="720" w:leader="none"/>
              </w:tabs>
              <w:suppressAutoHyphens w:val="true"/>
              <w:rPr>
                <w:bCs/>
                <w:sz w:val="22"/>
                <w:szCs w:val="22"/>
              </w:rPr>
            </w:pPr>
            <w:r>
              <w:rPr>
                <w:b/>
                <w:caps/>
                <w:sz w:val="22"/>
                <w:szCs w:val="22"/>
                <w:lang w:eastAsia="ar-SA"/>
              </w:rPr>
              <w:t>Заказчик</w:t>
            </w:r>
          </w:p>
        </w:tc>
      </w:tr>
      <w:tr>
        <w:trPr/>
        <w:tc>
          <w:tcPr>
            <w:tcW w:w="4928" w:type="dxa"/>
            <w:tcBorders/>
          </w:tcPr>
          <w:p>
            <w:pPr>
              <w:pStyle w:val="Normal"/>
              <w:keepLines/>
              <w:widowControl w:val="false"/>
              <w:tabs>
                <w:tab w:val="clear" w:pos="709"/>
                <w:tab w:val="left" w:pos="720" w:leader="none"/>
              </w:tabs>
              <w:suppressAutoHyphens w:val="true"/>
              <w:rPr>
                <w:caps/>
                <w:sz w:val="22"/>
                <w:szCs w:val="22"/>
                <w:lang w:eastAsia="ar-SA"/>
              </w:rPr>
            </w:pPr>
            <w:r>
              <w:rPr>
                <w:sz w:val="22"/>
                <w:szCs w:val="22"/>
              </w:rPr>
              <w:t>ОБЩЕСТВО С ОГРАНИЧЕННОЙ ОТВЕТСТВЕННОСТЬЮ "</w:t>
            </w:r>
            <w:r>
              <w:rPr>
                <w:bCs/>
                <w:sz w:val="22"/>
                <w:szCs w:val="22"/>
              </w:rPr>
              <w:t>{contractor_short_name}</w:t>
            </w:r>
            <w:r>
              <w:rPr>
                <w:sz w:val="22"/>
                <w:szCs w:val="22"/>
              </w:rPr>
              <w:t>"</w:t>
            </w:r>
          </w:p>
        </w:tc>
        <w:tc>
          <w:tcPr>
            <w:tcW w:w="5245" w:type="dxa"/>
            <w:tcBorders/>
          </w:tcPr>
          <w:p>
            <w:pPr>
              <w:pStyle w:val="Normal"/>
              <w:rPr>
                <w:sz w:val="22"/>
                <w:szCs w:val="22"/>
              </w:rPr>
            </w:pPr>
            <w:r>
              <w:rPr>
                <w:sz w:val="22"/>
                <w:szCs w:val="22"/>
              </w:rPr>
              <w:t>{customer_req_full_name}</w:t>
            </w:r>
          </w:p>
        </w:tc>
      </w:tr>
      <w:tr>
        <w:trPr/>
        <w:tc>
          <w:tcPr>
            <w:tcW w:w="4928" w:type="dxa"/>
            <w:tcBorders/>
          </w:tcPr>
          <w:p>
            <w:pPr>
              <w:pStyle w:val="Normal"/>
              <w:rPr>
                <w:bCs/>
                <w:sz w:val="22"/>
                <w:szCs w:val="22"/>
              </w:rPr>
            </w:pPr>
            <w:r>
              <w:rPr>
                <w:bCs/>
                <w:sz w:val="22"/>
                <w:szCs w:val="22"/>
              </w:rPr>
              <w:t>Адрес местонахождения: {contractor_address}</w:t>
            </w:r>
          </w:p>
          <w:p>
            <w:pPr>
              <w:pStyle w:val="Normal"/>
              <w:rPr>
                <w:bCs/>
                <w:sz w:val="22"/>
                <w:szCs w:val="22"/>
              </w:rPr>
            </w:pPr>
            <w:r>
              <w:rPr>
                <w:bCs/>
                <w:sz w:val="22"/>
                <w:szCs w:val="22"/>
              </w:rPr>
              <w:t>ИНН/КПП {contractor_inn}/{contractor_kpp}</w:t>
            </w:r>
          </w:p>
          <w:p>
            <w:pPr>
              <w:pStyle w:val="Normal"/>
              <w:rPr>
                <w:bCs/>
                <w:sz w:val="22"/>
                <w:szCs w:val="22"/>
              </w:rPr>
            </w:pPr>
            <w:r>
              <w:rPr>
                <w:bCs/>
                <w:sz w:val="22"/>
                <w:szCs w:val="22"/>
              </w:rPr>
              <w:t>ОГРН {contractor_ogrn}</w:t>
            </w:r>
          </w:p>
          <w:p>
            <w:pPr>
              <w:pStyle w:val="Normal"/>
              <w:rPr>
                <w:bCs/>
                <w:sz w:val="22"/>
                <w:szCs w:val="22"/>
              </w:rPr>
            </w:pPr>
            <w:r>
              <w:rPr>
                <w:bCs/>
                <w:sz w:val="22"/>
                <w:szCs w:val="22"/>
              </w:rPr>
              <w:t>Платежные реквизиты:</w:t>
            </w:r>
          </w:p>
          <w:p>
            <w:pPr>
              <w:pStyle w:val="Normal"/>
              <w:rPr>
                <w:bCs/>
                <w:sz w:val="22"/>
                <w:szCs w:val="22"/>
              </w:rPr>
            </w:pPr>
            <w:r>
              <w:rPr>
                <w:bCs/>
                <w:sz w:val="22"/>
                <w:szCs w:val="22"/>
              </w:rPr>
              <w:t>Расчетный счет: {contractor_bank_account}</w:t>
            </w:r>
          </w:p>
          <w:p>
            <w:pPr>
              <w:pStyle w:val="Normal"/>
              <w:rPr/>
            </w:pPr>
            <w:r>
              <w:rPr>
                <w:bCs/>
                <w:sz w:val="22"/>
                <w:szCs w:val="22"/>
              </w:rPr>
              <w:t xml:space="preserve">в {contractor_bank_name} </w:t>
            </w:r>
          </w:p>
          <w:p>
            <w:pPr>
              <w:pStyle w:val="Normal"/>
              <w:rPr>
                <w:bCs/>
                <w:sz w:val="22"/>
                <w:szCs w:val="22"/>
              </w:rPr>
            </w:pPr>
            <w:r>
              <w:rPr>
                <w:bCs/>
                <w:sz w:val="22"/>
                <w:szCs w:val="22"/>
              </w:rPr>
              <w:t>{contractor_bank_name_cont}</w:t>
            </w:r>
          </w:p>
          <w:p>
            <w:pPr>
              <w:pStyle w:val="Normal"/>
              <w:rPr/>
            </w:pPr>
            <w:r>
              <w:rPr>
                <w:bCs/>
                <w:sz w:val="22"/>
                <w:szCs w:val="22"/>
              </w:rPr>
              <w:t>Корреспондентский счет: {contractor_corr_account}</w:t>
            </w:r>
          </w:p>
          <w:p>
            <w:pPr>
              <w:pStyle w:val="Normal"/>
              <w:rPr>
                <w:bCs/>
                <w:sz w:val="22"/>
                <w:szCs w:val="22"/>
              </w:rPr>
            </w:pPr>
            <w:r>
              <w:rPr>
                <w:bCs/>
                <w:sz w:val="22"/>
                <w:szCs w:val="22"/>
              </w:rPr>
              <w:t>БИК {contractor_bik}</w:t>
            </w:r>
          </w:p>
          <w:p>
            <w:pPr>
              <w:pStyle w:val="Normal"/>
              <w:rPr>
                <w:bCs/>
                <w:caps/>
                <w:sz w:val="22"/>
                <w:szCs w:val="22"/>
                <w:lang w:eastAsia="ar-SA"/>
              </w:rPr>
            </w:pPr>
            <w:r>
              <w:rPr>
                <w:bCs/>
                <w:caps/>
                <w:sz w:val="22"/>
                <w:szCs w:val="22"/>
                <w:lang w:eastAsia="ar-SA"/>
              </w:rPr>
            </w:r>
          </w:p>
          <w:p>
            <w:pPr>
              <w:pStyle w:val="Normal"/>
              <w:rPr>
                <w:caps/>
                <w:sz w:val="22"/>
                <w:szCs w:val="22"/>
                <w:lang w:eastAsia="ar-SA"/>
              </w:rPr>
            </w:pPr>
            <w:r>
              <w:rPr>
                <w:caps/>
                <w:sz w:val="22"/>
                <w:szCs w:val="22"/>
                <w:lang w:eastAsia="ar-SA"/>
              </w:rPr>
            </w:r>
          </w:p>
        </w:tc>
        <w:tc>
          <w:tcPr>
            <w:tcW w:w="5245" w:type="dxa"/>
            <w:tcBorders/>
          </w:tcPr>
          <w:p>
            <w:pPr>
              <w:pStyle w:val="Normal"/>
              <w:rPr>
                <w:bCs/>
                <w:sz w:val="22"/>
                <w:szCs w:val="22"/>
              </w:rPr>
            </w:pPr>
            <w:r>
              <w:rPr>
                <w:bCs/>
                <w:sz w:val="22"/>
                <w:szCs w:val="22"/>
              </w:rPr>
              <w:t>Адрес местонахождения: {customer_address}</w:t>
            </w:r>
          </w:p>
          <w:p>
            <w:pPr>
              <w:pStyle w:val="Normal"/>
              <w:rPr>
                <w:bCs/>
                <w:sz w:val="22"/>
                <w:szCs w:val="22"/>
              </w:rPr>
            </w:pPr>
            <w:r>
              <w:rPr>
                <w:bCs/>
                <w:sz w:val="22"/>
                <w:szCs w:val="22"/>
              </w:rPr>
              <w:t>ИНН/ КПП {customer_inn_kpp}</w:t>
            </w:r>
          </w:p>
          <w:p>
            <w:pPr>
              <w:pStyle w:val="Normal"/>
              <w:rPr>
                <w:bCs/>
                <w:sz w:val="22"/>
                <w:szCs w:val="22"/>
              </w:rPr>
            </w:pPr>
            <w:r>
              <w:rPr>
                <w:bCs/>
                <w:sz w:val="22"/>
                <w:szCs w:val="22"/>
              </w:rPr>
              <w:t>Платежные реквизиты:</w:t>
            </w:r>
          </w:p>
          <w:p>
            <w:pPr>
              <w:pStyle w:val="Normal"/>
              <w:rPr/>
            </w:pPr>
            <w:r>
              <w:rPr>
                <w:bCs/>
                <w:sz w:val="22"/>
                <w:szCs w:val="22"/>
              </w:rPr>
              <w:t>{customer_bank_authority}</w:t>
            </w:r>
          </w:p>
          <w:p>
            <w:pPr>
              <w:pStyle w:val="Normal"/>
              <w:rPr>
                <w:bCs/>
                <w:sz w:val="22"/>
                <w:szCs w:val="22"/>
              </w:rPr>
            </w:pPr>
            <w:r>
              <w:rPr>
                <w:bCs/>
                <w:sz w:val="22"/>
                <w:szCs w:val="22"/>
              </w:rPr>
              <w:t>Единый казначейский счет: {customer_eks}</w:t>
            </w:r>
          </w:p>
          <w:p>
            <w:pPr>
              <w:pStyle w:val="Normal"/>
              <w:rPr>
                <w:bCs/>
                <w:sz w:val="22"/>
                <w:szCs w:val="22"/>
              </w:rPr>
            </w:pPr>
            <w:r>
              <w:rPr>
                <w:bCs/>
                <w:sz w:val="22"/>
                <w:szCs w:val="22"/>
              </w:rPr>
              <w:t>Казначейский счет: {customer_ks}</w:t>
            </w:r>
          </w:p>
          <w:p>
            <w:pPr>
              <w:pStyle w:val="Normal"/>
              <w:rPr>
                <w:bCs/>
                <w:sz w:val="22"/>
                <w:szCs w:val="22"/>
              </w:rPr>
            </w:pPr>
            <w:r>
              <w:rPr>
                <w:bCs/>
                <w:sz w:val="22"/>
                <w:szCs w:val="22"/>
              </w:rPr>
              <w:t>БИК {customer_bik}</w:t>
            </w:r>
          </w:p>
          <w:p>
            <w:pPr>
              <w:pStyle w:val="Style19"/>
              <w:keepLines/>
              <w:widowControl w:val="false"/>
              <w:tabs>
                <w:tab w:val="clear" w:pos="709"/>
                <w:tab w:val="left" w:pos="720" w:leader="none"/>
              </w:tabs>
              <w:suppressAutoHyphens w:val="true"/>
              <w:ind w:start="0" w:end="0"/>
              <w:rPr>
                <w:rFonts w:ascii="Times New Roman" w:hAnsi="Times New Roman" w:cs="Times New Roman"/>
                <w:bCs/>
              </w:rPr>
            </w:pPr>
            <w:r>
              <w:rPr>
                <w:rFonts w:cs="Times New Roman" w:ascii="Times New Roman" w:hAnsi="Times New Roman"/>
                <w:bCs/>
              </w:rPr>
              <w:t>Лицевой счет {customer_personal_account}</w:t>
            </w:r>
          </w:p>
          <w:p>
            <w:pPr>
              <w:pStyle w:val="Style19"/>
              <w:keepLines/>
              <w:widowControl w:val="false"/>
              <w:tabs>
                <w:tab w:val="clear" w:pos="709"/>
                <w:tab w:val="left" w:pos="720" w:leader="none"/>
              </w:tabs>
              <w:suppressAutoHyphens w:val="true"/>
              <w:spacing w:before="0" w:after="200"/>
              <w:ind w:start="0" w:end="0"/>
              <w:contextualSpacing/>
              <w:rPr>
                <w:rFonts w:ascii="Times New Roman" w:hAnsi="Times New Roman" w:cs="Times New Roman"/>
                <w:bCs/>
              </w:rPr>
            </w:pPr>
            <w:r>
              <w:rPr>
                <w:rFonts w:cs="Times New Roman" w:ascii="Times New Roman" w:hAnsi="Times New Roman"/>
                <w:bCs/>
              </w:rPr>
            </w:r>
          </w:p>
        </w:tc>
      </w:tr>
      <w:tr>
        <w:trPr/>
        <w:tc>
          <w:tcPr>
            <w:tcW w:w="4928" w:type="dxa"/>
            <w:tcBorders/>
          </w:tcPr>
          <w:p>
            <w:pPr>
              <w:pStyle w:val="Normal"/>
              <w:rPr>
                <w:sz w:val="22"/>
                <w:szCs w:val="22"/>
              </w:rPr>
            </w:pPr>
            <w:r>
              <w:rPr>
                <w:sz w:val="22"/>
                <w:szCs w:val="22"/>
              </w:rPr>
              <w:t>Директор ООО "</w:t>
            </w:r>
            <w:r>
              <w:rPr>
                <w:bCs/>
                <w:sz w:val="22"/>
                <w:szCs w:val="22"/>
              </w:rPr>
              <w:t>{contractor_short_name}</w:t>
            </w:r>
            <w:r>
              <w:rPr>
                <w:sz w:val="22"/>
                <w:szCs w:val="22"/>
              </w:rPr>
              <w:t>"</w:t>
            </w:r>
          </w:p>
          <w:p>
            <w:pPr>
              <w:pStyle w:val="Normal"/>
              <w:rPr>
                <w:sz w:val="22"/>
                <w:szCs w:val="22"/>
              </w:rPr>
            </w:pPr>
            <w:r>
              <w:rPr>
                <w:sz w:val="22"/>
                <w:szCs w:val="22"/>
              </w:rPr>
            </w:r>
          </w:p>
          <w:p>
            <w:pPr>
              <w:pStyle w:val="Normal"/>
              <w:rPr>
                <w:sz w:val="22"/>
                <w:szCs w:val="22"/>
              </w:rPr>
            </w:pPr>
            <w:r>
              <w:rPr>
                <w:sz w:val="22"/>
                <w:szCs w:val="22"/>
              </w:rPr>
            </w:r>
          </w:p>
          <w:p>
            <w:pPr>
              <w:pStyle w:val="Normal"/>
              <w:keepLines/>
              <w:widowControl w:val="false"/>
              <w:tabs>
                <w:tab w:val="clear" w:pos="709"/>
                <w:tab w:val="left" w:pos="720" w:leader="none"/>
              </w:tabs>
              <w:suppressAutoHyphens w:val="true"/>
              <w:rPr>
                <w:b/>
                <w:caps/>
                <w:sz w:val="22"/>
                <w:szCs w:val="22"/>
                <w:lang w:eastAsia="ar-SA"/>
              </w:rPr>
            </w:pPr>
            <w:r>
              <w:rPr>
                <w:sz w:val="22"/>
                <w:szCs w:val="22"/>
              </w:rPr>
              <w:t>___________________/</w:t>
            </w:r>
            <w:r>
              <w:rPr>
                <w:bCs/>
                <w:sz w:val="22"/>
                <w:szCs w:val="22"/>
              </w:rPr>
              <w:t xml:space="preserve"> </w:t>
            </w:r>
            <w:r>
              <w:rPr>
                <w:color w:val="000000"/>
                <w:sz w:val="22"/>
                <w:szCs w:val="22"/>
              </w:rPr>
              <w:t>{contractor_signatory_initials}</w:t>
            </w:r>
            <w:r>
              <w:rPr>
                <w:bCs/>
                <w:sz w:val="22"/>
                <w:szCs w:val="22"/>
              </w:rPr>
              <w:t xml:space="preserve"> /</w:t>
            </w:r>
          </w:p>
        </w:tc>
        <w:tc>
          <w:tcPr>
            <w:tcW w:w="5245" w:type="dxa"/>
            <w:tcBorders/>
          </w:tcPr>
          <w:p>
            <w:pPr>
              <w:pStyle w:val="Normal"/>
              <w:rPr>
                <w:sz w:val="22"/>
                <w:szCs w:val="22"/>
              </w:rPr>
            </w:pPr>
            <w:r>
              <w:rPr>
                <w:sz w:val="22"/>
                <w:szCs w:val="22"/>
              </w:rPr>
              <w:t>{customer_signatory_position_short}</w:t>
            </w:r>
          </w:p>
          <w:p>
            <w:pPr>
              <w:pStyle w:val="Normal"/>
              <w:rPr>
                <w:sz w:val="22"/>
                <w:szCs w:val="22"/>
              </w:rPr>
            </w:pPr>
            <w:r>
              <w:rPr>
                <w:sz w:val="22"/>
                <w:szCs w:val="22"/>
              </w:rPr>
            </w:r>
          </w:p>
          <w:p>
            <w:pPr>
              <w:pStyle w:val="Normal"/>
              <w:rPr>
                <w:sz w:val="22"/>
                <w:szCs w:val="22"/>
              </w:rPr>
            </w:pPr>
            <w:r>
              <w:rPr>
                <w:sz w:val="22"/>
                <w:szCs w:val="22"/>
              </w:rPr>
            </w:r>
          </w:p>
          <w:p>
            <w:pPr>
              <w:pStyle w:val="Normal"/>
              <w:rPr/>
            </w:pPr>
            <w:r>
              <w:rPr>
                <w:sz w:val="22"/>
                <w:szCs w:val="22"/>
              </w:rPr>
              <w:t>___________________/</w:t>
            </w:r>
            <w:r>
              <w:rPr>
                <w:bCs/>
                <w:sz w:val="22"/>
                <w:szCs w:val="22"/>
              </w:rPr>
              <w:t xml:space="preserve"> {customer_signatory_initials}/</w:t>
            </w:r>
          </w:p>
        </w:tc>
      </w:tr>
    </w:tbl>
    <w:p>
      <w:pPr>
        <w:pStyle w:val="22"/>
        <w:jc w:val="center"/>
        <w:rPr>
          <w:sz w:val="23"/>
          <w:szCs w:val="23"/>
        </w:rPr>
      </w:pPr>
      <w:r>
        <w:rPr>
          <w:sz w:val="23"/>
          <w:szCs w:val="23"/>
        </w:rPr>
      </w:r>
    </w:p>
    <w:p>
      <w:pPr>
        <w:pStyle w:val="22"/>
        <w:jc w:val="center"/>
        <w:rPr>
          <w:sz w:val="23"/>
          <w:szCs w:val="23"/>
        </w:rPr>
      </w:pPr>
      <w:r>
        <w:rPr>
          <w:sz w:val="23"/>
          <w:szCs w:val="23"/>
        </w:rPr>
      </w:r>
    </w:p>
    <w:p>
      <w:pPr>
        <w:pStyle w:val="22"/>
        <w:jc w:val="center"/>
        <w:rPr>
          <w:sz w:val="23"/>
          <w:szCs w:val="23"/>
        </w:rPr>
      </w:pPr>
      <w:r>
        <w:rPr>
          <w:sz w:val="23"/>
          <w:szCs w:val="23"/>
        </w:rPr>
      </w:r>
    </w:p>
    <w:p>
      <w:pPr>
        <w:pStyle w:val="22"/>
        <w:jc w:val="center"/>
        <w:rPr>
          <w:sz w:val="23"/>
          <w:szCs w:val="23"/>
        </w:rPr>
      </w:pPr>
      <w:r>
        <w:rPr>
          <w:sz w:val="23"/>
          <w:szCs w:val="23"/>
        </w:rPr>
      </w:r>
    </w:p>
    <w:p>
      <w:pPr>
        <w:sectPr>
          <w:footerReference w:type="default" r:id="rId2"/>
          <w:footerReference w:type="first" r:id="rId3"/>
          <w:type w:val="nextPage"/>
          <w:pgSz w:w="11906" w:h="16838"/>
          <w:pgMar w:left="1134" w:right="851" w:gutter="0" w:header="0" w:top="709" w:footer="455" w:bottom="511"/>
          <w:pgNumType w:start="1" w:fmt="decimal"/>
          <w:formProt w:val="false"/>
          <w:titlePg/>
          <w:textDirection w:val="lrTb"/>
          <w:docGrid w:type="default" w:linePitch="272" w:charSpace="0"/>
        </w:sectPr>
        <w:pStyle w:val="22"/>
        <w:jc w:val="center"/>
        <w:rPr>
          <w:sz w:val="23"/>
          <w:szCs w:val="23"/>
        </w:rPr>
      </w:pPr>
      <w:r>
        <w:rPr>
          <w:sz w:val="23"/>
          <w:szCs w:val="23"/>
        </w:rPr>
      </w:r>
    </w:p>
    <w:p>
      <w:pPr>
        <w:pStyle w:val="Normal"/>
        <w:spacing w:before="0" w:after="120"/>
        <w:ind w:firstLine="5812" w:end="0"/>
        <w:jc w:val="end"/>
        <w:rPr>
          <w:sz w:val="23"/>
          <w:szCs w:val="23"/>
        </w:rPr>
      </w:pPr>
      <w:r>
        <w:rPr>
          <w:sz w:val="23"/>
          <w:szCs w:val="23"/>
        </w:rPr>
        <w:t xml:space="preserve">Приложение № 1 </w:t>
      </w:r>
    </w:p>
    <w:p>
      <w:pPr>
        <w:pStyle w:val="Normal"/>
        <w:spacing w:before="0" w:after="120"/>
        <w:ind w:firstLine="5812" w:end="0"/>
        <w:jc w:val="end"/>
        <w:rPr>
          <w:sz w:val="23"/>
          <w:szCs w:val="23"/>
        </w:rPr>
      </w:pPr>
      <w:r>
        <w:rPr>
          <w:sz w:val="23"/>
          <w:szCs w:val="23"/>
        </w:rPr>
        <w:t>к Договору № {contract_number} от {contract_date} г.</w:t>
      </w:r>
    </w:p>
    <w:p>
      <w:pPr>
        <w:pStyle w:val="22"/>
        <w:jc w:val="center"/>
        <w:rPr>
          <w:b/>
          <w:sz w:val="23"/>
          <w:szCs w:val="23"/>
        </w:rPr>
      </w:pPr>
      <w:r>
        <w:rPr>
          <w:b/>
          <w:sz w:val="23"/>
          <w:szCs w:val="23"/>
        </w:rPr>
      </w:r>
    </w:p>
    <w:p>
      <w:pPr>
        <w:pStyle w:val="22"/>
        <w:jc w:val="center"/>
        <w:rPr>
          <w:b/>
          <w:sz w:val="23"/>
          <w:szCs w:val="23"/>
        </w:rPr>
      </w:pPr>
      <w:r>
        <w:rPr>
          <w:b/>
          <w:sz w:val="23"/>
          <w:szCs w:val="23"/>
        </w:rPr>
      </w:r>
    </w:p>
    <w:p>
      <w:pPr>
        <w:pStyle w:val="22"/>
        <w:jc w:val="center"/>
        <w:rPr>
          <w:b/>
          <w:sz w:val="23"/>
          <w:szCs w:val="23"/>
        </w:rPr>
      </w:pPr>
      <w:r>
        <w:rPr>
          <w:b/>
          <w:sz w:val="23"/>
          <w:szCs w:val="23"/>
        </w:rPr>
        <w:t>Спецификация</w:t>
      </w:r>
    </w:p>
    <w:p>
      <w:pPr>
        <w:pStyle w:val="22"/>
        <w:jc w:val="center"/>
        <w:rPr>
          <w:sz w:val="23"/>
          <w:szCs w:val="23"/>
        </w:rPr>
      </w:pPr>
      <w:r>
        <w:rPr>
          <w:sz w:val="23"/>
          <w:szCs w:val="23"/>
        </w:rPr>
        <w:t xml:space="preserve">на изготовление и поставку сувенирной и полиграфической продукции в целях реализации </w:t>
        <w:br/>
        <w:t>проектного решения «Практикум развития культурного движения «По зову сердца»</w:t>
      </w:r>
    </w:p>
    <w:p>
      <w:pPr>
        <w:pStyle w:val="22"/>
        <w:jc w:val="center"/>
        <w:rPr>
          <w:sz w:val="23"/>
          <w:szCs w:val="23"/>
        </w:rPr>
      </w:pPr>
      <w:r>
        <w:rPr>
          <w:sz w:val="23"/>
          <w:szCs w:val="23"/>
        </w:rPr>
      </w:r>
    </w:p>
    <w:tbl>
      <w:tblPr>
        <w:tblW w:w="5000" w:type="pct"/>
        <w:jc w:val="start"/>
        <w:tblInd w:w="0" w:type="dxa"/>
        <w:tblLayout w:type="fixed"/>
        <w:tblCellMar>
          <w:top w:w="0" w:type="dxa"/>
          <w:start w:w="108" w:type="dxa"/>
          <w:bottom w:w="0" w:type="dxa"/>
          <w:end w:w="108" w:type="dxa"/>
        </w:tblCellMar>
      </w:tblPr>
      <w:tblGrid>
        <w:gridCol w:w="519"/>
        <w:gridCol w:w="5541"/>
        <w:gridCol w:w="1730"/>
        <w:gridCol w:w="669"/>
        <w:gridCol w:w="1231"/>
        <w:gridCol w:w="1513"/>
        <w:gridCol w:w="2191"/>
        <w:gridCol w:w="1883"/>
      </w:tblGrid>
      <w:tr>
        <w:trPr>
          <w:trHeight w:val="23" w:hRule="atLeast"/>
        </w:trPr>
        <w:tc>
          <w:tcPr>
            <w:tcW w:w="519" w:type="dxa"/>
            <w:tcBorders>
              <w:top w:val="single" w:sz="4" w:space="0" w:color="000000"/>
              <w:start w:val="single" w:sz="4" w:space="0" w:color="000000"/>
              <w:bottom w:val="single" w:sz="4" w:space="0" w:color="000000"/>
              <w:end w:val="single" w:sz="4" w:space="0" w:color="000000"/>
            </w:tcBorders>
          </w:tcPr>
          <w:p>
            <w:pPr>
              <w:pStyle w:val="Normal"/>
              <w:jc w:val="center"/>
              <w:rPr>
                <w:sz w:val="23"/>
                <w:szCs w:val="23"/>
                <w:lang w:eastAsia="en-US"/>
              </w:rPr>
            </w:pPr>
            <w:r>
              <w:rPr>
                <w:color w:val="000000"/>
                <w:sz w:val="23"/>
                <w:szCs w:val="23"/>
              </w:rPr>
              <w:t xml:space="preserve">№ п/п</w:t>
            </w:r>
          </w:p>
        </w:tc>
        <w:tc>
          <w:tcPr>
            <w:tcW w:w="5541"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lang w:val="en-US" w:eastAsia="en-US"/>
              </w:rPr>
            </w:pPr>
            <w:r>
              <w:rPr>
                <w:color w:val="000000"/>
                <w:sz w:val="23"/>
                <w:szCs w:val="23"/>
              </w:rPr>
              <w:t>Название, технические характеристики</w:t>
            </w:r>
          </w:p>
        </w:tc>
        <w:tc>
          <w:tcPr>
            <w:tcW w:w="1730" w:type="dxa"/>
            <w:tcBorders>
              <w:top w:val="single" w:sz="4" w:space="0" w:color="000000"/>
              <w:start w:val="single" w:sz="4" w:space="0" w:color="000000"/>
              <w:bottom w:val="single" w:sz="4" w:space="0" w:color="000000"/>
              <w:end w:val="single" w:sz="4" w:space="0" w:color="000000"/>
            </w:tcBorders>
          </w:tcPr>
          <w:p>
            <w:pPr>
              <w:pStyle w:val="Normal"/>
              <w:jc w:val="center"/>
              <w:rPr>
                <w:b/>
                <w:bCs/>
                <w:sz w:val="23"/>
                <w:szCs w:val="23"/>
              </w:rPr>
            </w:pPr>
            <w:r>
              <w:rPr>
                <w:color w:val="000000"/>
                <w:sz w:val="23"/>
                <w:szCs w:val="23"/>
              </w:rPr>
              <w:t>Страна происхождения</w:t>
            </w:r>
          </w:p>
        </w:tc>
        <w:tc>
          <w:tcPr>
            <w:tcW w:w="669" w:type="dxa"/>
            <w:tcBorders>
              <w:top w:val="single" w:sz="4" w:space="0" w:color="000000"/>
              <w:start w:val="single" w:sz="4" w:space="0" w:color="000000"/>
              <w:bottom w:val="single" w:sz="4" w:space="0" w:color="000000"/>
              <w:end w:val="single" w:sz="4" w:space="0" w:color="000000"/>
            </w:tcBorders>
          </w:tcPr>
          <w:p>
            <w:pPr>
              <w:pStyle w:val="Normal"/>
              <w:jc w:val="center"/>
              <w:rPr>
                <w:b/>
                <w:bCs/>
                <w:sz w:val="23"/>
                <w:szCs w:val="23"/>
              </w:rPr>
            </w:pPr>
            <w:r>
              <w:rPr>
                <w:color w:val="000000"/>
                <w:sz w:val="23"/>
                <w:szCs w:val="23"/>
              </w:rPr>
              <w:t>Кол-во</w:t>
            </w:r>
          </w:p>
        </w:tc>
        <w:tc>
          <w:tcPr>
            <w:tcW w:w="1231" w:type="dxa"/>
            <w:tcBorders>
              <w:top w:val="single" w:sz="4" w:space="0" w:color="000000"/>
              <w:start w:val="single" w:sz="4" w:space="0" w:color="000000"/>
              <w:bottom w:val="single" w:sz="4" w:space="0" w:color="000000"/>
              <w:end w:val="single" w:sz="4" w:space="0" w:color="000000"/>
            </w:tcBorders>
          </w:tcPr>
          <w:p>
            <w:pPr>
              <w:pStyle w:val="Normal"/>
              <w:jc w:val="center"/>
              <w:rPr>
                <w:b/>
                <w:bCs/>
                <w:sz w:val="23"/>
                <w:szCs w:val="23"/>
              </w:rPr>
            </w:pPr>
            <w:r>
              <w:rPr>
                <w:color w:val="000000"/>
                <w:sz w:val="23"/>
                <w:szCs w:val="23"/>
              </w:rPr>
              <w:t>Единица измерения</w:t>
            </w:r>
          </w:p>
        </w:tc>
        <w:tc>
          <w:tcPr>
            <w:tcW w:w="1513" w:type="dxa"/>
            <w:tcBorders>
              <w:top w:val="single" w:sz="4" w:space="0" w:color="000000"/>
              <w:start w:val="single" w:sz="4" w:space="0" w:color="000000"/>
              <w:bottom w:val="single" w:sz="4" w:space="0" w:color="000000"/>
              <w:end w:val="single" w:sz="4" w:space="0" w:color="000000"/>
            </w:tcBorders>
          </w:tcPr>
          <w:p>
            <w:pPr>
              <w:pStyle w:val="Normal"/>
              <w:jc w:val="center"/>
              <w:rPr>
                <w:b/>
                <w:bCs/>
                <w:sz w:val="23"/>
                <w:szCs w:val="23"/>
              </w:rPr>
            </w:pPr>
            <w:r>
              <w:rPr>
                <w:color w:val="000000"/>
                <w:sz w:val="23"/>
                <w:szCs w:val="23"/>
              </w:rPr>
              <w:t>Цена за единицу, руб.</w:t>
            </w:r>
          </w:p>
        </w:tc>
        <w:tc>
          <w:tcPr>
            <w:tcW w:w="2191"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3"/>
                <w:szCs w:val="23"/>
              </w:rPr>
            </w:pPr>
            <w:r>
              <w:rPr>
                <w:color w:val="000000"/>
                <w:sz w:val="23"/>
                <w:szCs w:val="23"/>
              </w:rPr>
              <w:t>Сумма, руб.</w:t>
            </w:r>
          </w:p>
        </w:tc>
        <w:tc>
          <w:tcPr>
            <w:tcW w:w="1883" w:type="dxa"/>
            <w:tcBorders>
              <w:top w:val="single" w:sz="4" w:space="0" w:color="000000"/>
              <w:start w:val="single" w:sz="4" w:space="0" w:color="000000"/>
              <w:bottom w:val="single" w:sz="4" w:space="0" w:color="000000"/>
              <w:end w:val="single" w:sz="4" w:space="0" w:color="000000"/>
            </w:tcBorders>
          </w:tcPr>
          <w:p>
            <w:pPr>
              <w:pStyle w:val="Normal"/>
              <w:jc w:val="center"/>
              <w:rPr>
                <w:color w:val="000000"/>
                <w:sz w:val="23"/>
                <w:szCs w:val="23"/>
              </w:rPr>
            </w:pPr>
            <w:r>
              <w:rPr>
                <w:color w:val="000000"/>
                <w:sz w:val="23"/>
                <w:szCs w:val="23"/>
              </w:rPr>
              <w:t>Место поставки</w:t>
            </w:r>
          </w:p>
        </w:tc>
      </w:tr>
      <w:tr>
        <w:trPr>
          <w:trHeight w:val="23" w:hRule="atLeast"/>
        </w:trPr>
        <w:tc>
          <w:tcPr>
            <w:tcW w:w="519" w:type="dxa"/>
            <w:tcBorders>
              <w:top w:val="single" w:sz="4" w:space="0" w:color="000000"/>
              <w:start w:val="single" w:sz="4" w:space="0" w:color="000000"/>
              <w:bottom w:val="single" w:sz="4" w:space="0" w:color="000000"/>
              <w:end w:val="single" w:sz="4" w:space="0" w:color="000000"/>
            </w:tcBorders>
          </w:tcPr>
          <w:p>
            <w:pPr>
              <w:pStyle w:val="Normal"/>
              <w:jc w:val="center"/>
              <w:rPr>
                <w:sz w:val="23"/>
                <w:szCs w:val="23"/>
              </w:rPr>
            </w:pPr>
            <w:r>
              <w:rPr>
                <w:sz w:val="23"/>
                <w:szCs w:val="23"/>
              </w:rPr>
              <w:t>{#items}{item_number}</w:t>
            </w:r>
          </w:p>
        </w:tc>
        <w:tc>
          <w:tcPr>
            <w:tcW w:w="5541" w:type="dxa"/>
            <w:tcBorders>
              <w:top w:val="single" w:sz="4" w:space="0" w:color="000000"/>
              <w:start w:val="single" w:sz="4" w:space="0" w:color="000000"/>
              <w:bottom w:val="single" w:sz="4" w:space="0" w:color="000000"/>
              <w:end w:val="single" w:sz="4" w:space="0" w:color="000000"/>
            </w:tcBorders>
            <w:vAlign w:val="center"/>
          </w:tcPr>
          <w:p>
            <w:pPr>
              <w:pStyle w:val="Normal"/>
              <w:rPr>
                <w:bCs/>
                <w:sz w:val="23"/>
                <w:szCs w:val="23"/>
              </w:rPr>
            </w:pPr>
            <w:r>
              <w:rPr>
                <w:bCs/>
                <w:sz w:val="23"/>
                <w:szCs w:val="23"/>
              </w:rPr>
              <w:t xml:space="preserve">{item_name}</w:t>
            </w:r>
          </w:p>
          <w:p>
            <w:pPr>
              <w:pStyle w:val="Normal"/>
              <w:rPr>
                <w:sz w:val="23"/>
                <w:szCs w:val="23"/>
              </w:rPr>
            </w:pPr>
            <w:r>
              <w:rPr>
                <w:sz w:val="23"/>
                <w:szCs w:val="23"/>
              </w:rPr>
              <w:t xml:space="preserve">{item_tech_specs}</w:t>
            </w:r>
          </w:p>
        </w:tc>
        <w:tc>
          <w:tcPr>
            <w:tcW w:w="1730" w:type="dxa"/>
            <w:tcBorders>
              <w:top w:val="single" w:sz="4" w:space="0" w:color="000000"/>
              <w:start w:val="single" w:sz="4" w:space="0" w:color="000000"/>
              <w:bottom w:val="single" w:sz="4" w:space="0" w:color="000000"/>
              <w:end w:val="single" w:sz="4" w:space="0" w:color="000000"/>
            </w:tcBorders>
          </w:tcPr>
          <w:p>
            <w:pPr>
              <w:pStyle w:val="Normal"/>
              <w:jc w:val="center"/>
              <w:rPr>
                <w:sz w:val="23"/>
                <w:szCs w:val="23"/>
              </w:rPr>
            </w:pPr>
            <w:r>
              <w:rPr>
                <w:sz w:val="23"/>
                <w:szCs w:val="23"/>
              </w:rPr>
              <w:t>{item_country_of_origin}</w:t>
            </w:r>
          </w:p>
        </w:tc>
        <w:tc>
          <w:tcPr>
            <w:tcW w:w="669" w:type="dxa"/>
            <w:tcBorders>
              <w:top w:val="single" w:sz="4" w:space="0" w:color="000000"/>
              <w:start w:val="single" w:sz="4" w:space="0" w:color="000000"/>
              <w:bottom w:val="single" w:sz="4" w:space="0" w:color="000000"/>
              <w:end w:val="single" w:sz="4" w:space="0" w:color="000000"/>
            </w:tcBorders>
          </w:tcPr>
          <w:p>
            <w:pPr>
              <w:pStyle w:val="Normal"/>
              <w:jc w:val="center"/>
              <w:rPr>
                <w:sz w:val="23"/>
                <w:szCs w:val="23"/>
              </w:rPr>
            </w:pPr>
            <w:r>
              <w:rPr>
                <w:sz w:val="23"/>
                <w:szCs w:val="23"/>
              </w:rPr>
              <w:t>{item_quantity}</w:t>
            </w:r>
          </w:p>
        </w:tc>
        <w:tc>
          <w:tcPr>
            <w:tcW w:w="1231" w:type="dxa"/>
            <w:tcBorders>
              <w:top w:val="single" w:sz="4" w:space="0" w:color="000000"/>
              <w:start w:val="single" w:sz="4" w:space="0" w:color="000000"/>
              <w:bottom w:val="single" w:sz="4" w:space="0" w:color="000000"/>
              <w:end w:val="single" w:sz="4" w:space="0" w:color="000000"/>
            </w:tcBorders>
          </w:tcPr>
          <w:p>
            <w:pPr>
              <w:pStyle w:val="Normal"/>
              <w:jc w:val="center"/>
              <w:rPr>
                <w:sz w:val="23"/>
                <w:szCs w:val="23"/>
              </w:rPr>
            </w:pPr>
            <w:r>
              <w:rPr>
                <w:sz w:val="23"/>
                <w:szCs w:val="23"/>
              </w:rPr>
              <w:t>{item_unit}</w:t>
            </w:r>
          </w:p>
        </w:tc>
        <w:tc>
          <w:tcPr>
            <w:tcW w:w="1513" w:type="dxa"/>
            <w:tcBorders>
              <w:top w:val="single" w:sz="4" w:space="0" w:color="000000"/>
              <w:start w:val="single" w:sz="4" w:space="0" w:color="000000"/>
              <w:bottom w:val="single" w:sz="4" w:space="0" w:color="000000"/>
              <w:end w:val="single" w:sz="4" w:space="0" w:color="000000"/>
            </w:tcBorders>
          </w:tcPr>
          <w:p>
            <w:pPr>
              <w:pStyle w:val="Normal"/>
              <w:ind w:end="57"/>
              <w:jc w:val="center"/>
              <w:rPr/>
            </w:pPr>
            <w:r>
              <w:rPr>
                <w:sz w:val="23"/>
                <w:szCs w:val="23"/>
                <w:lang w:val="en-US"/>
              </w:rPr>
              <w:t>{item_unit_price}</w:t>
            </w:r>
          </w:p>
        </w:tc>
        <w:tc>
          <w:tcPr>
            <w:tcW w:w="2191" w:type="dxa"/>
            <w:tcBorders>
              <w:top w:val="single" w:sz="4" w:space="0" w:color="000000"/>
              <w:start w:val="single" w:sz="4" w:space="0" w:color="000000"/>
              <w:bottom w:val="single" w:sz="4" w:space="0" w:color="000000"/>
              <w:end w:val="single" w:sz="4" w:space="0" w:color="000000"/>
            </w:tcBorders>
          </w:tcPr>
          <w:p>
            <w:pPr>
              <w:pStyle w:val="Normal"/>
              <w:ind w:end="57"/>
              <w:jc w:val="center"/>
              <w:rPr/>
            </w:pPr>
            <w:r>
              <w:rPr>
                <w:sz w:val="23"/>
                <w:szCs w:val="23"/>
                <w:lang w:val="en-US"/>
              </w:rPr>
              <w:t>{item_line_total}{/items}</w:t>
            </w:r>
          </w:p>
        </w:tc>
        <w:tc>
          <w:tcPr>
            <w:tcW w:w="1883" w:type="dxa"/>
            <w:tcBorders>
              <w:top w:val="single" w:sz="4" w:space="0" w:color="000000"/>
              <w:start w:val="single" w:sz="4" w:space="0" w:color="000000"/>
              <w:bottom w:val="single" w:sz="4" w:space="0" w:color="000000"/>
              <w:end w:val="single" w:sz="4" w:space="0" w:color="000000"/>
            </w:tcBorders>
          </w:tcPr>
          <w:p>
            <w:pPr>
              <w:pStyle w:val="Normal"/>
              <w:rPr>
                <w:sz w:val="23"/>
                <w:szCs w:val="23"/>
              </w:rPr>
            </w:pPr>
            <w:r>
              <w:rPr>
                <w:color w:val="000000"/>
                <w:sz w:val="23"/>
                <w:szCs w:val="23"/>
              </w:rPr>
              <w:t>{item_delivery_address}</w:t>
            </w:r>
          </w:p>
        </w:tc>
      </w:tr>
      <w:tr>
        <w:trPr>
          <w:trHeight w:val="23" w:hRule="atLeast"/>
        </w:trPr>
        <w:tc>
          <w:tcPr>
            <w:tcW w:w="11203" w:type="dxa"/>
            <w:gridSpan w:val="6"/>
            <w:tcBorders>
              <w:top w:val="single" w:sz="4" w:space="0" w:color="000000"/>
              <w:start w:val="single" w:sz="4" w:space="0" w:color="000000"/>
              <w:bottom w:val="single" w:sz="4" w:space="0" w:color="000000"/>
              <w:end w:val="single" w:sz="4" w:space="0" w:color="000000"/>
            </w:tcBorders>
          </w:tcPr>
          <w:p>
            <w:pPr>
              <w:pStyle w:val="Normal"/>
              <w:ind w:end="57"/>
              <w:rPr>
                <w:b/>
                <w:bCs/>
                <w:sz w:val="23"/>
                <w:szCs w:val="23"/>
              </w:rPr>
            </w:pPr>
            <w:r>
              <w:rPr>
                <w:b/>
                <w:bCs/>
                <w:sz w:val="23"/>
                <w:szCs w:val="23"/>
              </w:rPr>
              <w:t>ИТОГО:</w:t>
            </w:r>
          </w:p>
        </w:tc>
        <w:tc>
          <w:tcPr>
            <w:tcW w:w="4074" w:type="dxa"/>
            <w:gridSpan w:val="2"/>
            <w:tcBorders>
              <w:top w:val="single" w:sz="4" w:space="0" w:color="000000"/>
              <w:start w:val="single" w:sz="4" w:space="0" w:color="000000"/>
              <w:bottom w:val="single" w:sz="4" w:space="0" w:color="000000"/>
              <w:end w:val="single" w:sz="4" w:space="0" w:color="000000"/>
            </w:tcBorders>
          </w:tcPr>
          <w:p>
            <w:pPr>
              <w:pStyle w:val="Normal"/>
              <w:ind w:end="57"/>
              <w:jc w:val="center"/>
              <w:rPr/>
            </w:pPr>
            <w:r>
              <w:rPr>
                <w:b/>
                <w:bCs/>
                <w:color w:val="000000"/>
                <w:sz w:val="23"/>
                <w:szCs w:val="23"/>
                <w:lang w:val="en-US"/>
              </w:rPr>
              <w:t>{appendix_total} руб.</w:t>
            </w:r>
          </w:p>
        </w:tc>
      </w:tr>
    </w:tbl>
    <w:p>
      <w:pPr>
        <w:pStyle w:val="Normal"/>
        <w:rPr>
          <w:sz w:val="23"/>
          <w:szCs w:val="23"/>
        </w:rPr>
      </w:pPr>
      <w:r>
        <w:rPr>
          <w:sz w:val="23"/>
          <w:szCs w:val="23"/>
        </w:rPr>
      </w:r>
    </w:p>
    <w:p>
      <w:pPr>
        <w:pStyle w:val="Style19"/>
        <w:numPr>
          <w:ilvl w:val="0"/>
          <w:numId w:val="3"/>
        </w:numPr>
        <w:spacing w:lineRule="auto" w:line="240" w:before="0" w:after="0"/>
        <w:contextualSpacing/>
        <w:rPr>
          <w:rFonts w:ascii="Times New Roman" w:hAnsi="Times New Roman" w:cs="Times New Roman"/>
          <w:sz w:val="23"/>
          <w:szCs w:val="23"/>
        </w:rPr>
      </w:pPr>
      <w:r>
        <w:rPr>
          <w:rFonts w:cs="Times New Roman" w:ascii="Times New Roman" w:hAnsi="Times New Roman"/>
          <w:sz w:val="23"/>
          <w:szCs w:val="23"/>
        </w:rPr>
        <w:t>Сроки поставки: не позднее 25 мая 2026 г.</w:t>
      </w:r>
    </w:p>
    <w:p>
      <w:pPr>
        <w:pStyle w:val="Style19"/>
        <w:numPr>
          <w:ilvl w:val="0"/>
          <w:numId w:val="3"/>
        </w:numPr>
        <w:spacing w:lineRule="auto" w:line="240" w:before="0" w:after="0"/>
        <w:contextualSpacing/>
        <w:rPr>
          <w:rFonts w:ascii="Times New Roman" w:hAnsi="Times New Roman" w:cs="Times New Roman"/>
          <w:sz w:val="23"/>
          <w:szCs w:val="23"/>
        </w:rPr>
      </w:pPr>
      <w:r>
        <w:rPr>
          <w:rFonts w:cs="Times New Roman" w:ascii="Times New Roman" w:hAnsi="Times New Roman"/>
          <w:sz w:val="23"/>
          <w:szCs w:val="23"/>
        </w:rPr>
        <w:t>Поставляемый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pPr>
        <w:pStyle w:val="Style19"/>
        <w:numPr>
          <w:ilvl w:val="0"/>
          <w:numId w:val="3"/>
        </w:numPr>
        <w:spacing w:lineRule="auto" w:line="240" w:before="0" w:after="0"/>
        <w:contextualSpacing/>
        <w:rPr>
          <w:rFonts w:ascii="Times New Roman" w:hAnsi="Times New Roman" w:cs="Times New Roman"/>
          <w:sz w:val="23"/>
          <w:szCs w:val="23"/>
        </w:rPr>
      </w:pPr>
      <w:r>
        <w:rPr>
          <w:rFonts w:cs="Times New Roman" w:ascii="Times New Roman" w:hAnsi="Times New Roman"/>
          <w:sz w:val="23"/>
          <w:szCs w:val="23"/>
        </w:rPr>
        <w:t>Товары должны поставляться в упаковке, соответствующей их характеру и способу транспортировки.</w:t>
      </w:r>
    </w:p>
    <w:p>
      <w:pPr>
        <w:pStyle w:val="Style19"/>
        <w:numPr>
          <w:ilvl w:val="0"/>
          <w:numId w:val="3"/>
        </w:numPr>
        <w:spacing w:lineRule="auto" w:line="240" w:before="0" w:after="0"/>
        <w:contextualSpacing/>
        <w:rPr>
          <w:rFonts w:ascii="Times New Roman" w:hAnsi="Times New Roman" w:cs="Times New Roman"/>
          <w:sz w:val="23"/>
          <w:szCs w:val="23"/>
        </w:rPr>
      </w:pPr>
      <w:r>
        <w:rPr>
          <w:rFonts w:cs="Times New Roman" w:ascii="Times New Roman" w:hAnsi="Times New Roman"/>
          <w:sz w:val="23"/>
          <w:szCs w:val="23"/>
        </w:rPr>
        <w:t>Стоимость упаковочных материалов включается в стоимость товаров.</w:t>
      </w:r>
    </w:p>
    <w:p>
      <w:pPr>
        <w:pStyle w:val="Style19"/>
        <w:numPr>
          <w:ilvl w:val="0"/>
          <w:numId w:val="3"/>
        </w:numPr>
        <w:spacing w:lineRule="auto" w:line="240" w:before="0" w:after="0"/>
        <w:contextualSpacing/>
        <w:rPr>
          <w:rFonts w:ascii="Times New Roman" w:hAnsi="Times New Roman" w:cs="Times New Roman"/>
          <w:sz w:val="23"/>
          <w:szCs w:val="23"/>
        </w:rPr>
      </w:pPr>
      <w:r>
        <w:rPr>
          <w:rFonts w:eastAsia="Times New Roman" w:cs="Times New Roman" w:ascii="Times New Roman" w:hAnsi="Times New Roman"/>
          <w:sz w:val="23"/>
          <w:szCs w:val="23"/>
        </w:rPr>
        <w:t xml:space="preserve"> </w:t>
      </w:r>
      <w:r>
        <w:rPr>
          <w:rFonts w:cs="Times New Roman" w:ascii="Times New Roman" w:hAnsi="Times New Roman"/>
          <w:sz w:val="23"/>
          <w:szCs w:val="23"/>
        </w:rPr>
        <w:t>При получении товара и обнаружении дефектов или отсутствие комплектующих, которые приводят к отказу функционирования Товара, Поставщик за свой счет заменяет некачественный товар качественным или поставляет недостающие комплектующие. Замену-поставку дефектных или отсутствующих комплектующих, Поставщик производит в кратчайший срок, но не позднее 30 дней начиная с момента (даты) получения товара.</w:t>
      </w:r>
    </w:p>
    <w:p>
      <w:pPr>
        <w:pStyle w:val="Style19"/>
        <w:numPr>
          <w:ilvl w:val="0"/>
          <w:numId w:val="3"/>
        </w:numPr>
        <w:spacing w:lineRule="auto" w:line="240" w:before="0" w:after="0"/>
        <w:contextualSpacing/>
        <w:rPr>
          <w:rFonts w:ascii="Times New Roman" w:hAnsi="Times New Roman" w:cs="Times New Roman"/>
          <w:sz w:val="23"/>
          <w:szCs w:val="23"/>
        </w:rPr>
      </w:pPr>
      <w:r>
        <w:rPr>
          <w:rFonts w:cs="Times New Roman" w:ascii="Times New Roman" w:hAnsi="Times New Roman"/>
          <w:sz w:val="23"/>
          <w:szCs w:val="23"/>
        </w:rPr>
        <w:t>Гарантийный срок: не менее 12 мес. с момента приемки товара.</w:t>
      </w:r>
    </w:p>
    <w:p>
      <w:pPr>
        <w:pStyle w:val="Normal"/>
        <w:rPr>
          <w:rFonts w:ascii="Times New Roman" w:hAnsi="Times New Roman" w:cs="Times New Roman"/>
          <w:sz w:val="23"/>
          <w:szCs w:val="23"/>
        </w:rPr>
      </w:pPr>
      <w:r>
        <w:rPr>
          <w:rFonts w:cs="Times New Roman"/>
          <w:sz w:val="23"/>
          <w:szCs w:val="23"/>
        </w:rPr>
      </w:r>
    </w:p>
    <w:tbl>
      <w:tblPr>
        <w:tblW w:w="14560" w:type="dxa"/>
        <w:jc w:val="start"/>
        <w:tblInd w:w="0" w:type="dxa"/>
        <w:tblLayout w:type="fixed"/>
        <w:tblCellMar>
          <w:top w:w="0" w:type="dxa"/>
          <w:start w:w="108" w:type="dxa"/>
          <w:bottom w:w="0" w:type="dxa"/>
          <w:end w:w="108" w:type="dxa"/>
        </w:tblCellMar>
      </w:tblPr>
      <w:tblGrid>
        <w:gridCol w:w="7280"/>
        <w:gridCol w:w="7280"/>
      </w:tblGrid>
      <w:tr>
        <w:trPr>
          <w:trHeight w:val="1134" w:hRule="atLeast"/>
        </w:trPr>
        <w:tc>
          <w:tcPr>
            <w:tcW w:w="7280" w:type="dxa"/>
            <w:tcBorders/>
          </w:tcPr>
          <w:p>
            <w:pPr>
              <w:pStyle w:val="Style13"/>
              <w:spacing w:before="0" w:after="280"/>
              <w:rPr>
                <w:rFonts w:ascii="Calibri" w:hAnsi="Calibri" w:eastAsia="Calibri" w:cs="Calibri"/>
                <w:sz w:val="23"/>
                <w:szCs w:val="23"/>
              </w:rPr>
            </w:pPr>
            <w:r>
              <w:rPr>
                <w:rFonts w:eastAsia="Calibri" w:cs="TimesNewRomanPS;Times New Roman" w:ascii="TimesNewRomanPS;Times New Roman" w:hAnsi="TimesNewRomanPS;Times New Roman"/>
                <w:b/>
                <w:bCs/>
                <w:sz w:val="23"/>
                <w:szCs w:val="23"/>
              </w:rPr>
              <w:t xml:space="preserve">Заказчик </w:t>
            </w:r>
            <w:r>
              <w:rPr>
                <w:rFonts w:eastAsia="Calibri" w:cs="Calibri" w:ascii="Calibri" w:hAnsi="Calibri"/>
                <w:b/>
                <w:bCs/>
                <w:sz w:val="23"/>
                <w:szCs w:val="23"/>
              </w:rPr>
              <w:br/>
            </w:r>
            <w:r>
              <w:rPr>
                <w:rFonts w:eastAsia="Calibri" w:cs="TimesNewRomanPSMT;Times New Roman" w:ascii="TimesNewRomanPSMT;Times New Roman" w:hAnsi="TimesNewRomanPSMT;Times New Roman"/>
                <w:sz w:val="23"/>
                <w:szCs w:val="23"/>
              </w:rPr>
              <w:t xml:space="preserve">{customer_signatory_position_short} </w:t>
            </w:r>
          </w:p>
          <w:p>
            <w:pPr>
              <w:pStyle w:val="Style13"/>
              <w:spacing w:before="280" w:after="0"/>
              <w:rPr>
                <w:rFonts w:ascii="Calibri" w:hAnsi="Calibri" w:eastAsia="Calibri" w:cs="Calibri"/>
                <w:sz w:val="23"/>
                <w:szCs w:val="23"/>
                <w:lang w:val="en-US"/>
              </w:rPr>
            </w:pPr>
            <w:r>
              <w:rPr>
                <w:rFonts w:eastAsia="Calibri" w:cs="TimesNewRomanPSMT;Times New Roman" w:ascii="TimesNewRomanPSMT;Times New Roman" w:hAnsi="TimesNewRomanPSMT;Times New Roman"/>
                <w:sz w:val="23"/>
                <w:szCs w:val="23"/>
              </w:rPr>
              <w:t>____________________</w:t>
            </w:r>
            <w:r>
              <w:rPr>
                <w:rFonts w:eastAsia="Calibri" w:cs="TimesNewRomanPSMT;Times New Roman" w:ascii="TimesNewRomanPSMT;Times New Roman" w:hAnsi="TimesNewRomanPSMT;Times New Roman"/>
                <w:sz w:val="23"/>
                <w:szCs w:val="23"/>
                <w:lang w:val="en-US"/>
              </w:rPr>
              <w:t xml:space="preserve">/ </w:t>
            </w:r>
            <w:r>
              <w:rPr>
                <w:rFonts w:eastAsia="Calibri" w:cs="TimesNewRomanPSMT;Times New Roman" w:ascii="TimesNewRomanPSMT;Times New Roman" w:hAnsi="TimesNewRomanPSMT;Times New Roman"/>
                <w:sz w:val="23"/>
                <w:szCs w:val="23"/>
              </w:rPr>
              <w:t xml:space="preserve">{customer_signatory_initials_reversed} </w:t>
            </w:r>
            <w:r>
              <w:rPr>
                <w:rFonts w:eastAsia="Calibri" w:cs="TimesNewRomanPSMT;Times New Roman" w:ascii="TimesNewRomanPSMT;Times New Roman" w:hAnsi="TimesNewRomanPSMT;Times New Roman"/>
                <w:sz w:val="23"/>
                <w:szCs w:val="23"/>
                <w:lang w:val="en-US"/>
              </w:rPr>
              <w:t>/</w:t>
            </w:r>
          </w:p>
        </w:tc>
        <w:tc>
          <w:tcPr>
            <w:tcW w:w="7280" w:type="dxa"/>
            <w:tcBorders/>
          </w:tcPr>
          <w:p>
            <w:pPr>
              <w:pStyle w:val="Normal"/>
              <w:rPr>
                <w:sz w:val="23"/>
                <w:szCs w:val="23"/>
              </w:rPr>
            </w:pPr>
            <w:r>
              <w:rPr>
                <w:rFonts w:eastAsia="Calibri" w:cs="TimesNewRomanPS;Times New Roman" w:ascii="TimesNewRomanPS;Times New Roman" w:hAnsi="TimesNewRomanPS;Times New Roman"/>
                <w:b/>
                <w:bCs/>
                <w:sz w:val="23"/>
                <w:szCs w:val="23"/>
              </w:rPr>
              <w:t>Поставщик</w:t>
              <w:br/>
            </w:r>
            <w:r>
              <w:rPr>
                <w:sz w:val="23"/>
                <w:szCs w:val="23"/>
              </w:rPr>
              <w:t xml:space="preserve">Директор ООО </w:t>
            </w:r>
            <w:r>
              <w:rPr>
                <w:sz w:val="22"/>
                <w:szCs w:val="22"/>
              </w:rPr>
              <w:t>"</w:t>
            </w:r>
            <w:r>
              <w:rPr>
                <w:bCs/>
                <w:sz w:val="22"/>
                <w:szCs w:val="22"/>
              </w:rPr>
              <w:t>{contractor_short_name}</w:t>
            </w:r>
            <w:r>
              <w:rPr>
                <w:sz w:val="22"/>
                <w:szCs w:val="22"/>
              </w:rPr>
              <w:t>"</w:t>
            </w:r>
          </w:p>
          <w:p>
            <w:pPr>
              <w:pStyle w:val="Style13"/>
              <w:spacing w:before="280" w:after="0"/>
              <w:rPr>
                <w:rFonts w:ascii="Calibri" w:hAnsi="Calibri" w:eastAsia="Calibri" w:cs="Calibri"/>
                <w:sz w:val="23"/>
                <w:szCs w:val="23"/>
              </w:rPr>
            </w:pPr>
            <w:r>
              <w:rPr>
                <w:sz w:val="23"/>
                <w:szCs w:val="23"/>
              </w:rPr>
              <w:t>___________________/</w:t>
            </w:r>
            <w:r>
              <w:rPr>
                <w:bCs/>
                <w:sz w:val="23"/>
                <w:szCs w:val="23"/>
              </w:rPr>
              <w:t xml:space="preserve"> </w:t>
            </w:r>
            <w:r>
              <w:rPr>
                <w:color w:val="000000"/>
                <w:sz w:val="23"/>
                <w:szCs w:val="23"/>
              </w:rPr>
              <w:t>{contractor_signatory_initials}</w:t>
            </w:r>
            <w:r>
              <w:rPr>
                <w:bCs/>
                <w:sz w:val="23"/>
                <w:szCs w:val="23"/>
              </w:rPr>
              <w:t xml:space="preserve"> /</w:t>
            </w:r>
          </w:p>
        </w:tc>
      </w:tr>
    </w:tbl>
    <w:p>
      <w:pPr>
        <w:pStyle w:val="Normal"/>
        <w:rPr>
          <w:sz w:val="23"/>
          <w:szCs w:val="23"/>
        </w:rPr>
      </w:pPr>
      <w:r>
        <w:rPr>
          <w:sz w:val="23"/>
          <w:szCs w:val="23"/>
        </w:rPr>
      </w:r>
    </w:p>
    <w:p>
      <w:pPr>
        <w:pStyle w:val="Normal"/>
        <w:tabs>
          <w:tab w:val="clear" w:pos="709"/>
          <w:tab w:val="left" w:pos="426" w:leader="none"/>
        </w:tabs>
        <w:jc w:val="both"/>
        <w:rPr>
          <w:rFonts w:eastAsia="Calibri"/>
          <w:sz w:val="23"/>
          <w:szCs w:val="23"/>
        </w:rPr>
      </w:pPr>
      <w:r>
        <w:rPr>
          <w:rFonts w:eastAsia="Calibri"/>
          <w:sz w:val="23"/>
          <w:szCs w:val="23"/>
        </w:rPr>
      </w:r>
    </w:p>
    <w:p>
      <w:pPr>
        <w:pStyle w:val="Normal"/>
        <w:spacing w:before="0" w:after="120"/>
        <w:rPr>
          <w:sz w:val="23"/>
          <w:szCs w:val="23"/>
        </w:rPr>
      </w:pPr>
      <w:r>
        <w:rPr>
          <w:sz w:val="23"/>
          <w:szCs w:val="23"/>
        </w:rPr>
        <w:t xml:space="preserve"> </w:t>
      </w:r>
    </w:p>
    <w:sectPr>
      <w:footerReference w:type="default" r:id="rId4"/>
      <w:footerReference w:type="first" r:id="rId5"/>
      <w:type w:val="nextPage"/>
      <w:pgSz w:orient="landscape" w:w="16838" w:h="11906"/>
      <w:pgMar w:left="993" w:right="568" w:gutter="0" w:header="0" w:top="574" w:footer="709" w:bottom="84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Cambria">
    <w:charset w:val="00" w:characterSet="windows-1252"/>
    <w:family w:val="roman"/>
    <w:pitch w:val="variable"/>
  </w:font>
  <w:font w:name="Calibri">
    <w:charset w:val="00" w:characterSet="windows-1252"/>
    <w:family w:val="swiss"/>
    <w:pitch w:val="variable"/>
  </w:font>
  <w:font w:name="Wingdings">
    <w:charset w:val="00" w:characterSet="windows-1252"/>
    <w:family w:val="decorative"/>
    <w:pitch w:val="variable"/>
  </w:font>
  <w:font w:name="Courier New">
    <w:charset w:val="00" w:characterSet="windows-1252"/>
    <w:family w:val="modern"/>
    <w:pitch w:val="default"/>
  </w:font>
  <w:font w:name="Symbol">
    <w:charset w:val="02"/>
    <w:family w:val="decorative"/>
    <w:pitch w:val="variable"/>
  </w:font>
  <w:font w:name="Tahoma">
    <w:charset w:val="00" w:characterSet="windows-1252"/>
    <w:family w:val="swiss"/>
    <w:pitch w:val="variable"/>
  </w:font>
  <w:font w:name="TimesNewRomanPS">
    <w:altName w:val="Times New Roman"/>
    <w:charset w:val="00" w:characterSet="windows-1252"/>
    <w:family w:val="roman"/>
    <w:pitch w:val="default"/>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91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64135" cy="146685"/>
              <wp:effectExtent l="0" t="0" r="0" b="0"/>
              <wp:wrapSquare wrapText="bothSides"/>
              <wp:docPr id="2"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758.8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lvl>
    <w:lvl w:ilvl="1">
      <w:start w:val="1"/>
      <w:pStyle w:val="Heading2"/>
      <w:numFmt w:val="decimal"/>
      <w:lvlText w:val="%1.%2"/>
      <w:lvlJc w:val="start"/>
      <w:pPr>
        <w:tabs>
          <w:tab w:val="num" w:pos="0"/>
        </w:tabs>
        <w:ind w:start="576" w:hanging="576"/>
      </w:pPr>
    </w:lvl>
    <w:lvl w:ilvl="2">
      <w:start w:val="1"/>
      <w:pStyle w:val="Heading3"/>
      <w:numFmt w:val="decimal"/>
      <w:lvlText w:val="%1.%2.%3"/>
      <w:lvlJc w:val="start"/>
      <w:pPr>
        <w:tabs>
          <w:tab w:val="num" w:pos="0"/>
        </w:tabs>
        <w:ind w:start="720" w:hanging="720"/>
      </w:pPr>
    </w:lvl>
    <w:lvl w:ilvl="3">
      <w:start w:val="1"/>
      <w:pStyle w:val="Heading4"/>
      <w:numFmt w:val="decimal"/>
      <w:lvlText w:val="%1.%2.%3.%4"/>
      <w:lvlJc w:val="start"/>
      <w:pPr>
        <w:tabs>
          <w:tab w:val="num" w:pos="0"/>
        </w:tabs>
        <w:ind w:start="864" w:hanging="864"/>
      </w:pPr>
    </w:lvl>
    <w:lvl w:ilvl="4">
      <w:start w:val="1"/>
      <w:pStyle w:val="Heading5"/>
      <w:numFmt w:val="decimal"/>
      <w:lvlText w:val="%1.%2.%3.%4.%5"/>
      <w:lvlJc w:val="start"/>
      <w:pPr>
        <w:tabs>
          <w:tab w:val="num" w:pos="0"/>
        </w:tabs>
        <w:ind w:start="1008" w:hanging="1008"/>
      </w:pPr>
    </w:lvl>
    <w:lvl w:ilvl="5">
      <w:start w:val="1"/>
      <w:pStyle w:val="Heading6"/>
      <w:numFmt w:val="decimal"/>
      <w:lvlText w:val="%1.%2.%3.%4.%5.%6"/>
      <w:lvlJc w:val="start"/>
      <w:pPr>
        <w:tabs>
          <w:tab w:val="num" w:pos="0"/>
        </w:tabs>
        <w:ind w:start="1152" w:hanging="1152"/>
      </w:pPr>
    </w:lvl>
    <w:lvl w:ilvl="6">
      <w:start w:val="1"/>
      <w:pStyle w:val="Heading7"/>
      <w:numFmt w:val="decimal"/>
      <w:lvlText w:val="%1.%2.%3.%4.%5.%6.%7"/>
      <w:lvlJc w:val="start"/>
      <w:pPr>
        <w:tabs>
          <w:tab w:val="num" w:pos="0"/>
        </w:tabs>
        <w:ind w:start="1296" w:hanging="1296"/>
      </w:pPr>
    </w:lvl>
    <w:lvl w:ilvl="7">
      <w:start w:val="1"/>
      <w:pStyle w:val="Heading8"/>
      <w:numFmt w:val="decimal"/>
      <w:lvlText w:val="%1.%2.%3.%4.%5.%6.%7.%8"/>
      <w:lvlJc w:val="start"/>
      <w:pPr>
        <w:tabs>
          <w:tab w:val="num" w:pos="0"/>
        </w:tabs>
        <w:ind w:start="1440" w:hanging="1440"/>
      </w:pPr>
    </w:lvl>
    <w:lvl w:ilvl="8">
      <w:start w:val="1"/>
      <w:pStyle w:val="Heading9"/>
      <w:numFmt w:val="decimal"/>
      <w:lvlText w:val="%1.%2.%3.%4.%5.%6.%7.%8.%9"/>
      <w:lvlJc w:val="start"/>
      <w:pPr>
        <w:tabs>
          <w:tab w:val="num" w:pos="0"/>
        </w:tabs>
        <w:ind w:start="1584" w:hanging="1584"/>
      </w:pPr>
    </w:lvl>
  </w:abstractNum>
  <w:abstractNum w:abstractNumId="2">
    <w:lvl w:ilvl="0">
      <w:start w:val="1"/>
      <w:numFmt w:val="decimal"/>
      <w:lvlText w:val="%1."/>
      <w:lvlJc w:val="start"/>
      <w:pPr>
        <w:tabs>
          <w:tab w:val="num" w:pos="927"/>
        </w:tabs>
        <w:ind w:start="927" w:hanging="360"/>
      </w:pPr>
      <w:rPr/>
    </w:lvl>
    <w:lvl w:ilvl="1">
      <w:start w:val="1"/>
      <w:isLgl/>
      <w:numFmt w:val="decimal"/>
      <w:lvlText w:val="%1.%2."/>
      <w:lvlJc w:val="start"/>
      <w:pPr>
        <w:tabs>
          <w:tab w:val="num" w:pos="987"/>
        </w:tabs>
        <w:ind w:start="987" w:hanging="420"/>
      </w:pPr>
      <w:rPr/>
    </w:lvl>
    <w:lvl w:ilvl="2">
      <w:start w:val="1"/>
      <w:isLgl/>
      <w:numFmt w:val="decimal"/>
      <w:lvlText w:val="%1.%2.%3."/>
      <w:lvlJc w:val="start"/>
      <w:pPr>
        <w:tabs>
          <w:tab w:val="num" w:pos="1287"/>
        </w:tabs>
        <w:ind w:start="1287" w:hanging="720"/>
      </w:pPr>
      <w:rPr/>
    </w:lvl>
    <w:lvl w:ilvl="3">
      <w:start w:val="1"/>
      <w:isLgl/>
      <w:numFmt w:val="decimal"/>
      <w:lvlText w:val="%1.%2.%3.%4."/>
      <w:lvlJc w:val="start"/>
      <w:pPr>
        <w:tabs>
          <w:tab w:val="num" w:pos="1287"/>
        </w:tabs>
        <w:ind w:start="1287" w:hanging="720"/>
      </w:pPr>
      <w:rPr/>
    </w:lvl>
    <w:lvl w:ilvl="4">
      <w:start w:val="1"/>
      <w:isLgl/>
      <w:numFmt w:val="decimal"/>
      <w:lvlText w:val="%1.%2.%3.%4.%5."/>
      <w:lvlJc w:val="start"/>
      <w:pPr>
        <w:tabs>
          <w:tab w:val="num" w:pos="1647"/>
        </w:tabs>
        <w:ind w:start="1647" w:hanging="1080"/>
      </w:pPr>
      <w:rPr/>
    </w:lvl>
    <w:lvl w:ilvl="5">
      <w:start w:val="1"/>
      <w:isLgl/>
      <w:numFmt w:val="decimal"/>
      <w:lvlText w:val="%1.%2.%3.%4.%5.%6."/>
      <w:lvlJc w:val="start"/>
      <w:pPr>
        <w:tabs>
          <w:tab w:val="num" w:pos="1647"/>
        </w:tabs>
        <w:ind w:start="1647" w:hanging="1080"/>
      </w:pPr>
      <w:rPr/>
    </w:lvl>
    <w:lvl w:ilvl="6">
      <w:start w:val="1"/>
      <w:isLgl/>
      <w:numFmt w:val="decimal"/>
      <w:lvlText w:val="%1.%2.%3.%4.%5.%6.%7."/>
      <w:lvlJc w:val="start"/>
      <w:pPr>
        <w:tabs>
          <w:tab w:val="num" w:pos="2007"/>
        </w:tabs>
        <w:ind w:start="2007" w:hanging="1440"/>
      </w:pPr>
      <w:rPr/>
    </w:lvl>
    <w:lvl w:ilvl="7">
      <w:start w:val="1"/>
      <w:isLgl/>
      <w:numFmt w:val="decimal"/>
      <w:lvlText w:val="%1.%2.%3.%4.%5.%6.%7.%8."/>
      <w:lvlJc w:val="start"/>
      <w:pPr>
        <w:tabs>
          <w:tab w:val="num" w:pos="2007"/>
        </w:tabs>
        <w:ind w:start="2007" w:hanging="1440"/>
      </w:pPr>
      <w:rPr/>
    </w:lvl>
    <w:lvl w:ilvl="8">
      <w:start w:val="1"/>
      <w:isLgl/>
      <w:numFmt w:val="decimal"/>
      <w:lvlText w:val="%1.%2.%3.%4.%5.%6.%7.%8.%9."/>
      <w:lvlJc w:val="start"/>
      <w:pPr>
        <w:tabs>
          <w:tab w:val="num" w:pos="2367"/>
        </w:tabs>
        <w:ind w:start="2367" w:hanging="1800"/>
      </w:pPr>
      <w:rPr/>
    </w:lvl>
  </w:abstractNum>
  <w:abstractNum w:abstractNumId="3">
    <w:lvl w:ilvl="0">
      <w:start w:val="1"/>
      <w:numFmt w:val="decimal"/>
      <w:lvlText w:val="%1."/>
      <w:lvlJc w:val="start"/>
      <w:pPr>
        <w:tabs>
          <w:tab w:val="num" w:pos="0"/>
        </w:tabs>
        <w:ind w:start="720" w:hanging="360"/>
      </w:pPr>
      <w:rPr/>
    </w:lvl>
  </w:abstractNum>
  <w:abstractNum w:abstractNumId="4">
    <w:lvl w:ilvl="0">
      <w:start w:val="3"/>
      <w:numFmt w:val="decimal"/>
      <w:lvlText w:val="%1."/>
      <w:lvlJc w:val="start"/>
      <w:pPr>
        <w:tabs>
          <w:tab w:val="num" w:pos="927"/>
        </w:tabs>
        <w:ind w:start="927" w:hanging="360"/>
      </w:pPr>
      <w:rPr/>
    </w:lvl>
  </w:abstractNum>
  <w:abstractNum w:abstractNumId="5">
    <w:lvl w:ilvl="0">
      <w:start w:val="5"/>
      <w:numFmt w:val="decimal"/>
      <w:lvlText w:val="%1."/>
      <w:lvlJc w:val="start"/>
      <w:pPr>
        <w:tabs>
          <w:tab w:val="num" w:pos="927"/>
        </w:tabs>
        <w:ind w:start="927" w:hanging="360"/>
      </w:pPr>
      <w:rPr/>
    </w:lvl>
    <w:lvl w:ilvl="1">
      <w:start w:val="1"/>
      <w:isLgl/>
      <w:numFmt w:val="decimal"/>
      <w:lvlText w:val="%1.%2."/>
      <w:lvlJc w:val="start"/>
      <w:pPr>
        <w:tabs>
          <w:tab w:val="num" w:pos="987"/>
        </w:tabs>
        <w:ind w:start="987" w:hanging="420"/>
      </w:pPr>
      <w:rPr/>
    </w:lvl>
    <w:lvl w:ilvl="2">
      <w:start w:val="1"/>
      <w:isLgl/>
      <w:numFmt w:val="decimal"/>
      <w:lvlText w:val="%1.%2.%3."/>
      <w:lvlJc w:val="start"/>
      <w:pPr>
        <w:tabs>
          <w:tab w:val="num" w:pos="1287"/>
        </w:tabs>
        <w:ind w:start="1287" w:hanging="720"/>
      </w:pPr>
      <w:rPr/>
    </w:lvl>
    <w:lvl w:ilvl="3">
      <w:start w:val="1"/>
      <w:isLgl/>
      <w:numFmt w:val="decimal"/>
      <w:lvlText w:val="%1.%2.%3.%4."/>
      <w:lvlJc w:val="start"/>
      <w:pPr>
        <w:tabs>
          <w:tab w:val="num" w:pos="1287"/>
        </w:tabs>
        <w:ind w:start="1287" w:hanging="720"/>
      </w:pPr>
      <w:rPr/>
    </w:lvl>
    <w:lvl w:ilvl="4">
      <w:start w:val="1"/>
      <w:isLgl/>
      <w:numFmt w:val="decimal"/>
      <w:lvlText w:val="%1.%2.%3.%4.%5."/>
      <w:lvlJc w:val="start"/>
      <w:pPr>
        <w:tabs>
          <w:tab w:val="num" w:pos="1647"/>
        </w:tabs>
        <w:ind w:start="1647" w:hanging="1080"/>
      </w:pPr>
      <w:rPr/>
    </w:lvl>
    <w:lvl w:ilvl="5">
      <w:start w:val="1"/>
      <w:isLgl/>
      <w:numFmt w:val="decimal"/>
      <w:lvlText w:val="%1.%2.%3.%4.%5.%6."/>
      <w:lvlJc w:val="start"/>
      <w:pPr>
        <w:tabs>
          <w:tab w:val="num" w:pos="1647"/>
        </w:tabs>
        <w:ind w:start="1647" w:hanging="1080"/>
      </w:pPr>
      <w:rPr/>
    </w:lvl>
    <w:lvl w:ilvl="6">
      <w:start w:val="1"/>
      <w:isLgl/>
      <w:numFmt w:val="decimal"/>
      <w:lvlText w:val="%1.%2.%3.%4.%5.%6.%7."/>
      <w:lvlJc w:val="start"/>
      <w:pPr>
        <w:tabs>
          <w:tab w:val="num" w:pos="2007"/>
        </w:tabs>
        <w:ind w:start="2007" w:hanging="1440"/>
      </w:pPr>
      <w:rPr/>
    </w:lvl>
    <w:lvl w:ilvl="7">
      <w:start w:val="1"/>
      <w:isLgl/>
      <w:numFmt w:val="decimal"/>
      <w:lvlText w:val="%1.%2.%3.%4.%5.%6.%7.%8."/>
      <w:lvlJc w:val="start"/>
      <w:pPr>
        <w:tabs>
          <w:tab w:val="num" w:pos="2007"/>
        </w:tabs>
        <w:ind w:start="2007" w:hanging="1440"/>
      </w:pPr>
      <w:rPr/>
    </w:lvl>
    <w:lvl w:ilvl="8">
      <w:start w:val="1"/>
      <w:isLgl/>
      <w:numFmt w:val="decimal"/>
      <w:lvlText w:val="%1.%2.%3.%4.%5.%6.%7.%8.%9."/>
      <w:lvlJc w:val="start"/>
      <w:pPr>
        <w:tabs>
          <w:tab w:val="num" w:pos="2367"/>
        </w:tabs>
        <w:ind w:start="2367" w:hanging="1800"/>
      </w:pPr>
      <w:rPr/>
    </w:lvl>
  </w:abstractNum>
  <w:abstractNum w:abstractNumId="6">
    <w:lvl w:ilvl="0">
      <w:start w:val="7"/>
      <w:numFmt w:val="decimal"/>
      <w:lvlText w:val="%1."/>
      <w:lvlJc w:val="start"/>
      <w:pPr>
        <w:tabs>
          <w:tab w:val="num" w:pos="927"/>
        </w:tabs>
        <w:ind w:start="927" w:hanging="360"/>
      </w:pPr>
      <w:rPr/>
    </w:lvl>
    <w:lvl w:ilvl="1">
      <w:start w:val="1"/>
      <w:isLgl/>
      <w:numFmt w:val="decimal"/>
      <w:lvlText w:val="%1.%2."/>
      <w:lvlJc w:val="start"/>
      <w:pPr>
        <w:tabs>
          <w:tab w:val="num" w:pos="987"/>
        </w:tabs>
        <w:ind w:start="987" w:hanging="420"/>
      </w:pPr>
      <w:rPr/>
    </w:lvl>
    <w:lvl w:ilvl="2">
      <w:start w:val="1"/>
      <w:isLgl/>
      <w:numFmt w:val="decimal"/>
      <w:lvlText w:val="%1.%2.%3."/>
      <w:lvlJc w:val="start"/>
      <w:pPr>
        <w:tabs>
          <w:tab w:val="num" w:pos="1287"/>
        </w:tabs>
        <w:ind w:start="1287" w:hanging="720"/>
      </w:pPr>
      <w:rPr/>
    </w:lvl>
    <w:lvl w:ilvl="3">
      <w:start w:val="1"/>
      <w:isLgl/>
      <w:numFmt w:val="decimal"/>
      <w:lvlText w:val="%1.%2.%3.%4."/>
      <w:lvlJc w:val="start"/>
      <w:pPr>
        <w:tabs>
          <w:tab w:val="num" w:pos="1287"/>
        </w:tabs>
        <w:ind w:start="1287" w:hanging="720"/>
      </w:pPr>
      <w:rPr/>
    </w:lvl>
    <w:lvl w:ilvl="4">
      <w:start w:val="1"/>
      <w:isLgl/>
      <w:numFmt w:val="decimal"/>
      <w:lvlText w:val="%1.%2.%3.%4.%5."/>
      <w:lvlJc w:val="start"/>
      <w:pPr>
        <w:tabs>
          <w:tab w:val="num" w:pos="1647"/>
        </w:tabs>
        <w:ind w:start="1647" w:hanging="1080"/>
      </w:pPr>
      <w:rPr/>
    </w:lvl>
    <w:lvl w:ilvl="5">
      <w:start w:val="1"/>
      <w:isLgl/>
      <w:numFmt w:val="decimal"/>
      <w:lvlText w:val="%1.%2.%3.%4.%5.%6."/>
      <w:lvlJc w:val="start"/>
      <w:pPr>
        <w:tabs>
          <w:tab w:val="num" w:pos="1647"/>
        </w:tabs>
        <w:ind w:start="1647" w:hanging="1080"/>
      </w:pPr>
      <w:rPr/>
    </w:lvl>
    <w:lvl w:ilvl="6">
      <w:start w:val="1"/>
      <w:isLgl/>
      <w:numFmt w:val="decimal"/>
      <w:lvlText w:val="%1.%2.%3.%4.%5.%6.%7."/>
      <w:lvlJc w:val="start"/>
      <w:pPr>
        <w:tabs>
          <w:tab w:val="num" w:pos="2007"/>
        </w:tabs>
        <w:ind w:start="2007" w:hanging="1440"/>
      </w:pPr>
      <w:rPr/>
    </w:lvl>
    <w:lvl w:ilvl="7">
      <w:start w:val="1"/>
      <w:isLgl/>
      <w:numFmt w:val="decimal"/>
      <w:lvlText w:val="%1.%2.%3.%4.%5.%6.%7.%8."/>
      <w:lvlJc w:val="start"/>
      <w:pPr>
        <w:tabs>
          <w:tab w:val="num" w:pos="2007"/>
        </w:tabs>
        <w:ind w:start="2007" w:hanging="1440"/>
      </w:pPr>
      <w:rPr/>
    </w:lvl>
    <w:lvl w:ilvl="8">
      <w:start w:val="1"/>
      <w:isLgl/>
      <w:numFmt w:val="decimal"/>
      <w:lvlText w:val="%1.%2.%3.%4.%5.%6.%7.%8.%9."/>
      <w:lvlJc w:val="start"/>
      <w:pPr>
        <w:tabs>
          <w:tab w:val="num" w:pos="2367"/>
        </w:tabs>
        <w:ind w:start="2367"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7"/>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outlineLvl w:val="0"/>
    </w:pPr>
    <w:rPr>
      <w:b/>
      <w:sz w:val="28"/>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sz w:val="24"/>
      <w:szCs w:val="24"/>
    </w:rPr>
  </w:style>
  <w:style w:type="paragraph" w:styleId="Heading8">
    <w:name w:val="Heading 8"/>
    <w:basedOn w:val="Normal"/>
    <w:next w:val="Normal"/>
    <w:qFormat/>
    <w:pPr>
      <w:numPr>
        <w:ilvl w:val="7"/>
        <w:numId w:val="1"/>
      </w:numPr>
      <w:spacing w:before="240" w:after="60"/>
      <w:outlineLvl w:val="7"/>
    </w:pPr>
    <w:rPr>
      <w:rFonts w:ascii="Calibri" w:hAnsi="Calibri" w:eastAsia="Times New Roman" w:cs="Times New Roman"/>
      <w:i/>
      <w:iCs/>
      <w:sz w:val="24"/>
      <w:szCs w:val="24"/>
    </w:rPr>
  </w:style>
  <w:style w:type="paragraph" w:styleId="Heading9">
    <w:name w:val="Heading 9"/>
    <w:basedOn w:val="Normal"/>
    <w:next w:val="Normal"/>
    <w:qFormat/>
    <w:pPr>
      <w:numPr>
        <w:ilvl w:val="8"/>
        <w:numId w:val="1"/>
      </w:numPr>
      <w:spacing w:before="240" w:after="60"/>
      <w:outlineLvl w:val="8"/>
    </w:pPr>
    <w:rPr>
      <w:rFonts w:ascii="Calibri Light" w:hAnsi="Calibri Light" w:eastAsia="Times New Roman" w:cs="Times New Roman"/>
      <w:sz w:val="22"/>
      <w:szCs w:val="22"/>
    </w:rPr>
  </w:style>
  <w:style w:type="character" w:styleId="WW8Num1z0">
    <w:name w:val="WW8Num1z0"/>
    <w:qFormat/>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b w:val="false"/>
    </w:rPr>
  </w:style>
  <w:style w:type="character" w:styleId="WW8Num5z1">
    <w:name w:val="WW8Num5z1"/>
    <w:qFormat/>
    <w:rPr>
      <w:rFonts w:ascii="Times New Roman" w:hAnsi="Times New Roman" w:cs="Times New Roman"/>
      <w:b w:val="false"/>
    </w:rPr>
  </w:style>
  <w:style w:type="character" w:styleId="WW8Num5z3">
    <w:name w:val="WW8Num5z3"/>
    <w:qFormat/>
    <w:rPr>
      <w:rFonts w:ascii="Times New Roman" w:hAnsi="Times New Roman" w:cs="Times New Roman"/>
    </w:rPr>
  </w:style>
  <w:style w:type="character" w:styleId="WW8Num6z0">
    <w:name w:val="WW8Num6z0"/>
    <w:qFormat/>
    <w:rPr>
      <w:b/>
    </w:rPr>
  </w:style>
  <w:style w:type="character" w:styleId="WW8Num6z1">
    <w:name w:val="WW8Num6z1"/>
    <w:qFormat/>
    <w:rPr>
      <w:b/>
      <w:color w:val="000000"/>
      <w:szCs w:val="24"/>
    </w:rPr>
  </w:style>
  <w:style w:type="character" w:styleId="WW8Num6z2">
    <w:name w:val="WW8Num6z2"/>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b/>
    </w:rPr>
  </w:style>
  <w:style w:type="character" w:styleId="WW8Num8z1">
    <w:name w:val="WW8Num8z1"/>
    <w:qFormat/>
    <w:rPr>
      <w:b/>
      <w:sz w:val="22"/>
      <w:szCs w:val="22"/>
    </w:rPr>
  </w:style>
  <w:style w:type="character" w:styleId="WW8Num8z2">
    <w:name w:val="WW8Num8z2"/>
    <w:qFormat/>
    <w:rPr/>
  </w:style>
  <w:style w:type="character" w:styleId="WW8Num10z0">
    <w:name w:val="WW8Num10z0"/>
    <w:qFormat/>
    <w:rPr>
      <w:b/>
    </w:rPr>
  </w:style>
  <w:style w:type="character" w:styleId="WW8Num10z1">
    <w:name w:val="WW8Num10z1"/>
    <w:qFormat/>
    <w:rPr>
      <w:rFonts w:ascii="Symbol" w:hAnsi="Symbol" w:cs="Symbol"/>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Style5">
    <w:name w:val="Основной шрифт абзаца"/>
    <w:qFormat/>
    <w:rPr/>
  </w:style>
  <w:style w:type="character" w:styleId="Style6">
    <w:name w:val="Знак примечания"/>
    <w:qFormat/>
    <w:rPr>
      <w:sz w:val="16"/>
      <w:szCs w:val="16"/>
    </w:rPr>
  </w:style>
  <w:style w:type="character" w:styleId="Hyperlink">
    <w:name w:val="Hyperlink"/>
    <w:rPr>
      <w:color w:val="0000FF"/>
      <w:u w:val="single"/>
    </w:rPr>
  </w:style>
  <w:style w:type="character" w:styleId="Style7">
    <w:name w:val="Основной текст Знак"/>
    <w:qFormat/>
    <w:rPr>
      <w:sz w:val="22"/>
    </w:rPr>
  </w:style>
  <w:style w:type="character" w:styleId="Style8">
    <w:name w:val="Текст примечания Знак"/>
    <w:basedOn w:val="Style5"/>
    <w:qFormat/>
    <w:rPr/>
  </w:style>
  <w:style w:type="character" w:styleId="Style9">
    <w:name w:val="Тема примечания Знак"/>
    <w:qFormat/>
    <w:rPr>
      <w:b/>
      <w:bCs/>
    </w:rPr>
  </w:style>
  <w:style w:type="character" w:styleId="Style10">
    <w:name w:val="Текст Знак"/>
    <w:qFormat/>
    <w:rPr>
      <w:rFonts w:ascii="Courier New" w:hAnsi="Courier New" w:cs="Courier New"/>
    </w:rPr>
  </w:style>
  <w:style w:type="character" w:styleId="3">
    <w:name w:val="Заголовок 3 Знак"/>
    <w:qFormat/>
    <w:rPr>
      <w:rFonts w:ascii="Cambria" w:hAnsi="Cambria" w:cs="Cambria"/>
      <w:b/>
      <w:bCs/>
      <w:sz w:val="26"/>
      <w:szCs w:val="26"/>
    </w:rPr>
  </w:style>
  <w:style w:type="character" w:styleId="Strong">
    <w:name w:val="Strong"/>
    <w:qFormat/>
    <w:rPr>
      <w:b/>
      <w:bCs/>
    </w:rPr>
  </w:style>
  <w:style w:type="character" w:styleId="2">
    <w:name w:val="Заголовок 2 Знак"/>
    <w:qFormat/>
    <w:rPr>
      <w:rFonts w:ascii="Calibri Light" w:hAnsi="Calibri Light" w:cs="Calibri Light"/>
      <w:b/>
      <w:bCs/>
      <w:i/>
      <w:iCs/>
      <w:sz w:val="28"/>
      <w:szCs w:val="28"/>
    </w:rPr>
  </w:style>
  <w:style w:type="character" w:styleId="5">
    <w:name w:val="Заголовок 5 Знак"/>
    <w:qFormat/>
    <w:rPr>
      <w:rFonts w:ascii="Calibri" w:hAnsi="Calibri" w:cs="Calibri"/>
      <w:b/>
      <w:bCs/>
      <w:i/>
      <w:iCs/>
      <w:sz w:val="26"/>
      <w:szCs w:val="26"/>
    </w:rPr>
  </w:style>
  <w:style w:type="character" w:styleId="6">
    <w:name w:val="Заголовок 6 Знак"/>
    <w:qFormat/>
    <w:rPr>
      <w:rFonts w:ascii="Calibri" w:hAnsi="Calibri" w:cs="Calibri"/>
      <w:b/>
      <w:bCs/>
      <w:sz w:val="22"/>
      <w:szCs w:val="22"/>
    </w:rPr>
  </w:style>
  <w:style w:type="character" w:styleId="7">
    <w:name w:val="Заголовок 7 Знак"/>
    <w:qFormat/>
    <w:rPr>
      <w:rFonts w:ascii="Calibri" w:hAnsi="Calibri" w:cs="Calibri"/>
      <w:sz w:val="24"/>
      <w:szCs w:val="24"/>
    </w:rPr>
  </w:style>
  <w:style w:type="character" w:styleId="8">
    <w:name w:val="Заголовок 8 Знак"/>
    <w:qFormat/>
    <w:rPr>
      <w:rFonts w:ascii="Calibri" w:hAnsi="Calibri" w:cs="Calibri"/>
      <w:i/>
      <w:iCs/>
      <w:sz w:val="24"/>
      <w:szCs w:val="24"/>
    </w:rPr>
  </w:style>
  <w:style w:type="character" w:styleId="9">
    <w:name w:val="Заголовок 9 Знак"/>
    <w:qFormat/>
    <w:rPr>
      <w:rFonts w:ascii="Calibri Light" w:hAnsi="Calibri Light" w:cs="Calibri Light"/>
      <w:sz w:val="22"/>
      <w:szCs w:val="22"/>
    </w:rPr>
  </w:style>
  <w:style w:type="character" w:styleId="21">
    <w:name w:val="Основной текст с отступом 2 Знак"/>
    <w:basedOn w:val="Style5"/>
    <w:qFormat/>
    <w:rPr/>
  </w:style>
  <w:style w:type="character" w:styleId="31">
    <w:name w:val="Основной текст с отступом 3 Знак"/>
    <w:qFormat/>
    <w:rPr>
      <w:sz w:val="16"/>
      <w:szCs w:val="16"/>
    </w:rPr>
  </w:style>
  <w:style w:type="character" w:styleId="Style11">
    <w:name w:val="Верхний колонтитул Знак"/>
    <w:basedOn w:val="Style5"/>
    <w:qFormat/>
    <w:rPr/>
  </w:style>
  <w:style w:type="character" w:styleId="Style12">
    <w:name w:val="Нижний колонтитул Знак"/>
    <w:basedOn w:val="Style5"/>
    <w:qFormat/>
    <w:rPr/>
  </w:style>
  <w:style w:type="character" w:styleId="PageNumber">
    <w:name w:val="Page Number"/>
    <w:basedOn w:val="Style5"/>
    <w:rPr/>
  </w:style>
  <w:style w:type="paragraph" w:styleId="Heading">
    <w:name w:val="Heading"/>
    <w:basedOn w:val="Normal"/>
    <w:next w:val="BodyText"/>
    <w:qFormat/>
    <w:pPr>
      <w:jc w:val="center"/>
    </w:pPr>
    <w:rPr>
      <w:color w:val="000000"/>
      <w:sz w:val="28"/>
    </w:rPr>
  </w:style>
  <w:style w:type="paragraph" w:styleId="BodyText">
    <w:name w:val="Body Text"/>
    <w:basedOn w:val="Normal"/>
    <w:pPr/>
    <w:rPr>
      <w:sz w:val="22"/>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ind w:hanging="0" w:start="142" w:end="0"/>
      <w:jc w:val="both"/>
    </w:pPr>
    <w:rPr>
      <w:sz w:val="22"/>
    </w:rPr>
  </w:style>
  <w:style w:type="paragraph" w:styleId="22">
    <w:name w:val="Основной текст 2"/>
    <w:basedOn w:val="Normal"/>
    <w:qFormat/>
    <w:pPr/>
    <w:rPr>
      <w:sz w:val="24"/>
    </w:rPr>
  </w:style>
  <w:style w:type="paragraph" w:styleId="Style13">
    <w:name w:val="Обычный (веб)"/>
    <w:basedOn w:val="Normal"/>
    <w:qFormat/>
    <w:pPr>
      <w:spacing w:before="280" w:after="280"/>
    </w:pPr>
    <w:rPr>
      <w:sz w:val="24"/>
      <w:szCs w:val="24"/>
    </w:rPr>
  </w:style>
  <w:style w:type="paragraph" w:styleId="Normal1">
    <w:name w:val="Normal1"/>
    <w:qFormat/>
    <w:pPr>
      <w:widowControl/>
      <w:bidi w:val="0"/>
    </w:pPr>
    <w:rPr>
      <w:rFonts w:ascii="Arial" w:hAnsi="Arial" w:eastAsia="Times New Roman" w:cs="Arial"/>
      <w:color w:val="auto"/>
      <w:sz w:val="24"/>
      <w:szCs w:val="20"/>
      <w:lang w:val="ru-RU" w:bidi="ar-SA" w:eastAsia="zh-CN"/>
    </w:rPr>
  </w:style>
  <w:style w:type="paragraph" w:styleId="Style14">
    <w:name w:val="Текст примечания"/>
    <w:basedOn w:val="Normal"/>
    <w:qFormat/>
    <w:pPr/>
    <w:rPr/>
  </w:style>
  <w:style w:type="paragraph" w:styleId="Style15">
    <w:name w:val="Текст выноски"/>
    <w:basedOn w:val="Normal"/>
    <w:qFormat/>
    <w:pPr/>
    <w:rPr>
      <w:rFonts w:ascii="Tahoma" w:hAnsi="Tahoma" w:cs="Tahoma"/>
      <w:sz w:val="16"/>
      <w:szCs w:val="16"/>
    </w:rPr>
  </w:style>
  <w:style w:type="paragraph" w:styleId="Normal2">
    <w:name w:val="Normal2"/>
    <w:qFormat/>
    <w:pPr>
      <w:widowControl/>
      <w:bidi w:val="0"/>
      <w:snapToGrid w:val="false"/>
      <w:spacing w:before="100" w:after="100"/>
    </w:pPr>
    <w:rPr>
      <w:rFonts w:ascii="Times New Roman" w:hAnsi="Times New Roman" w:eastAsia="Times New Roman" w:cs="Times New Roman"/>
      <w:color w:val="auto"/>
      <w:sz w:val="24"/>
      <w:szCs w:val="20"/>
      <w:lang w:val="ru-RU" w:bidi="ar-SA" w:eastAsia="zh-CN"/>
    </w:rPr>
  </w:style>
  <w:style w:type="paragraph" w:styleId="Style16">
    <w:name w:val="Знак Знак Знак Знак Знак Знак Знак"/>
    <w:basedOn w:val="Normal"/>
    <w:qFormat/>
    <w:pPr>
      <w:spacing w:lineRule="exact" w:line="240" w:before="0" w:after="160"/>
    </w:pPr>
    <w:rPr>
      <w:rFonts w:ascii="Tahoma" w:hAnsi="Tahoma" w:cs="Tahoma"/>
      <w:lang w:val="en-US"/>
    </w:rPr>
  </w:style>
  <w:style w:type="paragraph" w:styleId="Style17">
    <w:name w:val="Тема примечания"/>
    <w:basedOn w:val="Style14"/>
    <w:next w:val="Style14"/>
    <w:qFormat/>
    <w:pPr/>
    <w:rPr>
      <w:b/>
      <w:bCs/>
    </w:rPr>
  </w:style>
  <w:style w:type="paragraph" w:styleId="Style18">
    <w:name w:val="Текст"/>
    <w:basedOn w:val="Normal"/>
    <w:qFormat/>
    <w:pPr/>
    <w:rPr>
      <w:rFonts w:ascii="Courier New" w:hAnsi="Courier New" w:cs="Courier New"/>
    </w:rPr>
  </w:style>
  <w:style w:type="paragraph" w:styleId="msolistparagraph">
    <w:name w:val="msolistparagraph"/>
    <w:basedOn w:val="Normal"/>
    <w:qFormat/>
    <w:pPr>
      <w:ind w:hanging="0" w:start="720" w:end="0"/>
    </w:pPr>
    <w:rPr>
      <w:rFonts w:ascii="Calibri" w:hAnsi="Calibri" w:cs="Calibri"/>
      <w:sz w:val="22"/>
      <w:szCs w:val="22"/>
    </w:rPr>
  </w:style>
  <w:style w:type="paragraph" w:styleId="Style19">
    <w:name w:val="Абзац списка"/>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23">
    <w:name w:val="Основной текст с отступом 2"/>
    <w:basedOn w:val="Normal"/>
    <w:qFormat/>
    <w:pPr>
      <w:spacing w:lineRule="auto" w:line="480" w:before="0" w:after="120"/>
      <w:ind w:hanging="0" w:start="283" w:end="0"/>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autoSpaceDE w:val="false"/>
    </w:pPr>
    <w:rPr/>
  </w:style>
  <w:style w:type="paragraph" w:styleId="Footer">
    <w:name w:val="Footer"/>
    <w:basedOn w:val="Normal"/>
    <w:pPr>
      <w:tabs>
        <w:tab w:val="clear" w:pos="709"/>
        <w:tab w:val="center" w:pos="4153" w:leader="none"/>
        <w:tab w:val="right" w:pos="8306" w:leader="none"/>
      </w:tabs>
      <w:autoSpaceDE w:val="false"/>
    </w:pPr>
    <w:rPr/>
  </w:style>
  <w:style w:type="paragraph" w:styleId="1">
    <w:name w:val="Абзац списка1"/>
    <w:basedOn w:val="Normal"/>
    <w:qFormat/>
    <w:pPr>
      <w:spacing w:lineRule="auto" w:line="276" w:before="0" w:after="200"/>
      <w:ind w:hanging="0" w:start="720" w:end="0"/>
      <w:contextualSpacing/>
    </w:pPr>
    <w:rPr>
      <w:rFonts w:ascii="Calibri" w:hAnsi="Calibri" w:eastAsia="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2026-05-25T07:48:00Z</dcterms:created>
  <dc:creator>romanovsky</dc:creator>
  <dc:description/>
  <cp:keywords/>
  <dc:language>en-US</dc:language>
  <cp:lastModifiedBy>Никита Новиков</cp:lastModifiedBy>
  <cp:lastPrinted>2013-09-20T10:57:00Z</cp:lastPrinted>
  <dcterms:modified xsi:type="dcterms:W3CDTF">2026-05-25T09:42:00Z</dcterms:modified>
  <cp:revision>3</cp:revision>
  <dc:subject/>
  <dc:title>ДОГОВОР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