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20"/>
        </w:rPr>
      </w:pPr>
      <w:r>
        <w:rPr>
          <w:sz w:val="20"/>
        </w:rPr>
        <w:t>Договор краткосрочной аренды № {contract_number}</w:t>
      </w:r>
    </w:p>
    <w:p>
      <w:pPr>
        <w:pStyle w:val="Heading"/>
        <w:ind w:firstLine="720" w:start="1440" w:end="0"/>
        <w:jc w:val="both"/>
        <w:rPr>
          <w:sz w:val="20"/>
        </w:rPr>
      </w:pPr>
      <w:r>
        <w:rPr>
          <w:sz w:val="20"/>
        </w:rPr>
      </w:r>
    </w:p>
    <w:p>
      <w:pPr>
        <w:pStyle w:val="Normal"/>
        <w:jc w:val="both"/>
        <w:rPr/>
      </w:pPr>
      <w:r>
        <w:rPr>
          <w:b/>
        </w:rPr>
        <w:t>г. Санкт-Петербург</w:t>
        <w:tab/>
        <w:t xml:space="preserve">           </w:t>
        <w:tab/>
        <w:t xml:space="preserve">                                                                                                    «{contract_date}» г.</w:t>
      </w:r>
    </w:p>
    <w:p>
      <w:pPr>
        <w:pStyle w:val="Normal"/>
        <w:jc w:val="both"/>
        <w:rPr>
          <w:b/>
        </w:rPr>
      </w:pPr>
      <w:r>
        <w:rPr>
          <w:b/>
        </w:rPr>
      </w:r>
    </w:p>
    <w:p>
      <w:pPr>
        <w:pStyle w:val="Normal"/>
        <w:ind w:firstLine="567" w:end="0"/>
        <w:jc w:val="both"/>
        <w:rPr>
          <w:bCs/>
        </w:rPr>
      </w:pPr>
      <w:r>
        <w:rPr>
          <w:bCs/>
        </w:rPr>
        <w:t xml:space="preserve">{customer_full_name}, именуемое в дальнейшем «Арендатор», {customer_signatory_clause}, с одной стороны, и </w:t>
      </w:r>
      <w:r>
        <w:rPr/>
        <w:t>{contractor_full_name}, {contractor_acting_basis}, ОГРНИП {contractor_ogrnip}</w:t>
      </w:r>
      <w:r>
        <w:rPr>
          <w:bCs/>
        </w:rPr>
        <w:t>, именуемый в дальнейшем «Арендодатель» с другой стороны, вместе именуемые «Стороны», в соответствии с Федеральным законом от 18.07.2011 № 223-ФЗ «О закупках товаров, работ, услуг отдельными видами юридических лиц», {polozhenie_clause} Положения о закупке Арендатор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pPr>
        <w:pStyle w:val="Normal"/>
        <w:numPr>
          <w:ilvl w:val="0"/>
          <w:numId w:val="2"/>
        </w:numPr>
        <w:spacing w:before="120" w:after="120"/>
        <w:jc w:val="center"/>
        <w:rPr>
          <w:b/>
        </w:rPr>
      </w:pPr>
      <w:r>
        <w:rPr>
          <w:b/>
        </w:rPr>
        <w:t>Предмет Договора</w:t>
      </w:r>
    </w:p>
    <w:p>
      <w:pPr>
        <w:pStyle w:val="Normal"/>
        <w:numPr>
          <w:ilvl w:val="1"/>
          <w:numId w:val="2"/>
        </w:numPr>
        <w:ind w:hanging="397" w:start="397" w:end="0"/>
        <w:jc w:val="both"/>
        <w:rPr/>
      </w:pPr>
      <w:r>
        <w:rPr/>
        <w:t>Арендодатель обязуется предоставить за плату во временное владение и пользование (в аренду) объект аренды, а Арендатор — принять его, оплатить временное владение и пользование объектом аренды и своевременно возвратить этот в исправном состоянии с учетом нормального износа.</w:t>
      </w:r>
    </w:p>
    <w:p>
      <w:pPr>
        <w:pStyle w:val="Normal"/>
        <w:numPr>
          <w:ilvl w:val="1"/>
          <w:numId w:val="2"/>
        </w:numPr>
        <w:ind w:hanging="397" w:start="397" w:end="0"/>
        <w:jc w:val="both"/>
        <w:rPr/>
      </w:pPr>
      <w:r>
        <w:rPr/>
        <w:t>Объектом аренды является {rental_object_type}, перечисленное в Приложении №1 в целях реализации проекта «{project_solution_name}».</w:t>
      </w:r>
    </w:p>
    <w:p>
      <w:pPr>
        <w:pStyle w:val="Normal"/>
        <w:numPr>
          <w:ilvl w:val="1"/>
          <w:numId w:val="2"/>
        </w:numPr>
        <w:ind w:hanging="397" w:start="397" w:end="0"/>
        <w:jc w:val="both"/>
        <w:rPr/>
      </w:pPr>
      <w:r>
        <w:rPr/>
        <w:t>Предоставляемая в аренду Оборудование принадлежит Арендодателю на праве собственности, не является предметом спора, залога, не находится под арестом.</w:t>
      </w:r>
    </w:p>
    <w:p>
      <w:pPr>
        <w:pStyle w:val="Normal"/>
        <w:numPr>
          <w:ilvl w:val="1"/>
          <w:numId w:val="2"/>
        </w:numPr>
        <w:ind w:hanging="397" w:start="397" w:end="0"/>
        <w:jc w:val="both"/>
        <w:rPr/>
      </w:pPr>
      <w:bookmarkStart w:id="0" w:name="_ref_24083766"/>
      <w:r>
        <w:rPr/>
        <w:t>Плоды, продукция и доходы, полученные Арендатором в результате использования Оборудования в соответствии с Договором, являются его собственностью.</w:t>
      </w:r>
      <w:bookmarkEnd w:id="0"/>
    </w:p>
    <w:p>
      <w:pPr>
        <w:pStyle w:val="Normal"/>
        <w:numPr>
          <w:ilvl w:val="0"/>
          <w:numId w:val="2"/>
        </w:numPr>
        <w:spacing w:before="120" w:after="120"/>
        <w:jc w:val="center"/>
        <w:rPr>
          <w:b/>
        </w:rPr>
      </w:pPr>
      <w:bookmarkStart w:id="1" w:name="_ref_23924265"/>
      <w:r>
        <w:rPr>
          <w:b/>
        </w:rPr>
        <w:t>Обязанности и права Сторон</w:t>
      </w:r>
    </w:p>
    <w:p>
      <w:pPr>
        <w:pStyle w:val="Normal"/>
        <w:numPr>
          <w:ilvl w:val="1"/>
          <w:numId w:val="2"/>
        </w:numPr>
        <w:ind w:hanging="397" w:start="397" w:end="0"/>
        <w:jc w:val="both"/>
        <w:rPr/>
      </w:pPr>
      <w:r>
        <w:rPr/>
        <w:t>Арендодатель обязуется:</w:t>
      </w:r>
    </w:p>
    <w:p>
      <w:pPr>
        <w:pStyle w:val="Normal"/>
        <w:numPr>
          <w:ilvl w:val="2"/>
          <w:numId w:val="2"/>
        </w:numPr>
        <w:ind w:hanging="510" w:start="680" w:end="0"/>
        <w:jc w:val="both"/>
        <w:rPr/>
      </w:pPr>
      <w:bookmarkStart w:id="2" w:name="_Hlk103617485"/>
      <w:r>
        <w:rPr/>
        <w:t xml:space="preserve">Предоставить Оборудование в пользование Арендатору </w:t>
      </w:r>
      <w:bookmarkEnd w:id="2"/>
      <w:r>
        <w:rPr/>
        <w:t xml:space="preserve">на установленный в Приложении №1 период времени в исправном, работоспособном состоянии, позволяющем сразу использовать его по основному (функциональному) назначению. </w:t>
      </w:r>
    </w:p>
    <w:p>
      <w:pPr>
        <w:pStyle w:val="Normal"/>
        <w:numPr>
          <w:ilvl w:val="2"/>
          <w:numId w:val="2"/>
        </w:numPr>
        <w:ind w:hanging="510" w:start="680" w:end="0"/>
        <w:jc w:val="both"/>
        <w:rPr/>
      </w:pPr>
      <w:r>
        <w:rPr/>
        <w:t>Ознакомить Арендатора с правилами эксплуатации Оборудования.</w:t>
      </w:r>
    </w:p>
    <w:p>
      <w:pPr>
        <w:pStyle w:val="Normal"/>
        <w:numPr>
          <w:ilvl w:val="1"/>
          <w:numId w:val="2"/>
        </w:numPr>
        <w:ind w:hanging="397" w:start="397" w:end="0"/>
        <w:jc w:val="both"/>
        <w:rPr/>
      </w:pPr>
      <w:r>
        <w:rPr/>
        <w:t>Арендатор обязуется:</w:t>
      </w:r>
    </w:p>
    <w:p>
      <w:pPr>
        <w:pStyle w:val="Normal"/>
        <w:numPr>
          <w:ilvl w:val="2"/>
          <w:numId w:val="2"/>
        </w:numPr>
        <w:ind w:hanging="510" w:start="680" w:end="0"/>
        <w:jc w:val="both"/>
        <w:rPr/>
      </w:pPr>
      <w:r>
        <w:rPr/>
        <w:t>Использовать Оборудование строго в соответствии с его назначением.</w:t>
      </w:r>
    </w:p>
    <w:p>
      <w:pPr>
        <w:pStyle w:val="Normal"/>
        <w:numPr>
          <w:ilvl w:val="2"/>
          <w:numId w:val="2"/>
        </w:numPr>
        <w:ind w:hanging="510" w:start="680" w:end="0"/>
        <w:jc w:val="both"/>
        <w:rPr/>
      </w:pPr>
      <w:r>
        <w:rPr/>
        <w:t>В случае изменения места нахождения Оборудования, письменно в течение 2 (двух) рабочих дней с момента изменения места нахождения Оборудования, уведомить Арендодателя об этом факте с указанием адреса ее места нахождения.</w:t>
      </w:r>
    </w:p>
    <w:p>
      <w:pPr>
        <w:pStyle w:val="Normal"/>
        <w:numPr>
          <w:ilvl w:val="1"/>
          <w:numId w:val="2"/>
        </w:numPr>
        <w:ind w:hanging="397" w:start="397" w:end="0"/>
        <w:jc w:val="both"/>
        <w:rPr/>
      </w:pPr>
      <w:r>
        <w:rPr/>
        <w:t>Арендодатель имеет право:</w:t>
      </w:r>
    </w:p>
    <w:p>
      <w:pPr>
        <w:pStyle w:val="Normal"/>
        <w:numPr>
          <w:ilvl w:val="2"/>
          <w:numId w:val="2"/>
        </w:numPr>
        <w:ind w:hanging="510" w:start="680" w:end="0"/>
        <w:jc w:val="both"/>
        <w:rPr/>
      </w:pPr>
      <w:r>
        <w:rPr/>
        <w:t>В любое время осматривать Оборудование и контролировать его состояние в месте его нахождения с уведомлением об этом Арендатора за 8 (восемь) рабочих часов до предполагаемого момента посещения и осмотра Оборудования. Арендатор уведомляется о дате и времени посещения Арендодателем помещений, в которых находится Оборудование, по адресу электронной почты Арендатора, указанному в разделе 15 Договора.</w:t>
      </w:r>
    </w:p>
    <w:p>
      <w:pPr>
        <w:pStyle w:val="Normal"/>
        <w:numPr>
          <w:ilvl w:val="0"/>
          <w:numId w:val="2"/>
        </w:numPr>
        <w:spacing w:before="120" w:after="120"/>
        <w:jc w:val="center"/>
        <w:rPr>
          <w:b/>
        </w:rPr>
      </w:pPr>
      <w:bookmarkStart w:id="3" w:name="_ref_23924265"/>
      <w:r>
        <w:rPr>
          <w:b/>
        </w:rPr>
        <w:t>Срок аренды</w:t>
      </w:r>
      <w:bookmarkEnd w:id="3"/>
    </w:p>
    <w:p>
      <w:pPr>
        <w:pStyle w:val="Normal"/>
        <w:numPr>
          <w:ilvl w:val="1"/>
          <w:numId w:val="2"/>
        </w:numPr>
        <w:ind w:hanging="397" w:start="397" w:end="0"/>
        <w:jc w:val="both"/>
        <w:rPr/>
      </w:pPr>
      <w:bookmarkStart w:id="4" w:name="_ref_24170365"/>
      <w:r>
        <w:rPr/>
        <w:t xml:space="preserve">Начало срока аренды Оборудования (первый день аренды) – </w:t>
      </w:r>
      <w:bookmarkEnd w:id="4"/>
      <w:r>
        <w:rPr/>
        <w:t>день подписания Сторонами Акта приема-передачи Оборудования в аренду в соответствии с п.4.1.3 Договора.</w:t>
      </w:r>
    </w:p>
    <w:p>
      <w:pPr>
        <w:pStyle w:val="Normal"/>
        <w:numPr>
          <w:ilvl w:val="1"/>
          <w:numId w:val="2"/>
        </w:numPr>
        <w:ind w:hanging="397" w:start="397" w:end="0"/>
        <w:jc w:val="both"/>
        <w:rPr/>
      </w:pPr>
      <w:r>
        <w:rPr/>
        <w:t>Окончание срока аренды Оборудования (последний день аренды) указан в Приложении №1.</w:t>
      </w:r>
    </w:p>
    <w:p>
      <w:pPr>
        <w:pStyle w:val="Normal"/>
        <w:numPr>
          <w:ilvl w:val="1"/>
          <w:numId w:val="2"/>
        </w:numPr>
        <w:ind w:hanging="397" w:start="397" w:end="0"/>
        <w:jc w:val="both"/>
        <w:rPr/>
      </w:pPr>
      <w:r>
        <w:rPr/>
        <w:t>При этом течение срока аренды Оборудования исчисляется по правилам, установленным ст.191 ГК РФ и начинается на следующий день после подписания Сторонами вышеуказанного Акта приема-передачи Оборудования в аренду.</w:t>
      </w:r>
    </w:p>
    <w:p>
      <w:pPr>
        <w:pStyle w:val="Normal"/>
        <w:numPr>
          <w:ilvl w:val="0"/>
          <w:numId w:val="2"/>
        </w:numPr>
        <w:spacing w:before="120" w:after="120"/>
        <w:jc w:val="center"/>
        <w:rPr>
          <w:b/>
        </w:rPr>
      </w:pPr>
      <w:r>
        <w:rPr>
          <w:b/>
        </w:rPr>
        <w:t>Предоставление и возврат арендованной Оборудования</w:t>
      </w:r>
    </w:p>
    <w:p>
      <w:pPr>
        <w:pStyle w:val="Normal"/>
        <w:numPr>
          <w:ilvl w:val="1"/>
          <w:numId w:val="2"/>
        </w:numPr>
        <w:ind w:hanging="397" w:start="397" w:end="0"/>
        <w:jc w:val="both"/>
        <w:rPr/>
      </w:pPr>
      <w:r>
        <w:rPr/>
        <w:t>Предоставление Арендодателем Оборудования в аренду Арендатору:</w:t>
      </w:r>
    </w:p>
    <w:p>
      <w:pPr>
        <w:pStyle w:val="Normal"/>
        <w:numPr>
          <w:ilvl w:val="2"/>
          <w:numId w:val="2"/>
        </w:numPr>
        <w:ind w:hanging="510" w:start="680" w:end="0"/>
        <w:jc w:val="both"/>
        <w:rPr/>
      </w:pPr>
      <w:r>
        <w:rPr/>
        <w:t xml:space="preserve">Арендодатель обязан передать (предоставить) Арендатору Оборудование, являющегося предметом Договора, в срок, указанный в Приложении №1. </w:t>
      </w:r>
    </w:p>
    <w:p>
      <w:pPr>
        <w:pStyle w:val="Normal"/>
        <w:numPr>
          <w:ilvl w:val="2"/>
          <w:numId w:val="2"/>
        </w:numPr>
        <w:ind w:hanging="510" w:start="680" w:end="0"/>
        <w:jc w:val="both"/>
        <w:rPr/>
      </w:pPr>
      <w:r>
        <w:rPr/>
        <w:t>Арендодатель обязан передать Арендатору Оборудование по адресу: г. Санкт-Петербург, ул. Большая Морская, д. 18.</w:t>
      </w:r>
    </w:p>
    <w:p>
      <w:pPr>
        <w:pStyle w:val="Normal"/>
        <w:numPr>
          <w:ilvl w:val="2"/>
          <w:numId w:val="2"/>
        </w:numPr>
        <w:ind w:hanging="510" w:start="680" w:end="0"/>
        <w:jc w:val="both"/>
        <w:rPr/>
      </w:pPr>
      <w:r>
        <w:rPr/>
        <w:t>Передача Оборудования оформляется путем составления Акта приема-передачи Оборудования в аренду (далее именуемый – Акт приема-передачи Оборудования в аренду). Акт приема-передачи Оборудования в аренду подписывается уполномоченными представителями обеих Сторон Договора и скрепляется круглыми печатями Сторон. Данный акт является документом, который подтверждает факт осуществления передачи Арендодателем Оборудования в аренду Арендатору.</w:t>
      </w:r>
    </w:p>
    <w:p>
      <w:pPr>
        <w:pStyle w:val="Normal"/>
        <w:numPr>
          <w:ilvl w:val="2"/>
          <w:numId w:val="2"/>
        </w:numPr>
        <w:ind w:hanging="510" w:start="680" w:end="0"/>
        <w:jc w:val="both"/>
        <w:rPr/>
      </w:pPr>
      <w:r>
        <w:rPr/>
        <w:t>В процессе передачи Оборудования Сторонами совместно производится проверка Оборудования по качеству. В Акте приема-передачи Оборудования в аренду делается отметка о результатах проведенной проверки Оборудования по качеству.</w:t>
      </w:r>
    </w:p>
    <w:p>
      <w:pPr>
        <w:pStyle w:val="Normal"/>
        <w:numPr>
          <w:ilvl w:val="2"/>
          <w:numId w:val="2"/>
        </w:numPr>
        <w:ind w:hanging="510" w:start="680" w:end="0"/>
        <w:jc w:val="both"/>
        <w:rPr/>
      </w:pPr>
      <w:bookmarkStart w:id="5" w:name="_ref_25490761"/>
      <w:r>
        <w:rPr/>
        <w:t>В случае обнаружения ранее не оговоренных Арендодателем недостатков Стороны фиксируют их в Акте приема-передачи Оборудования в аренду.</w:t>
      </w:r>
      <w:bookmarkEnd w:id="5"/>
    </w:p>
    <w:p>
      <w:pPr>
        <w:pStyle w:val="Normal"/>
        <w:numPr>
          <w:ilvl w:val="2"/>
          <w:numId w:val="2"/>
        </w:numPr>
        <w:ind w:hanging="510" w:start="680" w:end="0"/>
        <w:jc w:val="both"/>
        <w:rPr/>
      </w:pPr>
      <w:r>
        <w:rPr/>
        <w:t>Арендодатель не отвечает за недостатки Оборудования, которые указаны в Договоре или Акте приема-передачи Оборудования в аренду, либо были заранее известны Арендатору, либо должны были быть обнаружены Арендатором при передаче ему Оборудования.</w:t>
      </w:r>
    </w:p>
    <w:p>
      <w:pPr>
        <w:pStyle w:val="Normal"/>
        <w:numPr>
          <w:ilvl w:val="1"/>
          <w:numId w:val="2"/>
        </w:numPr>
        <w:ind w:hanging="397" w:start="397" w:end="0"/>
        <w:jc w:val="both"/>
        <w:rPr/>
      </w:pPr>
      <w:r>
        <w:rPr/>
        <w:t>Возврат Арендатором Арендодателю Оборудования из аренды:</w:t>
      </w:r>
    </w:p>
    <w:p>
      <w:pPr>
        <w:pStyle w:val="Normal"/>
        <w:ind w:firstLine="284" w:end="0"/>
        <w:jc w:val="both"/>
        <w:rPr/>
      </w:pPr>
      <w:r>
        <w:rPr/>
        <w:t xml:space="preserve">4.2.1. Арендатор при прекращении настоящего Договора аренды (под прекращением Договора понимается в рамках данного Договора в том числе, но не ограничиваясь: окончание срока действия Договора, односторонний отказ от Договора (исполнения Договора) любой из Сторон, расторжение Договора), независимо от оснований его прекращения, обязан вернуть Арендодателю Оборудование в течение 1 (Одного) рабочего дня с даты прекращения Договора аренды. </w:t>
      </w:r>
    </w:p>
    <w:p>
      <w:pPr>
        <w:pStyle w:val="Normal"/>
        <w:ind w:firstLine="284" w:end="0"/>
        <w:jc w:val="both"/>
        <w:rPr/>
      </w:pPr>
      <w:r>
        <w:rPr/>
        <w:t>4.2.2. Возврат Арендатором Арендодателю арендованной Оборудования осуществляется по адресу: г. Санкт-Петербург, ул. Большая Морская, д. 18.</w:t>
      </w:r>
    </w:p>
    <w:p>
      <w:pPr>
        <w:pStyle w:val="Normal"/>
        <w:ind w:firstLine="284" w:end="0"/>
        <w:jc w:val="both"/>
        <w:rPr/>
      </w:pPr>
      <w:r>
        <w:rPr/>
        <w:t>4.2.3. Возврат Арендатором Арендодателю Оборудования оформляется путем составления Акта приема-передачи Оборудования из аренды (далее именуемый – Акт приема-передачи Оборудования из аренды. Акт приема-передачи Оборудования из аренды подписывается уполномоченными представителями обеих Сторон Договора и скрепляется круглыми печатями Сторон. Данный акт является документом, который подтверждает факт осуществления приема-передачи Арендатором Арендодателю Оборудования из аренды.</w:t>
      </w:r>
    </w:p>
    <w:p>
      <w:pPr>
        <w:pStyle w:val="Normal"/>
        <w:ind w:firstLine="284" w:end="0"/>
        <w:jc w:val="both"/>
        <w:rPr/>
      </w:pPr>
      <w:r>
        <w:rPr/>
        <w:t xml:space="preserve">4.2.4. При прекращении Договора по любым основаниям Арендатор обязан вернуть Арендодателю Оборудование, указанную в Приложении №1 Договора. Сведения об их получении Арендодателем, указываются в Акте приема-передачи Оборудования из аренды. </w:t>
      </w:r>
    </w:p>
    <w:p>
      <w:pPr>
        <w:pStyle w:val="Normal"/>
        <w:ind w:firstLine="284" w:end="0"/>
        <w:jc w:val="both"/>
        <w:rPr/>
      </w:pPr>
      <w:r>
        <w:rPr/>
        <w:t xml:space="preserve">4.2.5. Арендатор при прекращении настоящего Договора по любым основаниям обязан вернуть Арендодателю Оборудование в полностью работоспособном состоянии с учетом нормального износа. </w:t>
      </w:r>
    </w:p>
    <w:p>
      <w:pPr>
        <w:pStyle w:val="Normal"/>
        <w:numPr>
          <w:ilvl w:val="0"/>
          <w:numId w:val="2"/>
        </w:numPr>
        <w:spacing w:before="120" w:after="120"/>
        <w:jc w:val="center"/>
        <w:rPr>
          <w:b/>
        </w:rPr>
      </w:pPr>
      <w:r>
        <w:rPr>
          <w:b/>
        </w:rPr>
        <w:t>Порядок расчетов за аренду Оборудования</w:t>
      </w:r>
    </w:p>
    <w:p>
      <w:pPr>
        <w:pStyle w:val="Normal"/>
        <w:numPr>
          <w:ilvl w:val="1"/>
          <w:numId w:val="2"/>
        </w:numPr>
        <w:ind w:hanging="397" w:start="397" w:end="0"/>
        <w:jc w:val="both"/>
        <w:rPr/>
      </w:pPr>
      <w:r>
        <w:rPr/>
        <w:t>Порядок расчета арендной платы, сроки и период уплаты изложены в Приложении №1.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pPr>
        <w:pStyle w:val="Normal"/>
        <w:numPr>
          <w:ilvl w:val="1"/>
          <w:numId w:val="2"/>
        </w:numPr>
        <w:ind w:hanging="397" w:start="397" w:end="0"/>
        <w:jc w:val="both"/>
        <w:rPr/>
      </w:pPr>
      <w:r>
        <w:rPr/>
        <w:t xml:space="preserve">Все платежи производятся в рублях РФ в безналичном порядке по реквизитам, указанным в разделе 12 Договора. </w:t>
      </w:r>
    </w:p>
    <w:p>
      <w:pPr>
        <w:pStyle w:val="Normal"/>
        <w:numPr>
          <w:ilvl w:val="1"/>
          <w:numId w:val="2"/>
        </w:numPr>
        <w:ind w:hanging="397" w:start="397" w:end="0"/>
        <w:jc w:val="both"/>
        <w:rPr/>
      </w:pPr>
      <w:r>
        <w:rPr/>
        <w:t>Датой осуществления платежа считается дата списания денежных средств с корр. счета банка плательщика.</w:t>
      </w:r>
    </w:p>
    <w:p>
      <w:pPr>
        <w:pStyle w:val="Normal"/>
        <w:numPr>
          <w:ilvl w:val="1"/>
          <w:numId w:val="2"/>
        </w:numPr>
        <w:ind w:hanging="397" w:start="397" w:end="0"/>
        <w:jc w:val="both"/>
        <w:rPr/>
      </w:pPr>
      <w:r>
        <w:rPr/>
        <w:t xml:space="preserve">Арендатор обязуется оплатить оказанные услуги в течение {payment_term_days} ({payment_term_days_words}) рабочих дней со дня подписания </w:t>
      </w:r>
      <w:r>
        <w:rPr>
          <w:bCs/>
        </w:rPr>
        <w:t>Акта об оказании услуг</w:t>
      </w:r>
      <w:r>
        <w:rPr/>
        <w:t xml:space="preserve">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- 000000Ю109125PQP0002 является обязательным.</w:t>
      </w:r>
    </w:p>
    <w:p>
      <w:pPr>
        <w:pStyle w:val="Normal"/>
        <w:numPr>
          <w:ilvl w:val="1"/>
          <w:numId w:val="2"/>
        </w:numPr>
        <w:ind w:hanging="397" w:start="397" w:end="0"/>
        <w:jc w:val="both"/>
        <w:rPr/>
      </w:pPr>
      <w:r>
        <w:rPr/>
        <w:t>Кредитором с должника проценты на сумму долга за период пользования денежными средствами не начисляются и не взимаются и положения ст.317.1 ГК РФ в отношениях между Сторонами по Договору не применяются.</w:t>
      </w:r>
    </w:p>
    <w:p>
      <w:pPr>
        <w:pStyle w:val="Normal"/>
        <w:numPr>
          <w:ilvl w:val="1"/>
          <w:numId w:val="2"/>
        </w:numPr>
        <w:ind w:hanging="397" w:start="397" w:end="0"/>
        <w:jc w:val="both"/>
        <w:rPr/>
      </w:pPr>
      <w:r>
        <w:rPr/>
        <w:t>В случае если Арендатор продолжает пользоваться Оборудованием после истечения срока возврата Оборудования и Стороны не пришли к соглашению о продлении Договора, Арендатор обязан уплатить арендную плату за весь период фактического нахождения Оборудования в его владении и пользовании за период с момента истечения срока возврата до момента фактического возврата Оборудования в размере, равном ставке арендной платы, указанном в Приложении №1.</w:t>
      </w:r>
    </w:p>
    <w:p>
      <w:pPr>
        <w:pStyle w:val="Normal"/>
        <w:numPr>
          <w:ilvl w:val="0"/>
          <w:numId w:val="2"/>
        </w:numPr>
        <w:spacing w:before="120" w:after="120"/>
        <w:jc w:val="center"/>
        <w:rPr>
          <w:b/>
        </w:rPr>
      </w:pPr>
      <w:r>
        <w:rPr>
          <w:b/>
        </w:rPr>
        <w:t>Ответственность Сторон</w:t>
      </w:r>
    </w:p>
    <w:p>
      <w:pPr>
        <w:pStyle w:val="Normal"/>
        <w:numPr>
          <w:ilvl w:val="1"/>
          <w:numId w:val="2"/>
        </w:numPr>
        <w:ind w:hanging="397" w:start="397" w:end="0"/>
        <w:jc w:val="both"/>
        <w:rPr/>
      </w:pPr>
      <w:r>
        <w:rPr/>
        <w:t>За неисполнение условий Договора Стороны несут ответственность, предусмотренную   Договором, а при отсутствии указания ответственность в Договоре - в соответствии с правовыми актами Российской Федерации.</w:t>
      </w:r>
    </w:p>
    <w:p>
      <w:pPr>
        <w:pStyle w:val="Normal"/>
        <w:numPr>
          <w:ilvl w:val="1"/>
          <w:numId w:val="2"/>
        </w:numPr>
        <w:ind w:hanging="397" w:start="397" w:end="0"/>
        <w:jc w:val="both"/>
        <w:rPr/>
      </w:pPr>
      <w:r>
        <w:rPr/>
        <w:t xml:space="preserve">Ответственность Сторон при возмещении убытков ограничивается возмещением реального ущерба, т.е. расходов, которые лицо, чье право нарушено, произвело или должно будет произвести для восстановления нарушенного права, которые она произвела или должна будет произвести, утрата или повреждение его Оборудования. </w:t>
      </w:r>
    </w:p>
    <w:p>
      <w:pPr>
        <w:pStyle w:val="Normal"/>
        <w:numPr>
          <w:ilvl w:val="1"/>
          <w:numId w:val="2"/>
        </w:numPr>
        <w:ind w:hanging="397" w:start="397" w:end="0"/>
        <w:jc w:val="both"/>
        <w:rPr/>
      </w:pPr>
      <w:r>
        <w:rPr/>
        <w:t>В случаях неправомерного удержания денежных средств, уклонения от их возврата, иной просрочки в их уплате виновной Стороной подлежат уплате Стороне, чье право данными действиями/ бездействием нарушено, проценты на сумму долга на основании и в порядке, определенном ст.395 ГК РФ.</w:t>
      </w:r>
    </w:p>
    <w:p>
      <w:pPr>
        <w:pStyle w:val="Normal"/>
        <w:numPr>
          <w:ilvl w:val="1"/>
          <w:numId w:val="2"/>
        </w:numPr>
        <w:ind w:hanging="397" w:start="397" w:end="0"/>
        <w:jc w:val="both"/>
        <w:rPr/>
      </w:pPr>
      <w:r>
        <w:rPr/>
        <w:t>В случае просрочки уплаты арендной платы Арендатор обязан выплатить Арендодателю пеню в размере 0.1 % от размера не уплаченной вовремя суммы арендной платы за каждый день просрочки.</w:t>
      </w:r>
    </w:p>
    <w:p>
      <w:pPr>
        <w:pStyle w:val="Normal"/>
        <w:numPr>
          <w:ilvl w:val="1"/>
          <w:numId w:val="2"/>
        </w:numPr>
        <w:ind w:hanging="397" w:start="397" w:end="0"/>
        <w:jc w:val="both"/>
        <w:rPr/>
      </w:pPr>
      <w:r>
        <w:rPr/>
        <w:t xml:space="preserve"> В случае несвоевременной передачи Арендодателем Оборудования или ее части в аренду, Арендодатель обязуется выплатить Арендатору пеню в размере 0.1 % от стоимости арендной платы.</w:t>
      </w:r>
    </w:p>
    <w:p>
      <w:pPr>
        <w:pStyle w:val="Normal"/>
        <w:numPr>
          <w:ilvl w:val="1"/>
          <w:numId w:val="2"/>
        </w:numPr>
        <w:ind w:hanging="397" w:start="397" w:end="0"/>
        <w:jc w:val="both"/>
        <w:rPr/>
      </w:pPr>
      <w:r>
        <w:rPr/>
        <w:t>В случае утраты или невозврата арендованной Оборудования Арендатор обязан возместить Арендодателю стоимость Оборудования в размере оценочной стоимости, указанной в Приложении №1.</w:t>
      </w:r>
    </w:p>
    <w:p>
      <w:pPr>
        <w:pStyle w:val="Normal"/>
        <w:numPr>
          <w:ilvl w:val="1"/>
          <w:numId w:val="2"/>
        </w:numPr>
        <w:ind w:hanging="397" w:start="397" w:end="0"/>
        <w:jc w:val="both"/>
        <w:rPr/>
      </w:pPr>
      <w:r>
        <w:rPr/>
        <w:t>При возврате поврежденного или неисправного по вине Арендатора или третьих лиц арендованной Оборудования, что подтверждается двусторонним актом, Арендатор уплачивает Арендодателю Исполнителю расходы по ремонту Оборудования.</w:t>
      </w:r>
    </w:p>
    <w:p>
      <w:pPr>
        <w:pStyle w:val="Normal"/>
        <w:numPr>
          <w:ilvl w:val="1"/>
          <w:numId w:val="2"/>
        </w:numPr>
        <w:ind w:hanging="397" w:start="397" w:end="0"/>
        <w:jc w:val="both"/>
        <w:rPr/>
      </w:pPr>
      <w:r>
        <w:rPr/>
        <w:t>Взыскание неустойки, убытков, процентов на сумму долга является правом, а не обязанностью взыскивающей Стороны.</w:t>
      </w:r>
    </w:p>
    <w:p>
      <w:pPr>
        <w:pStyle w:val="Normal"/>
        <w:numPr>
          <w:ilvl w:val="1"/>
          <w:numId w:val="2"/>
        </w:numPr>
        <w:ind w:hanging="397" w:start="397" w:end="0"/>
        <w:jc w:val="both"/>
        <w:rPr/>
      </w:pPr>
      <w:r>
        <w:rPr/>
        <w:t xml:space="preserve">Уплата любых видов неустойки (штрафов, пени), убытков, процентов на сумму долга по Договору производится только при предъявлении соответствующей письменной претензии их уплате Стороной, чье право было нарушено. При отсутствии претензии неустойка, убытки, проценты на сумму долга не начисляются и не выплачиваются. При предъявлении претензии об уплате неустойки, убытков, процентов на сумму долга, они начисляются с момента возникновения обстоятельства, служащего основанием ответственности и до момента устранения нарушения. </w:t>
      </w:r>
    </w:p>
    <w:p>
      <w:pPr>
        <w:pStyle w:val="Normal"/>
        <w:numPr>
          <w:ilvl w:val="1"/>
          <w:numId w:val="2"/>
        </w:numPr>
        <w:ind w:hanging="397" w:start="397" w:end="0"/>
        <w:jc w:val="both"/>
        <w:rPr/>
      </w:pPr>
      <w:r>
        <w:rPr/>
        <w:t xml:space="preserve">Выплата убытков, процентов на сумму долга не освобождает виновную в нарушении Договора Сторону от выполнения своих обязательств по Договору и устранения допущенных нарушений. </w:t>
      </w:r>
    </w:p>
    <w:p>
      <w:pPr>
        <w:pStyle w:val="Normal"/>
        <w:numPr>
          <w:ilvl w:val="1"/>
          <w:numId w:val="2"/>
        </w:numPr>
        <w:ind w:hanging="397" w:start="397" w:end="0"/>
        <w:jc w:val="both"/>
        <w:rPr/>
      </w:pPr>
      <w:r>
        <w:rPr/>
        <w:t>Арендодатель выражает согласие на осуществление ФЕДЕРАЛЬНЫМ АГЕНТСТВОМ ПО ДЕЛАМ МОЛОДЕЖИ и государственными органами финансового контроля проверок соблюдения Арендатором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pPr>
        <w:pStyle w:val="Normal"/>
        <w:numPr>
          <w:ilvl w:val="0"/>
          <w:numId w:val="2"/>
        </w:numPr>
        <w:spacing w:before="120" w:after="120"/>
        <w:jc w:val="center"/>
        <w:rPr>
          <w:b/>
        </w:rPr>
      </w:pPr>
      <w:r>
        <w:rPr>
          <w:b/>
        </w:rPr>
        <w:t>Форс-мажорные обстоятельства</w:t>
      </w:r>
    </w:p>
    <w:p>
      <w:pPr>
        <w:pStyle w:val="Normal"/>
        <w:numPr>
          <w:ilvl w:val="1"/>
          <w:numId w:val="2"/>
        </w:numPr>
        <w:ind w:hanging="397" w:start="397" w:end="0"/>
        <w:jc w:val="both"/>
        <w:rPr/>
      </w:pPr>
      <w:r>
        <w:rPr/>
        <w:t>Под форс-мажором Стороны понимают обстоятельства непреодолимой силы, определяемые как таковые в соответствии с п.3. ст. 401 ГК РФ.</w:t>
      </w:r>
    </w:p>
    <w:p>
      <w:pPr>
        <w:pStyle w:val="Normal"/>
        <w:numPr>
          <w:ilvl w:val="1"/>
          <w:numId w:val="2"/>
        </w:numPr>
        <w:ind w:hanging="397" w:start="397" w:end="0"/>
        <w:jc w:val="both"/>
        <w:rPr/>
      </w:pPr>
      <w:r>
        <w:rPr/>
        <w:t>Если надлежащее исполнение обязательств оказалось невозможным вследствие непреодолимой силы, то есть чрезвычайных и непредотвратимых при данных условиях обстоятельств (форс-мажор) Сторона, попавшая в чрезвычайные и непредотвратимые обстоятельства, должна в течение 5 (пяти) календарных дней известить другую Сторону телеграммой о типе и возможной продолжительности этих, а также иных обстоятельств, препятствующих исполнению Договорных обязательств. Не уведомление или несвоевременное уведомление лишает Сторону права ссылаться на любое вышеуказанное обстоятельство как на основание, освобождающее от ответственности за неисполнение обязательств. Наступление форс-мажорных обстоятельств должно быть подтверждено Торгово-промышленной Палатой РФ.</w:t>
      </w:r>
    </w:p>
    <w:p>
      <w:pPr>
        <w:pStyle w:val="Normal"/>
        <w:numPr>
          <w:ilvl w:val="1"/>
          <w:numId w:val="2"/>
        </w:numPr>
        <w:ind w:hanging="397" w:start="397" w:end="0"/>
        <w:jc w:val="both"/>
        <w:rPr/>
      </w:pPr>
      <w:r>
        <w:rPr/>
        <w:t>Сторона, не получившая в свой адрес исполнения обязательств по Договору, вправе требовать от Стороны, не исполнившей или ненадлежащим образом исполнившей свои обязательства, подтверждения фактов, указанных в извещении о форс-мажорных обстоятельствах. В случае отказа от предоставления или несвоевременного представления необходимых доказательств Сторона, ссылающаяся на вышеуказанные форс-мажорные обстоятельства как на основание неисполнения или ненадлежащего исполнения обязательств по Договору, привлекается к ответственности за неисполнение или ненадлежащего исполнение обязательств по Договору.</w:t>
      </w:r>
    </w:p>
    <w:p>
      <w:pPr>
        <w:pStyle w:val="Normal"/>
        <w:numPr>
          <w:ilvl w:val="1"/>
          <w:numId w:val="2"/>
        </w:numPr>
        <w:ind w:hanging="397" w:start="397" w:end="0"/>
        <w:jc w:val="both"/>
        <w:rPr/>
      </w:pPr>
      <w:r>
        <w:rPr/>
        <w:t>Наступление форс-мажорных обстоятельств вызывает увеличение срока исполнения обязательств по Договору на период их действия.</w:t>
      </w:r>
    </w:p>
    <w:p>
      <w:pPr>
        <w:pStyle w:val="Normal"/>
        <w:numPr>
          <w:ilvl w:val="1"/>
          <w:numId w:val="2"/>
        </w:numPr>
        <w:ind w:hanging="397" w:start="397" w:end="0"/>
        <w:jc w:val="both"/>
        <w:rPr/>
      </w:pPr>
      <w:r>
        <w:rPr/>
        <w:t>На период действия непреодолимой силы и других чрезвычайных и непредотвратимых обстоятельств, освобождающих от ответственности, обязательства Сторон приостанавливаются. Если эти обстоятельства будут длиться более 1 (одного) месяца, то любая из Сторон вправе в одностороннем внесудебном порядке отказаться от Договора (исполнения Договора). При этом Сторона, уже получившая исполнение обязательства по Договору в свой адрес, но в свою очередь, не исполнившая или ненадлежащим образом исполнившая свое обязательство по Договору, обязана в течение 10 (десяти) календарных дней с момента расторжения Договора вернуть материальные и (или) денежные средства, полученные во исполнение условий Договора, исполнившей Стороне.</w:t>
      </w:r>
    </w:p>
    <w:p>
      <w:pPr>
        <w:pStyle w:val="Normal"/>
        <w:numPr>
          <w:ilvl w:val="0"/>
          <w:numId w:val="2"/>
        </w:numPr>
        <w:spacing w:before="120" w:after="120"/>
        <w:jc w:val="center"/>
        <w:rPr>
          <w:b/>
        </w:rPr>
      </w:pPr>
      <w:r>
        <w:rPr>
          <w:b/>
        </w:rPr>
        <w:t>Порядок разрешения споров</w:t>
      </w:r>
    </w:p>
    <w:p>
      <w:pPr>
        <w:pStyle w:val="Normal"/>
        <w:numPr>
          <w:ilvl w:val="1"/>
          <w:numId w:val="2"/>
        </w:numPr>
        <w:ind w:hanging="397" w:start="397" w:end="0"/>
        <w:jc w:val="both"/>
        <w:rPr/>
      </w:pPr>
      <w:r>
        <w:rPr/>
        <w:t>Все споры и разногласия, возникшие в связи с исполнением Договора, его изменением, расторжением, решаются Сторонами путем переговоров, а достигнутые Договоренности, при необходимости, оформляются в виде дополнительных соглашений, подписанных Сторонами и скрепленных печатями.</w:t>
      </w:r>
    </w:p>
    <w:p>
      <w:pPr>
        <w:pStyle w:val="Normal"/>
        <w:numPr>
          <w:ilvl w:val="1"/>
          <w:numId w:val="2"/>
        </w:numPr>
        <w:ind w:hanging="397" w:start="397" w:end="0"/>
        <w:jc w:val="both"/>
        <w:rPr/>
      </w:pPr>
      <w:r>
        <w:rPr/>
        <w:t xml:space="preserve">Досудебный претензионный порядок урегулирования споров по Договору обязателен.    </w:t>
      </w:r>
    </w:p>
    <w:p>
      <w:pPr>
        <w:pStyle w:val="Normal"/>
        <w:numPr>
          <w:ilvl w:val="1"/>
          <w:numId w:val="2"/>
        </w:numPr>
        <w:ind w:hanging="397" w:start="397" w:end="0"/>
        <w:jc w:val="both"/>
        <w:rPr/>
      </w:pPr>
      <w:r>
        <w:rPr/>
        <w:t xml:space="preserve">Споры по Договору разрешаются путем предъявления письменных претензий. </w:t>
      </w:r>
    </w:p>
    <w:p>
      <w:pPr>
        <w:pStyle w:val="Normal"/>
        <w:numPr>
          <w:ilvl w:val="1"/>
          <w:numId w:val="2"/>
        </w:numPr>
        <w:ind w:hanging="397" w:start="397" w:end="0"/>
        <w:jc w:val="both"/>
        <w:rPr/>
      </w:pPr>
      <w:r>
        <w:rPr/>
        <w:t>Претензия оформляется в письменной форме и направляется той Стороне по Договору, которой допущены нарушения его условий. Подписанная уполномоченным лицом претензия (ответ на претензию) может быть передана по электронной почте, с обязательным отправлением оригинала претензии (ответа на претензию) в адрес другой Стороны заказным письмом с уведомлением.</w:t>
      </w:r>
    </w:p>
    <w:p>
      <w:pPr>
        <w:pStyle w:val="Normal"/>
        <w:ind w:start="397" w:end="0"/>
        <w:jc w:val="both"/>
        <w:rPr/>
      </w:pPr>
      <w:r>
        <w:rPr/>
        <w:t>К претензии должны быть указаны следующие данные:</w:t>
      </w:r>
    </w:p>
    <w:p>
      <w:pPr>
        <w:pStyle w:val="Normal"/>
        <w:ind w:start="397" w:end="0"/>
        <w:jc w:val="both"/>
        <w:rPr/>
      </w:pPr>
      <w:r>
        <w:rPr/>
        <w:t>- основание предъявления претензии и краткое обоснование претензии;</w:t>
      </w:r>
    </w:p>
    <w:p>
      <w:pPr>
        <w:pStyle w:val="Normal"/>
        <w:ind w:start="397" w:end="0"/>
        <w:jc w:val="both"/>
        <w:rPr/>
      </w:pPr>
      <w:r>
        <w:rPr/>
        <w:t>- предъявляемые требования, а при денежном исчислении их сумма с расчетом по каждому отдельному виду требования (факту нарушения);</w:t>
      </w:r>
    </w:p>
    <w:p>
      <w:pPr>
        <w:pStyle w:val="Normal"/>
        <w:ind w:start="397" w:end="0"/>
        <w:jc w:val="both"/>
        <w:rPr/>
      </w:pPr>
      <w:r>
        <w:rPr/>
        <w:t>подробный почтовый адрес, по которому Сторона, направившая претензию, желает получить ответ на нее;</w:t>
      </w:r>
    </w:p>
    <w:p>
      <w:pPr>
        <w:pStyle w:val="Normal"/>
        <w:ind w:start="397" w:end="0"/>
        <w:jc w:val="both"/>
        <w:rPr/>
      </w:pPr>
      <w:r>
        <w:rPr/>
        <w:t>- список прилагаемых документов;</w:t>
      </w:r>
    </w:p>
    <w:p>
      <w:pPr>
        <w:pStyle w:val="Normal"/>
        <w:ind w:start="397" w:end="0"/>
        <w:jc w:val="both"/>
        <w:rPr/>
      </w:pPr>
      <w:r>
        <w:rPr/>
        <w:t>- реквизиты счета (реквизиты счета администратора доходов) для перечисления денежных средств (при денежном исчислении предъявленных требований);</w:t>
      </w:r>
    </w:p>
    <w:p>
      <w:pPr>
        <w:pStyle w:val="Normal"/>
        <w:ind w:start="397" w:end="0"/>
        <w:jc w:val="both"/>
        <w:rPr/>
      </w:pPr>
      <w:r>
        <w:rPr/>
        <w:t>- дата составления претензии.</w:t>
      </w:r>
    </w:p>
    <w:p>
      <w:pPr>
        <w:pStyle w:val="Normal"/>
        <w:ind w:start="397" w:end="0"/>
        <w:jc w:val="both"/>
        <w:rPr/>
      </w:pPr>
      <w:r>
        <w:rPr/>
        <w:t>К претензии должны быть приложены копии документов, подтверждающих обоснованность претензии, при их отсутствии у другой Стороны.</w:t>
      </w:r>
    </w:p>
    <w:p>
      <w:pPr>
        <w:pStyle w:val="Normal"/>
        <w:ind w:start="397" w:end="0"/>
        <w:jc w:val="both"/>
        <w:rPr/>
      </w:pPr>
      <w:r>
        <w:rPr/>
        <w:t>Претензия, оформленная с нарушением требований, установленных Договором или направленная без приложения перечисленных в ней документов, возвращается заявителю вместе с приложенными документами и с указанием причин возвращения в срок 7(семь) рабочих дней со дня ее получения.</w:t>
      </w:r>
    </w:p>
    <w:p>
      <w:pPr>
        <w:pStyle w:val="Normal"/>
        <w:ind w:start="397" w:end="0"/>
        <w:jc w:val="both"/>
        <w:rPr/>
      </w:pPr>
      <w:r>
        <w:rPr/>
        <w:t>При невозвращении в срок 7 (семь) рабочих дней претензии, оформленной (направленной) с нарушением порядка, установленного Договором, она считается принятой к рассмотрению. Подача претензии, оформленной (направленной) с нарушением порядка, установленного Договором, не прерывает течения срока, установленного для ее предъявления.</w:t>
      </w:r>
    </w:p>
    <w:p>
      <w:pPr>
        <w:pStyle w:val="Normal"/>
        <w:numPr>
          <w:ilvl w:val="1"/>
          <w:numId w:val="2"/>
        </w:numPr>
        <w:ind w:hanging="397" w:start="397" w:end="0"/>
        <w:jc w:val="both"/>
        <w:rPr/>
      </w:pPr>
      <w:r>
        <w:rPr/>
        <w:t xml:space="preserve">Дата передачи претензии (ответа на претензию) по электронной почте считается датой получения претензии. </w:t>
      </w:r>
    </w:p>
    <w:p>
      <w:pPr>
        <w:pStyle w:val="Normal"/>
        <w:numPr>
          <w:ilvl w:val="1"/>
          <w:numId w:val="2"/>
        </w:numPr>
        <w:ind w:hanging="397" w:start="397" w:end="0"/>
        <w:jc w:val="both"/>
        <w:rPr/>
      </w:pPr>
      <w:r>
        <w:rPr/>
        <w:t>Срок претензионного урегулирования споров – 20 (двадцать) календарных дней с момента получения претензии Стороной.</w:t>
      </w:r>
    </w:p>
    <w:p>
      <w:pPr>
        <w:pStyle w:val="Normal"/>
        <w:numPr>
          <w:ilvl w:val="1"/>
          <w:numId w:val="2"/>
        </w:numPr>
        <w:ind w:hanging="397" w:start="397" w:end="0"/>
        <w:jc w:val="both"/>
        <w:rPr/>
      </w:pPr>
      <w:r>
        <w:rPr/>
        <w:t>Неразрешенные в досудебном претензионном порядке споры передаются на рассмотрение в Арбитражный суд Санкт-Петербурга и Ленинградской области.</w:t>
      </w:r>
    </w:p>
    <w:p>
      <w:pPr>
        <w:pStyle w:val="Normal"/>
        <w:numPr>
          <w:ilvl w:val="0"/>
          <w:numId w:val="2"/>
        </w:numPr>
        <w:spacing w:before="120" w:after="120"/>
        <w:jc w:val="center"/>
        <w:rPr>
          <w:b/>
        </w:rPr>
      </w:pPr>
      <w:r>
        <w:rPr>
          <w:b/>
        </w:rPr>
        <w:t>Срок действия Договора</w:t>
      </w:r>
    </w:p>
    <w:p>
      <w:pPr>
        <w:pStyle w:val="Normal"/>
        <w:numPr>
          <w:ilvl w:val="1"/>
          <w:numId w:val="2"/>
        </w:numPr>
        <w:ind w:hanging="397" w:start="397" w:end="0"/>
        <w:jc w:val="both"/>
        <w:rPr/>
      </w:pPr>
      <w:r>
        <w:rPr/>
        <w:t xml:space="preserve">Настоящий Договор считается заключенным, вступает в силу и начинает действовать с момента подписания его обеими Сторонами и действует до 30.06.2026 г., а в части взаиморасчетов – до полного исполнения Сторонами своих обязательств по Договору.   </w:t>
      </w:r>
    </w:p>
    <w:p>
      <w:pPr>
        <w:pStyle w:val="Normal"/>
        <w:numPr>
          <w:ilvl w:val="0"/>
          <w:numId w:val="2"/>
        </w:numPr>
        <w:spacing w:before="120" w:after="120"/>
        <w:jc w:val="center"/>
        <w:rPr>
          <w:b/>
        </w:rPr>
      </w:pPr>
      <w:r>
        <w:rPr>
          <w:b/>
        </w:rPr>
        <w:t>Досрочное расторжение Договора. Изменение Договора</w:t>
      </w:r>
    </w:p>
    <w:p>
      <w:pPr>
        <w:pStyle w:val="Normal"/>
        <w:numPr>
          <w:ilvl w:val="1"/>
          <w:numId w:val="2"/>
        </w:numPr>
        <w:ind w:hanging="397" w:start="397" w:end="0"/>
        <w:jc w:val="both"/>
        <w:rPr/>
      </w:pPr>
      <w:r>
        <w:rPr/>
        <w:t>Договор досрочно может быть расторгнут во внесудебном порядке в любое время по соглашению Сторон.</w:t>
      </w:r>
    </w:p>
    <w:p>
      <w:pPr>
        <w:pStyle w:val="Normal"/>
        <w:numPr>
          <w:ilvl w:val="1"/>
          <w:numId w:val="2"/>
        </w:numPr>
        <w:ind w:hanging="397" w:start="397" w:end="0"/>
        <w:jc w:val="both"/>
        <w:rPr/>
      </w:pPr>
      <w:r>
        <w:rPr/>
        <w:t>Договор может быть в любое время изменен по взаимному соглашению Сторон. Все изменения, дополнения, соглашения по настоящему Договору действительны только при условии, если они выполнены в письменной форме путем составления единого документа, подписанного уполномоченными представителями Сторон и скреплены круглыми печатями обеих Сторон.</w:t>
      </w:r>
    </w:p>
    <w:p>
      <w:pPr>
        <w:pStyle w:val="Normal"/>
        <w:numPr>
          <w:ilvl w:val="1"/>
          <w:numId w:val="2"/>
        </w:numPr>
        <w:ind w:hanging="397" w:start="397" w:end="0"/>
        <w:jc w:val="both"/>
        <w:rPr/>
      </w:pPr>
      <w:r>
        <w:rPr/>
        <w:t>Договор может быть досрочно расторгнут в судебном порядке по требованию Арендатора в случаях, если Арендодатель:</w:t>
      </w:r>
    </w:p>
    <w:p>
      <w:pPr>
        <w:pStyle w:val="Normal"/>
        <w:numPr>
          <w:ilvl w:val="2"/>
          <w:numId w:val="2"/>
        </w:numPr>
        <w:jc w:val="both"/>
        <w:rPr/>
      </w:pPr>
      <w:r>
        <w:rPr/>
        <w:t>не предоставляет Оборудование в пользование Арендатору либо создает препятствия пользованию Оборудованием;</w:t>
      </w:r>
    </w:p>
    <w:p>
      <w:pPr>
        <w:pStyle w:val="Normal"/>
        <w:numPr>
          <w:ilvl w:val="2"/>
          <w:numId w:val="2"/>
        </w:numPr>
        <w:jc w:val="both"/>
        <w:rPr/>
      </w:pPr>
      <w:r>
        <w:rPr/>
        <w:t>переданная Арендатору Оборудование имеет препятствующие пользованию им недостатки, которые не были оговорены при заключении Договора, не были заранее известны Арендатору и не должны были быть обнаружены Арендатором при заключении Договора;</w:t>
      </w:r>
    </w:p>
    <w:p>
      <w:pPr>
        <w:pStyle w:val="Normal"/>
        <w:numPr>
          <w:ilvl w:val="2"/>
          <w:numId w:val="2"/>
        </w:numPr>
        <w:jc w:val="both"/>
        <w:rPr/>
      </w:pPr>
      <w:r>
        <w:rPr/>
        <w:t>Оборудование в силу обстоятельств, за которые Арендатор не отвечает, окажется непригодной для использования.</w:t>
      </w:r>
    </w:p>
    <w:p>
      <w:pPr>
        <w:pStyle w:val="Normal"/>
        <w:numPr>
          <w:ilvl w:val="1"/>
          <w:numId w:val="2"/>
        </w:numPr>
        <w:ind w:hanging="397" w:start="397" w:end="0"/>
        <w:jc w:val="both"/>
        <w:rPr/>
      </w:pPr>
      <w:r>
        <w:rPr/>
        <w:t>О намерении досрочно расторгнуть Договор по основаниям, предусмотренным в п. 10.3 Договора, Сторона, являющаяся инициатором данного досрочного расторжения Договора, должна предупредить другую Сторону Договора за 3 (три) рабочих дней до предъявления в суд требования о расторжении Договора.</w:t>
      </w:r>
    </w:p>
    <w:p>
      <w:pPr>
        <w:pStyle w:val="Normal"/>
        <w:numPr>
          <w:ilvl w:val="1"/>
          <w:numId w:val="2"/>
        </w:numPr>
        <w:ind w:hanging="397" w:start="397" w:end="0"/>
        <w:jc w:val="both"/>
        <w:rPr/>
      </w:pPr>
      <w:r>
        <w:rPr/>
        <w:t>Арендодатель вправе в любое время в одностороннем внесудебном порядке отказаться от Договора (исполнения Договора) с предупреждением Арендатора о предстоящем отказе от Договора (исполнения Договора) за 3 (три) рабочих дней до назначенной даты отказа от Договора (исполнения Договора), в случае если Арендатор:</w:t>
      </w:r>
    </w:p>
    <w:p>
      <w:pPr>
        <w:pStyle w:val="Normal"/>
        <w:numPr>
          <w:ilvl w:val="2"/>
          <w:numId w:val="2"/>
        </w:numPr>
        <w:jc w:val="both"/>
        <w:rPr/>
      </w:pPr>
      <w:r>
        <w:rPr/>
        <w:t>пользуется Оборудованием с существенным нарушением условий Договора или назначения Оборудования либо с неоднократными нарушениями;</w:t>
      </w:r>
    </w:p>
    <w:p>
      <w:pPr>
        <w:pStyle w:val="Normal"/>
        <w:numPr>
          <w:ilvl w:val="2"/>
          <w:numId w:val="2"/>
        </w:numPr>
        <w:jc w:val="both"/>
        <w:rPr/>
      </w:pPr>
      <w:r>
        <w:rPr/>
        <w:t>существенно ухудшает Оборудование;</w:t>
      </w:r>
    </w:p>
    <w:p>
      <w:pPr>
        <w:pStyle w:val="Normal"/>
        <w:numPr>
          <w:ilvl w:val="2"/>
          <w:numId w:val="2"/>
        </w:numPr>
        <w:jc w:val="both"/>
        <w:rPr/>
      </w:pPr>
      <w:r>
        <w:rPr/>
        <w:t>использует Оборудование не по назначению или с нарушением условий Договора;</w:t>
      </w:r>
    </w:p>
    <w:p>
      <w:pPr>
        <w:pStyle w:val="Normal"/>
        <w:numPr>
          <w:ilvl w:val="1"/>
          <w:numId w:val="2"/>
        </w:numPr>
        <w:ind w:hanging="397" w:start="397" w:end="0"/>
        <w:jc w:val="both"/>
        <w:rPr/>
      </w:pPr>
      <w:r>
        <w:rPr/>
        <w:t>Договор считается расторгнутым в связи с односторонним внесудебным отказом одной Стороны от Договора (исполнения Договора) с момента получения другой Стороной уведомления от отказавшейся от Договора (исполнения Договора) Стороны об отказе от Договора полностью или частично, если иной срок расторжения или изменения договора не указан в уведомлении.</w:t>
      </w:r>
    </w:p>
    <w:p>
      <w:pPr>
        <w:pStyle w:val="Normal"/>
        <w:numPr>
          <w:ilvl w:val="1"/>
          <w:numId w:val="2"/>
        </w:numPr>
        <w:ind w:hanging="397" w:start="397" w:end="0"/>
        <w:jc w:val="both"/>
        <w:rPr/>
      </w:pPr>
      <w:r>
        <w:rPr/>
        <w:t>Окончание срока действия Договора, его досрочное расторжение по любым основаниям и по инициативе любой из Сторон, односторонний внесудебный отказ от Договора (исполнения Договора) любой из Сторон, а также прекращение действия Договора по любым иным основаниям не освобождает Стороны от выполнения обязанностей, возникших в период действия Договора и от ответственности за нарушения и/или неисполнение условий Договора, если таковые имели место при исполнении условий Договора.</w:t>
      </w:r>
    </w:p>
    <w:p>
      <w:pPr>
        <w:pStyle w:val="Normal"/>
        <w:numPr>
          <w:ilvl w:val="1"/>
          <w:numId w:val="2"/>
        </w:numPr>
        <w:ind w:hanging="397" w:start="397" w:end="0"/>
        <w:jc w:val="both"/>
        <w:rPr/>
      </w:pPr>
      <w:r>
        <w:rPr/>
        <w:t>Стороны на момент прекращения по любым основаниям действия Договора составляют, совместно подписывают (с каждой Стороны Акт подписывается должностным лицом, имеющим право на подписание данного документа) и скрепляют круглыми печатями «Акт сверки взаимных расчетов» в 2-х идентичных экземплярах, имеющих одинаковую юридическую силу по одному экземпляру для каждой из Сторон.</w:t>
      </w:r>
    </w:p>
    <w:p>
      <w:pPr>
        <w:pStyle w:val="Normal"/>
        <w:numPr>
          <w:ilvl w:val="0"/>
          <w:numId w:val="2"/>
        </w:numPr>
        <w:spacing w:before="120" w:after="120"/>
        <w:jc w:val="center"/>
        <w:rPr>
          <w:b/>
        </w:rPr>
      </w:pPr>
      <w:r>
        <w:rPr>
          <w:b/>
        </w:rPr>
        <w:t>Иные условия Договора</w:t>
      </w:r>
    </w:p>
    <w:p>
      <w:pPr>
        <w:pStyle w:val="Normal"/>
        <w:numPr>
          <w:ilvl w:val="1"/>
          <w:numId w:val="2"/>
        </w:numPr>
        <w:ind w:hanging="397" w:start="397" w:end="0"/>
        <w:jc w:val="both"/>
        <w:rPr/>
      </w:pPr>
      <w:r>
        <w:rPr/>
        <w:t>Стороны гарантируют наличие необходимых полномочий и отсутствие каких-либо ограничений на подписание Договора и иных соглашений, дополнений к Договору, а также любой информации по Договору уполномоченными представителями Сторон.</w:t>
      </w:r>
    </w:p>
    <w:p>
      <w:pPr>
        <w:pStyle w:val="Normal"/>
        <w:numPr>
          <w:ilvl w:val="1"/>
          <w:numId w:val="2"/>
        </w:numPr>
        <w:ind w:hanging="397" w:start="397" w:end="0"/>
        <w:jc w:val="both"/>
        <w:rPr/>
      </w:pPr>
      <w:r>
        <w:rPr/>
        <w:t>Условия Договора и Приложений к нему не подлежат разглашению Сторонами и представляют собой конфиденциальную информацию. Если в результате разглашения условий одной из Сторон нанесен ущерб, пострадавшая Сторона имеет право требовать возмещения убытков, которые она потерпела в результате разглашения. Данное условие не распространяется на случаи, когда разглашение условий Договора происходит на основании законных требований органов государственной власти РФ.</w:t>
      </w:r>
    </w:p>
    <w:p>
      <w:pPr>
        <w:pStyle w:val="Normal"/>
        <w:numPr>
          <w:ilvl w:val="1"/>
          <w:numId w:val="2"/>
        </w:numPr>
        <w:ind w:hanging="397" w:start="397" w:end="0"/>
        <w:jc w:val="both"/>
        <w:rPr/>
      </w:pPr>
      <w:r>
        <w:rPr/>
        <w:t>Стороны Договора признают юридическую силу документов, полученных друг от друга по компьютерной электронной почте по электронному адресу, указанному в разделе 12 Договора. Документ, переданный электронной почте, имеющий подпись уполномоченного лица и печать Арендатора/Арендодателя, признается имеющим юридическую силу оригинального Документа и принимается Сторонами к исполнению до момента предоставления оригиналов. Оригиналы указанных выше документов должны быть предоставлены другой Стороне в течение 5 (пяти) рабочих дней со дня передачи их по электронной почте. При не предоставлении одной из Сторон другой Стороне оригинала Документа, Документ, полученный Стороной по электронной почте, имеющий подпись и печать Арендатора/Арендодателя предполагается имеющим юридическую силу оригинального Документа и на Стороне, не предоставившей оригинальный экземпляр Документа другой Стороне, лежит бремя доказывания не достоверности Документа, полученного Стороной по электронной почте, тех или иных фактов и достоверности/не достоверности подписи.</w:t>
      </w:r>
    </w:p>
    <w:p>
      <w:pPr>
        <w:pStyle w:val="Normal"/>
        <w:numPr>
          <w:ilvl w:val="1"/>
          <w:numId w:val="2"/>
        </w:numPr>
        <w:ind w:hanging="397" w:start="397" w:end="0"/>
        <w:jc w:val="both"/>
        <w:rPr/>
      </w:pPr>
      <w:r>
        <w:rPr/>
        <w:t>Любые уведомления, сообщения, письма, а также иные документы (далее по тексту – «Информация), касающаяся выполнения обязательств по Договору, должны составляться в письменной форме на русском языке и быть подписанными уполномоченными представителями. Информация может направляться почтовой связью, по электронной почте, с курьером.</w:t>
      </w:r>
    </w:p>
    <w:p>
      <w:pPr>
        <w:pStyle w:val="Normal"/>
        <w:numPr>
          <w:ilvl w:val="1"/>
          <w:numId w:val="2"/>
        </w:numPr>
        <w:ind w:hanging="397" w:start="397" w:end="0"/>
        <w:jc w:val="both"/>
        <w:rPr/>
      </w:pPr>
      <w:r>
        <w:rPr/>
        <w:t>Информация, направленная одной Стороной другой Стороне, считается полученной другой Стороной:</w:t>
      </w:r>
    </w:p>
    <w:p>
      <w:pPr>
        <w:pStyle w:val="Normal"/>
        <w:numPr>
          <w:ilvl w:val="0"/>
          <w:numId w:val="3"/>
        </w:numPr>
        <w:jc w:val="both"/>
        <w:rPr/>
      </w:pPr>
      <w:r>
        <w:rPr/>
        <w:t>при отправке почтовой связью по адресу, указанному в разделе 13 Договора, по истечению 5 (пяти) рабочих дней с момента отправки Информации.</w:t>
      </w:r>
    </w:p>
    <w:p>
      <w:pPr>
        <w:pStyle w:val="Normal"/>
        <w:numPr>
          <w:ilvl w:val="0"/>
          <w:numId w:val="3"/>
        </w:numPr>
        <w:jc w:val="both"/>
        <w:rPr/>
      </w:pPr>
      <w:r>
        <w:rPr/>
        <w:t xml:space="preserve">при отправке по компьютерной электронной почте – в момент, фиксируемый компьютерной электронной почтой отправителя при ее отправке; </w:t>
      </w:r>
    </w:p>
    <w:p>
      <w:pPr>
        <w:pStyle w:val="Normal"/>
        <w:numPr>
          <w:ilvl w:val="0"/>
          <w:numId w:val="3"/>
        </w:numPr>
        <w:jc w:val="both"/>
        <w:rPr/>
      </w:pPr>
      <w:r>
        <w:rPr/>
        <w:t>при отправке курьером – дата передачи информации получающей Стороне, указанная курьером на каком-либо сопроводительном документе.</w:t>
      </w:r>
    </w:p>
    <w:p>
      <w:pPr>
        <w:pStyle w:val="Normal"/>
        <w:numPr>
          <w:ilvl w:val="1"/>
          <w:numId w:val="2"/>
        </w:numPr>
        <w:ind w:hanging="397" w:start="397" w:end="0"/>
        <w:jc w:val="both"/>
        <w:rPr/>
      </w:pPr>
      <w:r>
        <w:rPr/>
        <w:t>Срок рассмотрения поступившей Информации (кроме претензий) не может превышать 7 (семь) рабочих дней с момента их получения.</w:t>
      </w:r>
    </w:p>
    <w:p>
      <w:pPr>
        <w:pStyle w:val="Normal"/>
        <w:numPr>
          <w:ilvl w:val="1"/>
          <w:numId w:val="2"/>
        </w:numPr>
        <w:ind w:hanging="397" w:start="397" w:end="0"/>
        <w:jc w:val="both"/>
        <w:rPr/>
      </w:pPr>
      <w:r>
        <w:rPr/>
        <w:t>Любая из Сторон в случае изменения ее реквизитов, включая, но не ограничиваясь, а именно -  наименования, местонахождения, адреса места нахождения, адреса места нахождения Оборудования (для Арендатора), почтового адреса для получения корреспонденции, номера телефона, адреса компьютерной электронной почты, банковских реквизитов и пр., обязуется в течение 5 (пяти) рабочих дней с момента происшедших изменений письменно уведомить о происшедших изменениях другую Сторону.</w:t>
      </w:r>
    </w:p>
    <w:p>
      <w:pPr>
        <w:pStyle w:val="Normal"/>
        <w:numPr>
          <w:ilvl w:val="1"/>
          <w:numId w:val="2"/>
        </w:numPr>
        <w:ind w:hanging="397" w:start="397" w:end="0"/>
        <w:jc w:val="both"/>
        <w:rPr/>
      </w:pPr>
      <w:r>
        <w:rPr/>
        <w:t>В случае отсутствия данного уведомления действующими считаются данные, указанные в разделе 13 Договора и исполнение (направление денежных средств, Информации и т.д.) направленное одной Стороной в адрес другой Стороны по реквизитам, указанным в разделе 13 Договора, считается направленными по надлежащему адресу/реквизитам. При этом в случае неполучения Стороной, не сообщившей другой Стороне об изменении своих реквизитов, исполнения (денежных средств и/или Информации), направленного в ее адрес другой Стороной, исполнение считается полученным не сообщившей Стороной по истечении 5 (пяти) рабочих дней с момента отправки исполнения другой Стороной.</w:t>
      </w:r>
    </w:p>
    <w:p>
      <w:pPr>
        <w:pStyle w:val="Normal"/>
        <w:numPr>
          <w:ilvl w:val="1"/>
          <w:numId w:val="2"/>
        </w:numPr>
        <w:ind w:hanging="397" w:start="397" w:end="0"/>
        <w:jc w:val="both"/>
        <w:rPr/>
      </w:pPr>
      <w:r>
        <w:rPr/>
        <w:t>Договор составлен в двух экземплярах, имеющих равную юридическую силу по одному экземпляру для каждой Стороны с Приложением №1 «</w:t>
      </w:r>
      <w:bookmarkStart w:id="6" w:name="_Hlk103952080"/>
      <w:r>
        <w:rPr/>
        <w:t>перечень и состав Оборудования, срок аренды и условия оплаты</w:t>
      </w:r>
      <w:bookmarkEnd w:id="6"/>
      <w:r>
        <w:rPr/>
        <w:t>», являющимся неотъемлемой частью Договора.</w:t>
      </w:r>
    </w:p>
    <w:p>
      <w:pPr>
        <w:pStyle w:val="Normal"/>
        <w:jc w:val="both"/>
        <w:rPr/>
      </w:pPr>
      <w:r>
        <w:rPr/>
      </w:r>
    </w:p>
    <w:p>
      <w:pPr>
        <w:pStyle w:val="Normal"/>
        <w:numPr>
          <w:ilvl w:val="0"/>
          <w:numId w:val="2"/>
        </w:numPr>
        <w:ind w:hanging="357" w:start="924" w:end="0"/>
        <w:jc w:val="center"/>
        <w:rPr>
          <w:b/>
        </w:rPr>
      </w:pPr>
      <w:r>
        <w:rPr>
          <w:b/>
        </w:rPr>
        <w:t>Реквизиты и подписи Сторон</w:t>
      </w:r>
    </w:p>
    <w:tbl>
      <w:tblPr>
        <w:tblW w:w="5000" w:type="pct"/>
        <w:jc w:val="start"/>
        <w:tblInd w:w="0" w:type="dxa"/>
        <w:tblLayout w:type="fixed"/>
        <w:tblCellMar>
          <w:top w:w="0" w:type="dxa"/>
          <w:start w:w="108" w:type="dxa"/>
          <w:bottom w:w="0" w:type="dxa"/>
          <w:end w:w="108" w:type="dxa"/>
        </w:tblCellMar>
      </w:tblPr>
      <w:tblGrid>
        <w:gridCol w:w="4960"/>
        <w:gridCol w:w="4961"/>
      </w:tblGrid>
      <w:tr>
        <w:trPr/>
        <w:tc>
          <w:tcPr>
            <w:tcW w:w="4960" w:type="dxa"/>
            <w:tcBorders/>
          </w:tcPr>
          <w:p>
            <w:pPr>
              <w:pStyle w:val="Normal"/>
              <w:ind w:end="-1"/>
              <w:rPr/>
            </w:pPr>
            <w:r>
              <w:rPr>
                <w:b/>
              </w:rPr>
              <w:t>Арендатор:</w:t>
            </w:r>
          </w:p>
        </w:tc>
        <w:tc>
          <w:tcPr>
            <w:tcW w:w="4961" w:type="dxa"/>
            <w:tcBorders/>
          </w:tcPr>
          <w:p>
            <w:pPr>
              <w:pStyle w:val="Normal"/>
              <w:ind w:end="-1"/>
              <w:rPr/>
            </w:pPr>
            <w:r>
              <w:rPr>
                <w:b/>
              </w:rPr>
              <w:t xml:space="preserve">Арендодатель: </w:t>
            </w:r>
          </w:p>
        </w:tc>
      </w:tr>
      <w:tr>
        <w:trPr/>
        <w:tc>
          <w:tcPr>
            <w:tcW w:w="4960" w:type="dxa"/>
            <w:tcBorders/>
          </w:tcPr>
          <w:p>
            <w:pPr>
              <w:pStyle w:val="Normal"/>
              <w:ind w:end="-1"/>
              <w:rPr>
                <w:b/>
              </w:rPr>
            </w:pPr>
            <w:r>
              <w:rPr/>
              <w:t>{customer_req_full_name_guillemet}</w:t>
            </w:r>
          </w:p>
        </w:tc>
        <w:tc>
          <w:tcPr>
            <w:tcW w:w="4961" w:type="dxa"/>
            <w:tcBorders/>
          </w:tcPr>
          <w:p>
            <w:pPr>
              <w:pStyle w:val="BodyTextIndent"/>
              <w:ind w:start="37" w:end="0"/>
              <w:jc w:val="start"/>
              <w:rPr/>
            </w:pPr>
            <w:r>
              <w:rPr>
                <w:bCs/>
                <w:sz w:val="20"/>
              </w:rPr>
              <w:t>ИНДИВИДУАЛЬНЫЙ ПРЕДПРИНИМАТЕЛЬ</w:t>
            </w:r>
          </w:p>
          <w:p>
            <w:pPr>
              <w:pStyle w:val="Normal"/>
              <w:ind w:end="-1"/>
              <w:rPr>
                <w:bCs/>
              </w:rPr>
            </w:pPr>
            <w:r>
              <w:rPr>
                <w:bCs/>
              </w:rPr>
              <w:t>{contractor_full_name}</w:t>
            </w:r>
          </w:p>
        </w:tc>
      </w:tr>
      <w:tr>
        <w:trPr/>
        <w:tc>
          <w:tcPr>
            <w:tcW w:w="4960" w:type="dxa"/>
            <w:tcBorders/>
          </w:tcPr>
          <w:p>
            <w:pPr>
              <w:pStyle w:val="Normal"/>
              <w:ind w:end="-1"/>
              <w:rPr/>
            </w:pPr>
            <w:r>
              <w:rPr/>
              <w:t>Адрес местонахождения: {customer_address}</w:t>
            </w:r>
          </w:p>
          <w:p>
            <w:pPr>
              <w:pStyle w:val="Normal"/>
              <w:ind w:end="-1"/>
              <w:rPr/>
            </w:pPr>
            <w:r>
              <w:rPr/>
              <w:t>ИНН/ КПП {customer_inn_kpp}</w:t>
            </w:r>
          </w:p>
          <w:p>
            <w:pPr>
              <w:pStyle w:val="Normal"/>
              <w:ind w:end="-1"/>
              <w:rPr/>
            </w:pPr>
            <w:r>
              <w:rPr/>
              <w:t>Платежные реквизиты:</w:t>
            </w:r>
          </w:p>
          <w:p>
            <w:pPr>
              <w:pStyle w:val="Normal"/>
              <w:rPr/>
            </w:pPr>
            <w:r>
              <w:rPr/>
              <w:t>{customer_bank_authority}</w:t>
              <w:br/>
              <w:t>Единый казначейский счет: {customer_eks}</w:t>
              <w:br/>
              <w:t>Казначейский счет: {customer_ks}</w:t>
              <w:br/>
              <w:t>БИК {customer_bik}</w:t>
            </w:r>
          </w:p>
          <w:p>
            <w:pPr>
              <w:pStyle w:val="Normal"/>
              <w:rPr/>
            </w:pPr>
            <w:r>
              <w:rPr/>
              <w:t>Лицевой счет {customer_personal_account}</w:t>
            </w:r>
          </w:p>
        </w:tc>
        <w:tc>
          <w:tcPr>
            <w:tcW w:w="4961" w:type="dxa"/>
            <w:tcBorders/>
          </w:tcPr>
          <w:p>
            <w:pPr>
              <w:pStyle w:val="BodyTextIndent"/>
              <w:ind w:start="37" w:end="0"/>
              <w:jc w:val="start"/>
              <w:rPr/>
            </w:pPr>
            <w:r>
              <w:rPr>
                <w:sz w:val="20"/>
              </w:rPr>
              <w:t>Адрес местонахождения: {contractor_address}</w:t>
            </w:r>
          </w:p>
          <w:p>
            <w:pPr>
              <w:pStyle w:val="BodyTextIndent"/>
              <w:ind w:start="37" w:end="0"/>
              <w:jc w:val="start"/>
              <w:rPr>
                <w:sz w:val="20"/>
              </w:rPr>
            </w:pPr>
            <w:r>
              <w:rPr>
                <w:sz w:val="20"/>
              </w:rPr>
              <w:t xml:space="preserve">ОГРНИП: {contractor_ogrnip} </w:t>
            </w:r>
          </w:p>
          <w:p>
            <w:pPr>
              <w:pStyle w:val="BodyTextIndent"/>
              <w:ind w:start="37" w:end="0"/>
              <w:jc w:val="start"/>
              <w:rPr>
                <w:sz w:val="20"/>
              </w:rPr>
            </w:pPr>
            <w:r>
              <w:rPr>
                <w:sz w:val="20"/>
              </w:rPr>
              <w:t>ИНН: {contractor_inn}</w:t>
            </w:r>
          </w:p>
          <w:p>
            <w:pPr>
              <w:pStyle w:val="BodyTextIndent"/>
              <w:ind w:start="37" w:end="0"/>
              <w:rPr>
                <w:sz w:val="20"/>
              </w:rPr>
            </w:pPr>
            <w:r>
              <w:rPr>
                <w:sz w:val="20"/>
              </w:rPr>
              <w:t>Платежные реквизиты:</w:t>
            </w:r>
          </w:p>
          <w:p>
            <w:pPr>
              <w:pStyle w:val="BodyTextIndent"/>
              <w:ind w:start="37" w:end="0"/>
              <w:jc w:val="start"/>
              <w:rPr>
                <w:sz w:val="20"/>
              </w:rPr>
            </w:pPr>
            <w:r>
              <w:rPr>
                <w:sz w:val="20"/>
              </w:rPr>
              <w:t xml:space="preserve">Расчетный счет: {contractor_bank_account} </w:t>
            </w:r>
          </w:p>
          <w:p>
            <w:pPr>
              <w:pStyle w:val="BodyTextIndent"/>
              <w:ind w:start="37" w:end="0"/>
              <w:jc w:val="start"/>
              <w:rPr>
                <w:sz w:val="20"/>
              </w:rPr>
            </w:pPr>
            <w:r>
              <w:rPr>
                <w:sz w:val="20"/>
              </w:rPr>
              <w:t>в {contractor_bank_name}</w:t>
            </w:r>
          </w:p>
          <w:p>
            <w:pPr>
              <w:pStyle w:val="BodyTextIndent"/>
              <w:ind w:start="37" w:end="0"/>
              <w:jc w:val="start"/>
              <w:rPr/>
            </w:pPr>
            <w:r>
              <w:rPr>
                <w:sz w:val="20"/>
              </w:rPr>
              <w:t>Корреспондентский счет: {contractor_corr_account}</w:t>
            </w:r>
          </w:p>
          <w:p>
            <w:pPr>
              <w:pStyle w:val="Normal"/>
              <w:tabs>
                <w:tab w:val="clear" w:pos="708"/>
                <w:tab w:val="left" w:pos="2372" w:leader="none"/>
              </w:tabs>
              <w:ind w:end="-1"/>
              <w:rPr/>
            </w:pPr>
            <w:r>
              <w:rPr/>
              <w:t>БИК {contractor_bik}</w:t>
            </w:r>
          </w:p>
          <w:p>
            <w:pPr>
              <w:pStyle w:val="Normal"/>
              <w:ind w:end="-1"/>
              <w:rPr/>
            </w:pPr>
            <w:r>
              <w:rPr/>
            </w:r>
          </w:p>
        </w:tc>
      </w:tr>
      <w:tr>
        <w:trPr>
          <w:trHeight w:val="809" w:hRule="atLeast"/>
        </w:trPr>
        <w:tc>
          <w:tcPr>
            <w:tcW w:w="4960" w:type="dxa"/>
            <w:tcBorders/>
          </w:tcPr>
          <w:p>
            <w:pPr>
              <w:pStyle w:val="Normal"/>
              <w:ind w:end="-1"/>
              <w:rPr/>
            </w:pPr>
            <w:r>
              <w:rPr/>
              <w:t xml:space="preserve">{customer_signatory_position_short} </w:t>
            </w:r>
          </w:p>
          <w:p>
            <w:pPr>
              <w:pStyle w:val="Normal"/>
              <w:ind w:end="-1"/>
              <w:rPr/>
            </w:pPr>
            <w:r>
              <w:rPr/>
            </w:r>
          </w:p>
          <w:p>
            <w:pPr>
              <w:pStyle w:val="Normal"/>
              <w:ind w:end="-1"/>
              <w:rPr/>
            </w:pPr>
            <w:r>
              <w:rPr/>
            </w:r>
          </w:p>
          <w:p>
            <w:pPr>
              <w:pStyle w:val="Normal"/>
              <w:ind w:end="-1"/>
              <w:rPr/>
            </w:pPr>
            <w:r>
              <w:rPr/>
              <w:t>____________________{customer_signatory_initials_reversed}</w:t>
            </w:r>
          </w:p>
        </w:tc>
        <w:tc>
          <w:tcPr>
            <w:tcW w:w="4961" w:type="dxa"/>
            <w:tcBorders/>
          </w:tcPr>
          <w:p>
            <w:pPr>
              <w:pStyle w:val="Normal"/>
              <w:ind w:end="-1"/>
              <w:rPr>
                <w:sz w:val="21"/>
                <w:szCs w:val="21"/>
              </w:rPr>
            </w:pPr>
            <w:r>
              <w:rPr>
                <w:sz w:val="21"/>
                <w:szCs w:val="21"/>
              </w:rPr>
              <w:t>Индивидуальный предприниматель</w:t>
            </w:r>
          </w:p>
          <w:p>
            <w:pPr>
              <w:pStyle w:val="Normal"/>
              <w:ind w:end="-1"/>
              <w:rPr/>
            </w:pPr>
            <w:r>
              <w:rPr/>
            </w:r>
          </w:p>
          <w:p>
            <w:pPr>
              <w:pStyle w:val="Normal"/>
              <w:ind w:end="-1"/>
              <w:rPr/>
            </w:pPr>
            <w:r>
              <w:rPr/>
            </w:r>
          </w:p>
          <w:p>
            <w:pPr>
              <w:pStyle w:val="Normal"/>
              <w:ind w:end="-1"/>
              <w:rPr/>
            </w:pPr>
            <w:r>
              <w:rPr/>
              <w:t>____________________ {contractor_signatory_initials}</w:t>
            </w:r>
          </w:p>
        </w:tc>
      </w:tr>
    </w:tbl>
    <w:p>
      <w:pPr>
        <w:pStyle w:val="Normal"/>
        <w:spacing w:before="120" w:after="120"/>
        <w:jc w:val="center"/>
        <w:rPr>
          <w:b/>
        </w:rPr>
      </w:pPr>
      <w:r>
        <w:rPr>
          <w:b/>
        </w:rPr>
      </w:r>
      <w:r>
        <w:br w:type="page"/>
      </w:r>
    </w:p>
    <w:p>
      <w:pPr>
        <w:pStyle w:val="Normal"/>
        <w:spacing w:before="120" w:after="120"/>
        <w:jc w:val="center"/>
        <w:rPr>
          <w:b/>
          <w:bCs/>
        </w:rPr>
      </w:pPr>
      <w:r>
        <w:rPr>
          <w:b/>
          <w:bCs/>
        </w:rPr>
      </w:r>
    </w:p>
    <w:p>
      <w:pPr>
        <w:pStyle w:val="Normal"/>
        <w:jc w:val="end"/>
        <w:rPr>
          <w:bCs/>
        </w:rPr>
      </w:pPr>
      <w:r>
        <w:rPr>
          <w:bCs/>
        </w:rPr>
        <w:t>Приложение №1</w:t>
      </w:r>
    </w:p>
    <w:p>
      <w:pPr>
        <w:pStyle w:val="Normal"/>
        <w:jc w:val="end"/>
        <w:rPr>
          <w:bCs/>
        </w:rPr>
      </w:pPr>
      <w:r>
        <w:rPr>
          <w:bCs/>
        </w:rPr>
        <w:t xml:space="preserve">к Договору № </w:t>
      </w:r>
      <w:r>
        <w:rPr/>
        <w:t>{contract_number}</w:t>
      </w:r>
    </w:p>
    <w:p>
      <w:pPr>
        <w:pStyle w:val="Normal"/>
        <w:jc w:val="end"/>
        <w:rPr/>
      </w:pPr>
      <w:r>
        <w:rPr>
          <w:bCs/>
        </w:rPr>
        <w:t>от «{contract_date}» г.</w:t>
      </w:r>
    </w:p>
    <w:p>
      <w:pPr>
        <w:pStyle w:val="Normal"/>
        <w:spacing w:before="120" w:after="120"/>
        <w:jc w:val="center"/>
        <w:rPr>
          <w:b/>
        </w:rPr>
      </w:pPr>
      <w:r>
        <w:rPr>
          <w:b/>
        </w:rPr>
        <w:t>Перечень и состав Оборудования, срок аренды и условия оплаты</w:t>
      </w:r>
    </w:p>
    <w:p>
      <w:pPr>
        <w:pStyle w:val="Normal"/>
        <w:spacing w:before="120" w:after="120"/>
        <w:rPr>
          <w:bCs/>
        </w:rPr>
      </w:pPr>
      <w:r>
        <w:rPr>
          <w:bCs/>
        </w:rPr>
        <w:t>Передаваемая в аренду Оборудование:</w:t>
      </w:r>
    </w:p>
    <w:tbl>
      <w:tblPr>
        <w:tblW w:w="5000" w:type="pct"/>
        <w:jc w:val="start"/>
        <w:tblInd w:w="0" w:type="dxa"/>
        <w:tblLayout w:type="fixed"/>
        <w:tblCellMar>
          <w:top w:w="0" w:type="dxa"/>
          <w:start w:w="108" w:type="dxa"/>
          <w:bottom w:w="0" w:type="dxa"/>
          <w:end w:w="108" w:type="dxa"/>
        </w:tblCellMar>
      </w:tblPr>
      <w:tblGrid>
        <w:gridCol w:w="652"/>
        <w:gridCol w:w="5280"/>
        <w:gridCol w:w="1252"/>
        <w:gridCol w:w="1244"/>
        <w:gridCol w:w="1493"/>
      </w:tblGrid>
      <w:tr>
        <w:trPr>
          <w:trHeight w:val="439" w:hRule="atLeast"/>
        </w:trPr>
        <w:tc>
          <w:tcPr>
            <w:tcW w:w="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val="000000"/>
              </w:rPr>
            </w:pPr>
            <w:r>
              <w:rPr>
                <w:bCs/>
                <w:color w:val="000000"/>
              </w:rPr>
              <w:t>№</w:t>
            </w:r>
          </w:p>
        </w:tc>
        <w:tc>
          <w:tcPr>
            <w:tcW w:w="52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val="000000"/>
              </w:rPr>
            </w:pPr>
            <w:r>
              <w:rPr>
                <w:bCs/>
                <w:color w:val="000000"/>
              </w:rPr>
              <w:t>Наименование Оборудования</w:t>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val="000000"/>
              </w:rPr>
            </w:pPr>
            <w:r>
              <w:rPr>
                <w:bCs/>
                <w:color w:val="000000"/>
              </w:rPr>
              <w:t>Количество</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Cs/>
                <w:color w:val="000000"/>
              </w:rPr>
              <w:t>Цена, руб.</w:t>
            </w:r>
          </w:p>
        </w:tc>
        <w:tc>
          <w:tcPr>
            <w:tcW w:w="14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val="000000"/>
              </w:rPr>
            </w:pPr>
            <w:r>
              <w:rPr>
                <w:bCs/>
                <w:color w:val="000000"/>
              </w:rPr>
              <w:t>Стоимость дня аренды.</w:t>
            </w:r>
          </w:p>
        </w:tc>
      </w:tr>
      <w:tr>
        <w:trPr>
          <w:trHeight w:val="439" w:hRule="atLeast"/>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t>{#items}{item_number}</w:t>
            </w:r>
          </w:p>
        </w:tc>
        <w:tc>
          <w:tcPr>
            <w:tcW w:w="5280" w:type="dxa"/>
            <w:tcBorders>
              <w:top w:val="single" w:sz="4" w:space="0" w:color="000000"/>
              <w:start w:val="single" w:sz="4" w:space="0" w:color="000000"/>
              <w:bottom w:val="single" w:sz="4" w:space="0" w:color="000000"/>
              <w:end w:val="single" w:sz="4" w:space="0" w:color="000000"/>
            </w:tcBorders>
          </w:tcPr>
          <w:p>
            <w:pPr>
              <w:pStyle w:val="Normal"/>
              <w:rPr/>
            </w:pPr>
            <w:r>
              <w:rPr/>
              <w:t>{item_name}</w:t>
            </w:r>
          </w:p>
        </w:tc>
        <w:tc>
          <w:tcPr>
            <w:tcW w:w="1252" w:type="dxa"/>
            <w:tcBorders>
              <w:top w:val="single" w:sz="4" w:space="0" w:color="000000"/>
              <w:start w:val="single" w:sz="4" w:space="0" w:color="000000"/>
              <w:bottom w:val="single" w:sz="4" w:space="0" w:color="000000"/>
              <w:end w:val="single" w:sz="4" w:space="0" w:color="000000"/>
            </w:tcBorders>
          </w:tcPr>
          <w:p>
            <w:pPr>
              <w:pStyle w:val="Normal"/>
              <w:jc w:val="center"/>
              <w:rPr/>
            </w:pPr>
            <w:r>
              <w:rPr/>
              <w:t>{item_quantity}</w:t>
            </w:r>
          </w:p>
        </w:tc>
        <w:tc>
          <w:tcPr>
            <w:tcW w:w="1244" w:type="dxa"/>
            <w:tcBorders>
              <w:top w:val="single" w:sz="4" w:space="0" w:color="000000"/>
              <w:start w:val="single" w:sz="4" w:space="0" w:color="000000"/>
              <w:bottom w:val="single" w:sz="4" w:space="0" w:color="000000"/>
              <w:end w:val="single" w:sz="4" w:space="0" w:color="000000"/>
            </w:tcBorders>
          </w:tcPr>
          <w:p>
            <w:pPr>
              <w:pStyle w:val="Normal"/>
              <w:jc w:val="center"/>
              <w:rPr/>
            </w:pPr>
            <w:r>
              <w:rPr/>
              <w:t>{item_price_per_day}</w:t>
            </w:r>
          </w:p>
        </w:tc>
        <w:tc>
          <w:tcPr>
            <w:tcW w:w="1493" w:type="dxa"/>
            <w:tcBorders>
              <w:top w:val="single" w:sz="4" w:space="0" w:color="000000"/>
              <w:start w:val="single" w:sz="4" w:space="0" w:color="000000"/>
              <w:bottom w:val="single" w:sz="4" w:space="0" w:color="000000"/>
              <w:end w:val="single" w:sz="4" w:space="0" w:color="000000"/>
            </w:tcBorders>
          </w:tcPr>
          <w:p>
            <w:pPr>
              <w:pStyle w:val="Normal"/>
              <w:jc w:val="center"/>
              <w:rPr/>
            </w:pPr>
            <w:r>
              <w:rPr/>
              <w:t>{item_line_total}{/items}</w:t>
            </w:r>
          </w:p>
        </w:tc>
      </w:tr>
      <w:tr>
        <w:trPr>
          <w:trHeight w:val="255" w:hRule="atLeast"/>
        </w:trPr>
        <w:tc>
          <w:tcPr>
            <w:tcW w:w="8428"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bCs/>
              </w:rPr>
              <w:t>Стоимость аренды Оборудования (1 сутки)</w:t>
            </w:r>
          </w:p>
        </w:tc>
        <w:tc>
          <w:tcPr>
            <w:tcW w:w="14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{rental_daily_total}</w:t>
            </w:r>
          </w:p>
        </w:tc>
      </w:tr>
      <w:tr>
        <w:trPr>
          <w:trHeight w:val="300" w:hRule="atLeast"/>
        </w:trPr>
        <w:tc>
          <w:tcPr>
            <w:tcW w:w="8428"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end"/>
              <w:rPr>
                <w:b/>
                <w:bCs/>
              </w:rPr>
            </w:pPr>
            <w:r>
              <w:rPr>
                <w:b/>
                <w:bCs/>
              </w:rPr>
              <w:t>ИТОГО:</w:t>
            </w:r>
          </w:p>
        </w:tc>
        <w:tc>
          <w:tcPr>
            <w:tcW w:w="14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{rental_total}</w:t>
            </w:r>
          </w:p>
        </w:tc>
      </w:tr>
    </w:tbl>
    <w:p>
      <w:pPr>
        <w:pStyle w:val="Normal"/>
        <w:jc w:val="both"/>
        <w:rPr>
          <w:bCs/>
        </w:rPr>
      </w:pPr>
      <w:r>
        <w:rPr>
          <w:bCs/>
        </w:rPr>
      </w:r>
    </w:p>
    <w:p>
      <w:pPr>
        <w:pStyle w:val="Normal"/>
        <w:jc w:val="both"/>
        <w:rPr/>
      </w:pPr>
      <w:r>
        <w:rPr>
          <w:bCs/>
        </w:rPr>
        <w:t>Начало срока аренды: {rental_start_date} г. Конец срока аренды {rental_end_date} г.</w:t>
      </w:r>
    </w:p>
    <w:p>
      <w:pPr>
        <w:pStyle w:val="Normal"/>
        <w:jc w:val="both"/>
        <w:rPr>
          <w:bCs/>
        </w:rPr>
      </w:pPr>
      <w:r>
        <w:rPr>
          <w:bCs/>
        </w:rPr>
        <w:t>Стоимость арендной платы составляет</w:t>
      </w:r>
      <w:r>
        <w:rPr>
          <w:b/>
          <w:bCs/>
        </w:rPr>
        <w:t xml:space="preserve"> {rental_total_numeric} ({rental_total_words}) рублей 00 копеек, </w:t>
      </w:r>
      <w:r>
        <w:rPr>
          <w:bCs/>
        </w:rPr>
        <w:t xml:space="preserve">{vat_clause}. </w:t>
      </w:r>
    </w:p>
    <w:p>
      <w:pPr>
        <w:pStyle w:val="Normal"/>
        <w:jc w:val="both"/>
        <w:rPr>
          <w:bCs/>
        </w:rPr>
      </w:pPr>
      <w:r>
        <w:rPr>
          <w:bCs/>
        </w:rPr>
      </w:r>
    </w:p>
    <w:p>
      <w:pPr>
        <w:pStyle w:val="Normal"/>
        <w:jc w:val="both"/>
        <w:rPr>
          <w:bCs/>
        </w:rPr>
      </w:pPr>
      <w:r>
        <w:rPr>
          <w:bCs/>
        </w:rPr>
        <w:t>Срок оплаты: {payment_term_days} ({payment_term_days_words}) рабочих дней с момента подписания Акта об оказании услуг.</w:t>
      </w:r>
    </w:p>
    <w:p>
      <w:pPr>
        <w:pStyle w:val="Normal"/>
        <w:spacing w:before="120" w:after="120"/>
        <w:jc w:val="both"/>
        <w:rPr>
          <w:bCs/>
          <w:lang w:val="en-US"/>
        </w:rPr>
      </w:pPr>
      <w:r>
        <w:rPr>
          <w:bCs/>
        </w:rPr>
        <w:t>Арендатор обязан в течение 2-х рабочих дней рассмотреть и подписать Акт об оказании услуг или направить мотивированный отказ от подписания. Акт об оказании услуг считается автоматически подписанным, если в течение 2-х рабочих дней Арендатор не направит в адрес Арендодателя подписанный акт или мотивированный отказ от его подписания.</w:t>
      </w:r>
    </w:p>
    <w:p>
      <w:pPr>
        <w:pStyle w:val="Normal"/>
        <w:spacing w:before="120" w:after="120"/>
        <w:jc w:val="center"/>
        <w:rPr>
          <w:b/>
          <w:bCs/>
          <w:lang w:val="en-US"/>
        </w:rPr>
      </w:pPr>
      <w:r>
        <w:rPr>
          <w:b/>
          <w:bCs/>
          <w:lang w:val="en-US"/>
        </w:rPr>
      </w:r>
    </w:p>
    <w:tbl>
      <w:tblPr>
        <w:tblW w:w="5000" w:type="pct"/>
        <w:jc w:val="start"/>
        <w:tblInd w:w="0" w:type="dxa"/>
        <w:tblLayout w:type="fixed"/>
        <w:tblCellMar>
          <w:top w:w="0" w:type="dxa"/>
          <w:start w:w="108" w:type="dxa"/>
          <w:bottom w:w="0" w:type="dxa"/>
          <w:end w:w="108" w:type="dxa"/>
        </w:tblCellMar>
      </w:tblPr>
      <w:tblGrid>
        <w:gridCol w:w="4960"/>
        <w:gridCol w:w="4961"/>
      </w:tblGrid>
      <w:tr>
        <w:trPr/>
        <w:tc>
          <w:tcPr>
            <w:tcW w:w="4960" w:type="dxa"/>
            <w:tcBorders/>
          </w:tcPr>
          <w:p>
            <w:pPr>
              <w:pStyle w:val="Normal"/>
              <w:ind w:end="-1"/>
              <w:rPr/>
            </w:pPr>
            <w:r>
              <w:rPr>
                <w:b/>
              </w:rPr>
              <w:t>Арендатор:</w:t>
            </w:r>
          </w:p>
        </w:tc>
        <w:tc>
          <w:tcPr>
            <w:tcW w:w="4961" w:type="dxa"/>
            <w:tcBorders/>
          </w:tcPr>
          <w:p>
            <w:pPr>
              <w:pStyle w:val="Normal"/>
              <w:ind w:end="-1"/>
              <w:rPr/>
            </w:pPr>
            <w:r>
              <w:rPr>
                <w:b/>
              </w:rPr>
              <w:t xml:space="preserve">Арендодатель: </w:t>
            </w:r>
          </w:p>
        </w:tc>
      </w:tr>
      <w:tr>
        <w:trPr>
          <w:trHeight w:val="809" w:hRule="atLeast"/>
        </w:trPr>
        <w:tc>
          <w:tcPr>
            <w:tcW w:w="4960" w:type="dxa"/>
            <w:tcBorders/>
          </w:tcPr>
          <w:p>
            <w:pPr>
              <w:pStyle w:val="Normal"/>
              <w:ind w:end="-1"/>
              <w:rPr/>
            </w:pPr>
            <w:r>
              <w:rPr/>
              <w:t xml:space="preserve">{customer_signatory_position_short} </w:t>
            </w:r>
          </w:p>
          <w:p>
            <w:pPr>
              <w:pStyle w:val="Normal"/>
              <w:ind w:end="-1"/>
              <w:rPr/>
            </w:pPr>
            <w:r>
              <w:rPr/>
            </w:r>
          </w:p>
          <w:p>
            <w:pPr>
              <w:pStyle w:val="Normal"/>
              <w:ind w:end="-1"/>
              <w:rPr/>
            </w:pPr>
            <w:r>
              <w:rPr/>
            </w:r>
          </w:p>
          <w:p>
            <w:pPr>
              <w:pStyle w:val="Normal"/>
              <w:ind w:end="-1"/>
              <w:rPr/>
            </w:pPr>
            <w:r>
              <w:rPr/>
              <w:t>____________________{customer_signatory_initials_reversed}</w:t>
            </w:r>
          </w:p>
        </w:tc>
        <w:tc>
          <w:tcPr>
            <w:tcW w:w="4961" w:type="dxa"/>
            <w:tcBorders/>
          </w:tcPr>
          <w:p>
            <w:pPr>
              <w:pStyle w:val="Normal"/>
              <w:ind w:end="-1"/>
              <w:rPr>
                <w:sz w:val="21"/>
                <w:szCs w:val="21"/>
              </w:rPr>
            </w:pPr>
            <w:r>
              <w:rPr>
                <w:sz w:val="21"/>
                <w:szCs w:val="21"/>
              </w:rPr>
              <w:t>Индивидуальный предприниматель</w:t>
            </w:r>
          </w:p>
          <w:p>
            <w:pPr>
              <w:pStyle w:val="Normal"/>
              <w:ind w:end="-1"/>
              <w:rPr/>
            </w:pPr>
            <w:r>
              <w:rPr/>
            </w:r>
          </w:p>
          <w:p>
            <w:pPr>
              <w:pStyle w:val="Normal"/>
              <w:ind w:end="-1"/>
              <w:rPr/>
            </w:pPr>
            <w:r>
              <w:rPr/>
            </w:r>
          </w:p>
          <w:p>
            <w:pPr>
              <w:pStyle w:val="Normal"/>
              <w:ind w:end="-1"/>
              <w:rPr/>
            </w:pPr>
            <w:r>
              <w:rPr/>
              <w:t>____________________ {contractor_signatory_initials}</w:t>
            </w:r>
          </w:p>
        </w:tc>
      </w:tr>
    </w:tbl>
    <w:p>
      <w:pPr>
        <w:pStyle w:val="Normal"/>
        <w:spacing w:before="120" w:after="120"/>
        <w:jc w:val="center"/>
        <w:rPr>
          <w:b/>
        </w:rPr>
      </w:pPr>
      <w:r>
        <w:rPr>
          <w:b/>
        </w:rPr>
      </w:r>
    </w:p>
    <w:p>
      <w:pPr>
        <w:pStyle w:val="Normal"/>
        <w:spacing w:before="120" w:after="120"/>
        <w:jc w:val="center"/>
        <w:rPr>
          <w:b/>
        </w:rPr>
      </w:pPr>
      <w:r>
        <w:rPr>
          <w:b/>
        </w:rPr>
      </w:r>
    </w:p>
    <w:p>
      <w:pPr>
        <w:pStyle w:val="Normal"/>
        <w:tabs>
          <w:tab w:val="clear" w:pos="708"/>
          <w:tab w:val="left" w:pos="2685" w:leader="none"/>
        </w:tabs>
        <w:spacing w:before="120" w:after="120"/>
        <w:rPr>
          <w:b/>
        </w:rPr>
      </w:pPr>
      <w:r>
        <w:rPr>
          <w:b/>
        </w:rPr>
        <w:tab/>
      </w:r>
    </w:p>
    <w:sectPr>
      <w:footerReference w:type="default" r:id="rId2"/>
      <w:type w:val="nextPage"/>
      <w:pgSz w:w="11906" w:h="16838"/>
      <w:pgMar w:left="1418" w:right="567" w:gutter="0" w:header="0" w:top="567" w:footer="0" w:bottom="7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91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lvl w:ilvl="1">
      <w:start w:val="1"/>
      <w:isLgl/>
      <w:numFmt w:val="decimal"/>
      <w:lvlText w:val="%1.%2."/>
      <w:lvlJc w:val="start"/>
      <w:pPr>
        <w:tabs>
          <w:tab w:val="num" w:pos="0"/>
        </w:tabs>
        <w:ind w:start="1823" w:hanging="405"/>
      </w:pPr>
      <w:rPr/>
    </w:lvl>
    <w:lvl w:ilvl="2">
      <w:start w:val="1"/>
      <w:isLgl/>
      <w:numFmt w:val="decimal"/>
      <w:lvlText w:val="%1.%2.%3."/>
      <w:lvlJc w:val="start"/>
      <w:pPr>
        <w:tabs>
          <w:tab w:val="num" w:pos="0"/>
        </w:tabs>
        <w:ind w:start="1287" w:hanging="720"/>
      </w:pPr>
      <w:rPr/>
    </w:lvl>
    <w:lvl w:ilvl="3">
      <w:start w:val="1"/>
      <w:isLgl/>
      <w:numFmt w:val="decimal"/>
      <w:lvlText w:val="%1.%2.%3.%4."/>
      <w:lvlJc w:val="start"/>
      <w:pPr>
        <w:tabs>
          <w:tab w:val="num" w:pos="0"/>
        </w:tabs>
        <w:ind w:start="1287" w:hanging="720"/>
      </w:pPr>
      <w:rPr/>
    </w:lvl>
    <w:lvl w:ilvl="4">
      <w:start w:val="1"/>
      <w:isLgl/>
      <w:numFmt w:val="decimal"/>
      <w:lvlText w:val="%1.%2.%3.%4.%5."/>
      <w:lvlJc w:val="start"/>
      <w:pPr>
        <w:tabs>
          <w:tab w:val="num" w:pos="0"/>
        </w:tabs>
        <w:ind w:start="1647" w:hanging="1080"/>
      </w:pPr>
      <w:rPr/>
    </w:lvl>
    <w:lvl w:ilvl="5">
      <w:start w:val="1"/>
      <w:isLgl/>
      <w:numFmt w:val="decimal"/>
      <w:lvlText w:val="%1.%2.%3.%4.%5.%6."/>
      <w:lvlJc w:val="start"/>
      <w:pPr>
        <w:tabs>
          <w:tab w:val="num" w:pos="0"/>
        </w:tabs>
        <w:ind w:start="1647" w:hanging="1080"/>
      </w:pPr>
      <w:rPr/>
    </w:lvl>
    <w:lvl w:ilvl="6">
      <w:start w:val="1"/>
      <w:isLgl/>
      <w:numFmt w:val="decimal"/>
      <w:lvlText w:val="%1.%2.%3.%4.%5.%6.%7."/>
      <w:lvlJc w:val="start"/>
      <w:pPr>
        <w:tabs>
          <w:tab w:val="num" w:pos="0"/>
        </w:tabs>
        <w:ind w:start="2007" w:hanging="1440"/>
      </w:pPr>
      <w:rPr/>
    </w:lvl>
    <w:lvl w:ilvl="7">
      <w:start w:val="1"/>
      <w:isLgl/>
      <w:numFmt w:val="decimal"/>
      <w:lvlText w:val="%1.%2.%3.%4.%5.%6.%7.%8."/>
      <w:lvlJc w:val="start"/>
      <w:pPr>
        <w:tabs>
          <w:tab w:val="num" w:pos="0"/>
        </w:tabs>
        <w:ind w:start="2007" w:hanging="1440"/>
      </w:pPr>
      <w:rPr/>
    </w:lvl>
    <w:lvl w:ilvl="8">
      <w:start w:val="1"/>
      <w:isLgl/>
      <w:numFmt w:val="decimal"/>
      <w:lvlText w:val="%1.%2.%3.%4.%5.%6.%7.%8.%9."/>
      <w:lvlJc w:val="start"/>
      <w:pPr>
        <w:tabs>
          <w:tab w:val="num" w:pos="0"/>
        </w:tabs>
        <w:ind w:start="2367" w:hanging="1800"/>
      </w:pPr>
      <w:rPr/>
    </w:lvl>
  </w:abstractNum>
  <w:abstractNum w:abstractNumId="3">
    <w:lvl w:ilvl="0">
      <w:start w:val="1"/>
      <w:numFmt w:val="lowerLetter"/>
      <w:lvlText w:val="%1."/>
      <w:lvlJc w:val="start"/>
      <w:pPr>
        <w:tabs>
          <w:tab w:val="num" w:pos="0"/>
        </w:tabs>
        <w:ind w:start="1117"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outlineLvl w:val="1"/>
    </w:pPr>
    <w:rPr>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3z0">
    <w:name w:val="WW8Num3z0"/>
    <w:qFormat/>
    <w:rPr/>
  </w:style>
  <w:style w:type="character" w:styleId="WW8Num4z0">
    <w:name w:val="WW8Num4z0"/>
    <w:qFormat/>
    <w:rPr/>
  </w:style>
  <w:style w:type="character" w:styleId="WW8Num5z0">
    <w:name w:val="WW8Num5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en-US" w:bidi="en-US"/>
    </w:rPr>
  </w:style>
  <w:style w:type="character" w:styleId="WW8Num6z0">
    <w:name w:val="WW8Num6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en-US" w:bidi="en-US"/>
    </w:rPr>
  </w:style>
  <w:style w:type="character" w:styleId="WW8Num7z0">
    <w:name w:val="WW8Num7z0"/>
    <w:qFormat/>
    <w:rPr>
      <w:rFonts w:ascii="Times New Roman" w:hAnsi="Times New Roman" w:cs="Times New Roman"/>
      <w:b/>
      <w:i w:val="false"/>
      <w:sz w:val="24"/>
      <w:u w:val="none"/>
    </w:rPr>
  </w:style>
  <w:style w:type="character" w:styleId="WW8Num8z0">
    <w:name w:val="WW8Num8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ru-RU" w:bidi="ru-RU"/>
    </w:rPr>
  </w:style>
  <w:style w:type="character" w:styleId="WW8Num9z0">
    <w:name w:val="WW8Num9z0"/>
    <w:qFormat/>
    <w:rPr/>
  </w:style>
  <w:style w:type="character" w:styleId="WW8Num10z0">
    <w:name w:val="WW8Num10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ru-RU" w:bidi="ru-RU"/>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cs="Times New Roman"/>
      <w:b w:val="false"/>
      <w:i w:val="false"/>
      <w:sz w:val="24"/>
      <w:u w:val="none"/>
    </w:rPr>
  </w:style>
  <w:style w:type="character" w:styleId="WW8Num14z0">
    <w:name w:val="WW8Num14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ru-RU" w:bidi="ru-RU"/>
    </w:rPr>
  </w:style>
  <w:style w:type="character" w:styleId="WW8Num15z0">
    <w:name w:val="WW8Num15z0"/>
    <w:qFormat/>
    <w:rPr>
      <w:rFonts w:ascii="Times New Roman" w:hAnsi="Times New Roman" w:cs="Times New Roman"/>
      <w:b/>
      <w:i w:val="false"/>
      <w:sz w:val="24"/>
      <w:u w:val="none"/>
    </w:rPr>
  </w:style>
  <w:style w:type="character" w:styleId="WW8Num16z0">
    <w:name w:val="WW8Num16z0"/>
    <w:qFormat/>
    <w:rPr/>
  </w:style>
  <w:style w:type="character" w:styleId="WW8Num17z0">
    <w:name w:val="WW8Num17z0"/>
    <w:qFormat/>
    <w:rPr>
      <w:rFonts w:ascii="Times New Roman" w:hAnsi="Times New Roman" w:cs="Times New Roman"/>
      <w:b/>
      <w:i w:val="false"/>
      <w:sz w:val="24"/>
      <w:u w:val="none"/>
    </w:rPr>
  </w:style>
  <w:style w:type="character" w:styleId="WW8Num18z0">
    <w:name w:val="WW8Num18z0"/>
    <w:qFormat/>
    <w:rPr>
      <w:rFonts w:ascii="Times New Roman" w:hAnsi="Times New Roman" w:cs="Times New Roman"/>
      <w:b w:val="false"/>
      <w:i w:val="false"/>
      <w:sz w:val="24"/>
      <w:u w:val="none"/>
    </w:rPr>
  </w:style>
  <w:style w:type="character" w:styleId="WW8Num19z0">
    <w:name w:val="WW8Num19z0"/>
    <w:qFormat/>
    <w:rPr/>
  </w:style>
  <w:style w:type="character" w:styleId="WW8Num20z0">
    <w:name w:val="WW8Num20z0"/>
    <w:qFormat/>
    <w:rPr>
      <w:color w:val="auto"/>
    </w:rPr>
  </w:style>
  <w:style w:type="character" w:styleId="WW8Num21z0">
    <w:name w:val="WW8Num21z0"/>
    <w:qFormat/>
    <w:rPr/>
  </w:style>
  <w:style w:type="character" w:styleId="WW8Num22z0">
    <w:name w:val="WW8Num22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ru-RU" w:bidi="ru-RU"/>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style>
  <w:style w:type="character" w:styleId="WW8Num26z0">
    <w:name w:val="WW8Num26z0"/>
    <w:qFormat/>
    <w:rPr>
      <w:rFonts w:ascii="Arial" w:hAnsi="Arial" w:eastAsia="Arial" w:cs="Arial"/>
      <w:b w:val="false"/>
      <w:bCs w:val="false"/>
      <w:i w:val="false"/>
      <w:iCs w:val="false"/>
      <w:caps w:val="false"/>
      <w:smallCaps w:val="false"/>
      <w:strike w:val="false"/>
      <w:dstrike w:val="false"/>
      <w:color w:val="000000"/>
      <w:spacing w:val="0"/>
      <w:w w:val="100"/>
      <w:position w:val="0"/>
      <w:sz w:val="24"/>
      <w:sz w:val="24"/>
      <w:szCs w:val="24"/>
      <w:u w:val="none"/>
      <w:vertAlign w:val="baseline"/>
      <w:lang w:val="ru-RU" w:bidi="ru-RU"/>
    </w:rPr>
  </w:style>
  <w:style w:type="character" w:styleId="WW8Num27z0">
    <w:name w:val="WW8Num27z0"/>
    <w:qFormat/>
    <w:rPr/>
  </w:style>
  <w:style w:type="character" w:styleId="WW8Num28z0">
    <w:name w:val="WW8Num28z0"/>
    <w:qFormat/>
    <w:rPr/>
  </w:style>
  <w:style w:type="character" w:styleId="Style10">
    <w:name w:val="Основной шрифт абзаца"/>
    <w:qFormat/>
    <w:rPr/>
  </w:style>
  <w:style w:type="character" w:styleId="PageNumber">
    <w:name w:val="Page Number"/>
    <w:basedOn w:val="Style10"/>
    <w:rPr/>
  </w:style>
  <w:style w:type="character" w:styleId="2">
    <w:name w:val="Цитата 2 Знак"/>
    <w:qFormat/>
    <w:rPr>
      <w:i/>
      <w:iCs/>
      <w:color w:val="8064A2"/>
      <w:sz w:val="22"/>
      <w:szCs w:val="22"/>
      <w:lang w:val="ru-RU" w:bidi="ar-SA"/>
    </w:rPr>
  </w:style>
  <w:style w:type="character" w:styleId="Hyperlink">
    <w:name w:val="Hyperlink"/>
    <w:rPr>
      <w:color w:val="0000FF"/>
      <w:u w:val="single"/>
    </w:rPr>
  </w:style>
  <w:style w:type="character" w:styleId="Strong">
    <w:name w:val="Strong"/>
    <w:qFormat/>
    <w:rPr>
      <w:b/>
      <w:bCs/>
    </w:rPr>
  </w:style>
  <w:style w:type="character" w:styleId="apple-converted-space">
    <w:name w:val="apple-converted-space"/>
    <w:basedOn w:val="Style10"/>
    <w:qFormat/>
    <w:rPr/>
  </w:style>
  <w:style w:type="character" w:styleId="Emphasis">
    <w:name w:val="Emphasis"/>
    <w:qFormat/>
    <w:rPr>
      <w:i/>
      <w:iCs/>
    </w:rPr>
  </w:style>
  <w:style w:type="character" w:styleId="Style11">
    <w:name w:val="Знак примечания"/>
    <w:qFormat/>
    <w:rPr>
      <w:sz w:val="16"/>
      <w:szCs w:val="16"/>
    </w:rPr>
  </w:style>
  <w:style w:type="character" w:styleId="Style12">
    <w:name w:val="Текст примечания Знак"/>
    <w:basedOn w:val="Style10"/>
    <w:qFormat/>
    <w:rPr/>
  </w:style>
  <w:style w:type="character" w:styleId="Style13">
    <w:name w:val="Тема примечания Знак"/>
    <w:qFormat/>
    <w:rPr>
      <w:b/>
      <w:bCs/>
    </w:rPr>
  </w:style>
  <w:style w:type="character" w:styleId="Style14">
    <w:name w:val="Верхний колонтитул Знак"/>
    <w:basedOn w:val="Style10"/>
    <w:qFormat/>
    <w:rPr/>
  </w:style>
  <w:style w:type="character" w:styleId="21">
    <w:name w:val="Основной текст (2) + Полужирный"/>
    <w:qFormat/>
    <w:rPr>
      <w:rFonts w:ascii="Arial" w:hAnsi="Arial" w:eastAsia="Arial" w:cs="Arial"/>
      <w:b/>
      <w:bCs/>
      <w:i w:val="false"/>
      <w:iCs w:val="false"/>
      <w:caps w:val="false"/>
      <w:smallCaps w:val="false"/>
      <w:strike w:val="false"/>
      <w:dstrike w:val="false"/>
      <w:color w:val="000000"/>
      <w:spacing w:val="0"/>
      <w:w w:val="100"/>
      <w:position w:val="0"/>
      <w:sz w:val="24"/>
      <w:sz w:val="24"/>
      <w:szCs w:val="24"/>
      <w:u w:val="none"/>
      <w:vertAlign w:val="baseline"/>
      <w:lang w:val="ru-RU" w:bidi="ru-RU"/>
    </w:rPr>
  </w:style>
  <w:style w:type="character" w:styleId="22">
    <w:name w:val="Основной текст (2)_"/>
    <w:qFormat/>
    <w:rPr>
      <w:rFonts w:ascii="Arial" w:hAnsi="Arial" w:eastAsia="Arial" w:cs="Arial"/>
      <w:shd w:fill="FFFFFF" w:val="clear"/>
    </w:rPr>
  </w:style>
  <w:style w:type="character" w:styleId="1">
    <w:name w:val="Заголовок №1_"/>
    <w:qFormat/>
    <w:rPr>
      <w:rFonts w:ascii="Arial" w:hAnsi="Arial" w:eastAsia="Arial" w:cs="Arial"/>
      <w:b/>
      <w:bCs/>
      <w:shd w:fill="FFFFFF" w:val="clear"/>
    </w:rPr>
  </w:style>
  <w:style w:type="character" w:styleId="4">
    <w:name w:val="Основной текст (4)_"/>
    <w:qFormat/>
    <w:rPr>
      <w:rFonts w:ascii="Arial" w:hAnsi="Arial" w:eastAsia="Arial" w:cs="Arial"/>
      <w:b/>
      <w:bCs/>
      <w:shd w:fill="FFFFFF" w:val="clear"/>
    </w:rPr>
  </w:style>
  <w:style w:type="paragraph" w:styleId="Heading">
    <w:name w:val="Heading"/>
    <w:basedOn w:val="Normal"/>
    <w:next w:val="BodyText"/>
    <w:qFormat/>
    <w:pPr>
      <w:jc w:val="center"/>
    </w:pPr>
    <w:rPr>
      <w:b/>
      <w:sz w:val="28"/>
    </w:rPr>
  </w:style>
  <w:style w:type="paragraph" w:styleId="BodyText">
    <w:name w:val="Body Text"/>
    <w:basedOn w:val="Normal"/>
    <w:pPr>
      <w:jc w:val="both"/>
    </w:pPr>
    <w:rPr>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ind w:hanging="0" w:start="720" w:end="0"/>
      <w:jc w:val="both"/>
    </w:pPr>
    <w:rPr>
      <w:sz w:val="24"/>
    </w:rPr>
  </w:style>
  <w:style w:type="paragraph" w:styleId="23">
    <w:name w:val="Основной текст с отступом 2"/>
    <w:basedOn w:val="Normal"/>
    <w:qFormat/>
    <w:pPr>
      <w:ind w:firstLine="708" w:start="0" w:end="0"/>
      <w:jc w:val="both"/>
    </w:pPr>
    <w:rPr>
      <w:sz w:val="24"/>
    </w:rPr>
  </w:style>
  <w:style w:type="paragraph" w:styleId="Subtitle">
    <w:name w:val="Subtitle"/>
    <w:basedOn w:val="Normal"/>
    <w:next w:val="BodyText"/>
    <w:qFormat/>
    <w:pPr>
      <w:ind w:hanging="0" w:start="-851" w:end="0"/>
    </w:pPr>
    <w:rPr>
      <w:sz w:val="24"/>
      <w:lang w:val="en-US"/>
    </w:rPr>
  </w:style>
  <w:style w:type="paragraph" w:styleId="24">
    <w:name w:val="Основной текст 2"/>
    <w:basedOn w:val="Normal"/>
    <w:qFormat/>
    <w:pPr>
      <w:jc w:val="both"/>
    </w:pPr>
    <w:rPr>
      <w:color w:val="FF0000"/>
      <w:sz w:val="24"/>
    </w:rPr>
  </w:style>
  <w:style w:type="paragraph" w:styleId="Style15">
    <w:name w:val="Маркированный список"/>
    <w:basedOn w:val="Normal"/>
    <w:qFormat/>
    <w:pPr>
      <w:jc w:val="both"/>
    </w:pPr>
    <w:rPr>
      <w:sz w:val="24"/>
    </w:rPr>
  </w:style>
  <w:style w:type="paragraph" w:styleId="ConsNormal">
    <w:name w:val="ConsNormal"/>
    <w:qFormat/>
    <w:pPr>
      <w:widowControl w:val="false"/>
      <w:autoSpaceDE w:val="false"/>
      <w:bidi w:val="0"/>
      <w:ind w:firstLine="720" w:start="0" w:end="0"/>
    </w:pPr>
    <w:rPr>
      <w:rFonts w:ascii="Arial" w:hAnsi="Arial" w:eastAsia="Times New Roman" w:cs="Arial"/>
      <w:color w:val="auto"/>
      <w:sz w:val="20"/>
      <w:szCs w:val="20"/>
      <w:lang w:val="ru-RU" w:bidi="ar-SA" w:eastAsia="zh-CN"/>
    </w:rPr>
  </w:style>
  <w:style w:type="paragraph" w:styleId="3">
    <w:name w:val="Основной текст 3"/>
    <w:basedOn w:val="Normal"/>
    <w:qFormat/>
    <w:pPr>
      <w:jc w:val="both"/>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Style16">
    <w:name w:val="Текст выноски"/>
    <w:basedOn w:val="Normal"/>
    <w:qFormat/>
    <w:pPr/>
    <w:rPr>
      <w:rFonts w:ascii="Tahoma" w:hAnsi="Tahoma" w:cs="Tahoma"/>
      <w:sz w:val="16"/>
      <w:szCs w:val="16"/>
    </w:rPr>
  </w:style>
  <w:style w:type="paragraph" w:styleId="Preformat">
    <w:name w:val="Preformat"/>
    <w:qFormat/>
    <w:pPr>
      <w:widowControl/>
      <w:bidi w:val="0"/>
    </w:pPr>
    <w:rPr>
      <w:rFonts w:ascii="Courier New" w:hAnsi="Courier New" w:eastAsia="Times New Roman" w:cs="Courier New"/>
      <w:color w:val="auto"/>
      <w:sz w:val="20"/>
      <w:szCs w:val="20"/>
      <w:lang w:val="ru-RU" w:bidi="ar-SA" w:eastAsia="zh-CN"/>
    </w:rPr>
  </w:style>
  <w:style w:type="paragraph" w:styleId="Style17">
    <w:name w:val="Обычный (веб)"/>
    <w:basedOn w:val="Normal"/>
    <w:qFormat/>
    <w:pPr>
      <w:spacing w:before="280" w:after="280"/>
    </w:pPr>
    <w:rPr>
      <w:sz w:val="24"/>
      <w:szCs w:val="24"/>
    </w:rPr>
  </w:style>
  <w:style w:type="paragraph" w:styleId="ListParagraph">
    <w:name w:val="List Paragraph"/>
    <w:basedOn w:val="Normal"/>
    <w:qFormat/>
    <w:pPr>
      <w:spacing w:lineRule="auto" w:line="276" w:before="120" w:after="120"/>
      <w:ind w:firstLine="708" w:start="0" w:end="0"/>
      <w:contextualSpacing/>
    </w:pPr>
    <w:rPr>
      <w:sz w:val="22"/>
      <w:szCs w:val="22"/>
      <w:lang w:eastAsia="en-US"/>
    </w:rPr>
  </w:style>
  <w:style w:type="paragraph" w:styleId="Quote">
    <w:name w:val="Quote"/>
    <w:basedOn w:val="Normal"/>
    <w:next w:val="Normal"/>
    <w:qFormat/>
    <w:pPr>
      <w:spacing w:lineRule="auto" w:line="276" w:before="120" w:after="120"/>
      <w:ind w:firstLine="708" w:start="0" w:end="0"/>
      <w:jc w:val="both"/>
    </w:pPr>
    <w:rPr>
      <w:i/>
      <w:iCs/>
      <w:color w:val="8064A2"/>
      <w:sz w:val="22"/>
      <w:szCs w:val="22"/>
    </w:rPr>
  </w:style>
  <w:style w:type="paragraph" w:styleId="Warning">
    <w:name w:val="Warning"/>
    <w:basedOn w:val="Normal"/>
    <w:next w:val="Normal"/>
    <w:qFormat/>
    <w:pPr>
      <w:spacing w:lineRule="auto" w:line="276" w:before="120" w:after="120"/>
      <w:ind w:firstLine="708" w:start="0" w:end="0"/>
      <w:jc w:val="both"/>
    </w:pPr>
    <w:rPr>
      <w:i/>
      <w:iCs/>
      <w:color w:val="E36C0A"/>
      <w:sz w:val="22"/>
      <w:szCs w:val="22"/>
      <w:lang w:eastAsia="en-US"/>
    </w:rPr>
  </w:style>
  <w:style w:type="paragraph" w:styleId="Heading11H1">
    <w:name w:val="Heading 1.1.H1"/>
    <w:basedOn w:val="Normal"/>
    <w:next w:val="Normal"/>
    <w:qFormat/>
    <w:pPr>
      <w:keepNext w:val="true"/>
      <w:spacing w:before="240" w:after="60"/>
    </w:pPr>
    <w:rPr>
      <w:rFonts w:ascii="Arial" w:hAnsi="Arial" w:cs="Arial"/>
      <w:b/>
      <w:kern w:val="2"/>
      <w:sz w:val="28"/>
    </w:rPr>
  </w:style>
  <w:style w:type="paragraph" w:styleId="Style18">
    <w:name w:val="Текст примечания"/>
    <w:basedOn w:val="Normal"/>
    <w:qFormat/>
    <w:pPr/>
    <w:rPr/>
  </w:style>
  <w:style w:type="paragraph" w:styleId="Style19">
    <w:name w:val="Тема примечания"/>
    <w:basedOn w:val="Style18"/>
    <w:next w:val="Style18"/>
    <w:qFormat/>
    <w:pPr/>
    <w:rPr>
      <w:b/>
      <w:bCs/>
      <w:lang w:val="en-US"/>
    </w:rPr>
  </w:style>
  <w:style w:type="paragraph" w:styleId="Header">
    <w:name w:val="Header"/>
    <w:basedOn w:val="Normal"/>
    <w:pPr>
      <w:tabs>
        <w:tab w:val="clear" w:pos="708"/>
        <w:tab w:val="center" w:pos="4677" w:leader="none"/>
        <w:tab w:val="right" w:pos="9355" w:leader="none"/>
      </w:tabs>
    </w:pPr>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PlainText">
    <w:name w:val="Plain Text"/>
    <w:basedOn w:val="Normal"/>
    <w:qFormat/>
    <w:pPr/>
    <w:rPr>
      <w:rFonts w:ascii="Courier New" w:hAnsi="Courier New" w:cs="Courier New"/>
    </w:rPr>
  </w:style>
  <w:style w:type="paragraph" w:styleId="25">
    <w:name w:val="Основной текст (2)"/>
    <w:basedOn w:val="Normal"/>
    <w:qFormat/>
    <w:pPr>
      <w:widowControl w:val="false"/>
      <w:shd w:fill="FFFFFF" w:val="clear"/>
      <w:spacing w:lineRule="exact" w:line="254"/>
      <w:ind w:hanging="760" w:start="0" w:end="0"/>
      <w:jc w:val="center"/>
    </w:pPr>
    <w:rPr>
      <w:rFonts w:ascii="Arial" w:hAnsi="Arial" w:eastAsia="Arial" w:cs="Arial"/>
      <w:lang w:val="en-US"/>
    </w:rPr>
  </w:style>
  <w:style w:type="paragraph" w:styleId="11">
    <w:name w:val="Заголовок №1"/>
    <w:basedOn w:val="Normal"/>
    <w:qFormat/>
    <w:pPr>
      <w:widowControl w:val="false"/>
      <w:shd w:fill="FFFFFF" w:val="clear"/>
      <w:spacing w:lineRule="exact" w:line="274" w:before="560" w:after="0"/>
      <w:ind w:hanging="600" w:start="0" w:end="0"/>
      <w:jc w:val="center"/>
      <w:outlineLvl w:val="0"/>
    </w:pPr>
    <w:rPr>
      <w:rFonts w:ascii="Arial" w:hAnsi="Arial" w:eastAsia="Arial" w:cs="Arial"/>
      <w:b/>
      <w:bCs/>
      <w:lang w:val="en-US"/>
    </w:rPr>
  </w:style>
  <w:style w:type="paragraph" w:styleId="41">
    <w:name w:val="Основной текст (4)"/>
    <w:basedOn w:val="Normal"/>
    <w:qFormat/>
    <w:pPr>
      <w:widowControl w:val="false"/>
      <w:shd w:fill="FFFFFF" w:val="clear"/>
      <w:spacing w:lineRule="exact" w:line="274" w:before="0" w:after="560"/>
      <w:ind w:hanging="620" w:start="0" w:end="0"/>
      <w:jc w:val="center"/>
    </w:pPr>
    <w:rPr>
      <w:rFonts w:ascii="Arial" w:hAnsi="Arial" w:eastAsia="Arial" w:cs="Arial"/>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2026-05-25T06:57:00Z</dcterms:created>
  <dc:creator>olga</dc:creator>
  <dc:description/>
  <cp:keywords/>
  <dc:language>en-US</dc:language>
  <cp:lastModifiedBy>Наталия</cp:lastModifiedBy>
  <cp:lastPrinted>2017-09-29T13:58:00Z</cp:lastPrinted>
  <dcterms:modified xsi:type="dcterms:W3CDTF">2026-05-25T07:59:00Z</dcterms:modified>
  <cp:revision>5</cp:revision>
  <dc:subject/>
  <dc:title>ДОГОВОР № 1-1/11/А</dc:title>
</cp:coreProperties>
</file>