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МИНОБРНАУКИ РОССИИ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учреждение высшего образования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«Ижевский государственный технический университет имени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М.Т. Калашникова»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Инженерно-технологический факультет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Кафедра «Мехатронные системы»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Направление подготовки 15.03.06 «Мехатроника и робототехника»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Профиль: Мехатронные системы в машино- и приборостроении</w:t>
      </w:r>
    </w:p>
    <w:p>
      <w:pPr>
        <w:spacing w:after="0" w:before="0" w:line="420" w:lineRule="exact"/>
        <w:jc w:val="both"/>
      </w:pPr>
      <w:r>
        <w:rPr>
          <w:rFonts w:ascii="Times New Roman" w:hAnsi="Times New Roman"/>
          <w:sz w:val="28"/>
        </w:rPr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32"/>
        </w:rPr>
        <w:t>ОТЧЕТ ПО ПРАКТИКЕ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>Производственная практика. Научно-исследовательская работа</w:t>
      </w:r>
    </w:p>
    <w:p>
      <w:pPr>
        <w:spacing w:after="0" w:before="0" w:line="420" w:lineRule="exact"/>
        <w:jc w:val="both"/>
      </w:pPr>
      <w:r>
        <w:rPr>
          <w:rFonts w:ascii="Times New Roman" w:hAnsi="Times New Roman"/>
          <w:sz w:val="28"/>
        </w:rPr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>Цифровой двойник линейного электромеханического привода</w:t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>на базе БДПТ Oriental Motor BLH5100KC (100 Вт)</w:t>
      </w:r>
    </w:p>
    <w:p>
      <w:pPr>
        <w:spacing w:after="0" w:before="0" w:line="420" w:lineRule="exact"/>
        <w:jc w:val="both"/>
      </w:pPr>
      <w:r>
        <w:rPr>
          <w:rFonts w:ascii="Times New Roman" w:hAnsi="Times New Roman"/>
          <w:sz w:val="28"/>
        </w:rPr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>Вариант 6</w:t>
      </w:r>
    </w:p>
    <w:p>
      <w:pPr>
        <w:spacing w:after="0" w:before="0" w:line="420" w:lineRule="exact"/>
        <w:jc w:val="both"/>
      </w:pPr>
      <w:r>
        <w:rPr>
          <w:rFonts w:ascii="Times New Roman" w:hAnsi="Times New Roman"/>
          <w:sz w:val="28"/>
        </w:rPr>
      </w:r>
    </w:p>
    <w:p>
      <w:pPr>
        <w:spacing w:after="0" w:before="0" w:line="420" w:lineRule="exact"/>
        <w:jc w:val="both"/>
      </w:pPr>
      <w:r>
        <w:rPr>
          <w:rFonts w:ascii="Times New Roman" w:hAnsi="Times New Roman"/>
          <w:sz w:val="28"/>
        </w:rPr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Выполнил обучающийся ______ /________________________, 3 курс</w:t>
      </w:r>
    </w:p>
    <w:p>
      <w:pPr>
        <w:spacing w:after="0" w:before="0" w:line="420" w:lineRule="exact"/>
        <w:jc w:val="both"/>
      </w:pPr>
      <w:r>
        <w:rPr>
          <w:rFonts w:ascii="Times New Roman" w:hAnsi="Times New Roman"/>
          <w:sz w:val="28"/>
        </w:rPr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Дата сдачи отчёта: «___» __________2026 г.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Дата аттестации «____»_________ 2026 г.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Оценка ________________________</w:t>
      </w:r>
    </w:p>
    <w:p>
      <w:pPr>
        <w:spacing w:after="0" w:before="0" w:line="420" w:lineRule="exact"/>
        <w:jc w:val="both"/>
      </w:pPr>
      <w:r>
        <w:rPr>
          <w:rFonts w:ascii="Times New Roman" w:hAnsi="Times New Roman"/>
          <w:sz w:val="28"/>
        </w:rPr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Руководитель практики от ИжГТУ им. М.Т. Калашникова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к.т.н., доцент кафедры «Мехатронные системы» /_____________ /Ю.Р. Никитин</w:t>
      </w:r>
    </w:p>
    <w:p>
      <w:pPr>
        <w:spacing w:after="0" w:before="0" w:line="420" w:lineRule="exact"/>
        <w:jc w:val="both"/>
      </w:pPr>
      <w:r>
        <w:rPr>
          <w:rFonts w:ascii="Times New Roman" w:hAnsi="Times New Roman"/>
          <w:sz w:val="28"/>
        </w:rPr>
      </w:r>
    </w:p>
    <w:p>
      <w:pPr>
        <w:spacing w:before="0" w:after="120"/>
        <w:jc w:val="center"/>
      </w:pPr>
      <w:r>
        <w:rPr>
          <w:rFonts w:ascii="Times New Roman" w:hAnsi="Times New Roman"/>
          <w:b/>
          <w:sz w:val="28"/>
        </w:rPr>
        <w:t>Ижевск-2026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Актуальность. Цифровые двойники (Digital Twin) охватывают все большее применение в мехатронике, робототехнике и промышленной автоматизации. Концепция цифрового двойника по М.Гривсу (Grieves, 2014) включает три компонента: физический актив (Physical Twin), цифровой поток данных (Digital Thread) и виртуальный двойник (Virtual Twin). Бесколлекторные двигатели постоянного тока (БДПТ) являются ключевыми элементами современных мехатронных систем, AGV-роботов и точных линейных актуаторов. Предиктивное обслуживание (Predictive Maintenance) на основе цифрового двойника позволяет сократить незапланированные простои и повысить надёжность оборудования.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Цель работы: разработка программного прототипа цифрового двойника (LADTS — Linear Actuator Digital Twin Simulator) линейного электромеханического привода на базе БДПТ Oriental Motor BLH5100KC (100 Вт), реализующего полный цикл: Physical Twin → Digital Thread → Virtual Twin.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Объект исследования: линейный актуатор на базе BDPT BLH5100KC с шарико-винтовой передачей (ШВП, шаг 20 мм), ход каретки 300 мм.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Задачи работы: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разработка полной электромеханической модели фазы БДПТ с динамикой тока;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моделирование линейной динамики каретки через ШВП с учётом отражённой инерции ротора;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построение тепловой модели на основе физических параметров двигателя (R, C_th, R_th);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организация цифрового потока данных через MQTT и 3D-визуализация в браузере.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1 ТЕОРЕТИЧЕСКАЯ ЧАСТЬ И ОБЪЕКТ ИССЛЕДОВАНИЯ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1.1. Математическая модель объекта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В качестве объекта исследования выбран двигатель Oriental Motor BLH5100KC — промышленный БДПТ серии BLH мощностью 100 Вт. Основные параметры: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Номинальное напряжение (Uном): 24 В DC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Номинальная скорость (nном): 3000 об/мин (314,16 рад/с)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Номинальная мощность: 100 Вт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Сопротивление фазы (R): 0,450 Ом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Индуктивность фазы (L): 0,800 мГн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Константа противо-ЭДС (Kе): 0,076 В/(рад/с)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Константа момента (Kт): 0,076 Н·м/А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Момент инерции ротора (J): 45×10⁻⁶ кг·м²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Число пар полюсов (p): 4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Электрическое состояние фазы БДПТ описывается первым порядком ОДУ: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U = R·i + L·di/dt + Kе·ω,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где U — напряжение фазы [В], i — фазовый ток [А], ω — угловая скорость вала [рад/с].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Механическое уравнение движения каретки через ШВП: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mэфф·dv/dt = Fмотор − Fтрение(v) − Fнагрузка,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Fтрение(v) = Fс·tanh(v/vс) + b·v,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где mэфф = mкар + J/r² = 2,5 + 4,44 = 6,94 кг — эффективная масса с учётом отражённой инерции ротора; r = lead/(2π) = 0,020/(2π) ≈ 3,183 мм/рад — кинематический коэффициент ШВП (шаг lead = 20 мм).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Тепловая модель обмотки (люмпед, первый порядок):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dT/dt = α·I² − β·(T − Tсред),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где α = R/C_th — коэффициент джоулева нагрева; β = 1/(R_th·C_th) — коэффициент ньютонова охлаждения. Для BLH5100KC: C_th ≈ 25 Дж/К, R_th ≈ 3,5 К/Вт, α = 0,018 К/(с·А²), β = 0,0114 с⁻¹, τ = 87 с.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Позиционный ПИД-регулятор с производной по измерению (anti-kick) и ограничением интеграла (anti-windup):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u = Kп·e + Kи·∫e·dt − Kд·v,  e = xцель − x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Параметры: Kп = 1200 Н/м, Kи = 30 Н/(м·с), Kд = 90 Н·с/м, ограничение интеграла = 5 м·с.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1.2. Архитектура системы цифрового двойника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Проект LADTS реализует трёхуровневую архитектуру цифрового двойника по М.Гривсу: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Physical Twin (физический актив): симулятор на Python, интегрирующий ОДУ привода с частотой 200 Гц (шаг интегрирования dt = 5 мс, метод RK4);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Digital Thread (цифровой поток): брокер Mosquitto 2.x с двумя слушателями: TCP 1883 (симулятор) и WebSocket 9001 (браузер);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Virtual Twin (виртуальный двойник): браузерный дашборд на Three.js + Chart.js + mqtt.js с 3D-визуализацией и четырьмя графиками в реальном времени.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MQTT-топики системы: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digital_twin/actuator/telemetry — телеметрия (QoS 0, 30 Гц);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digital_twin/actuator/command — команды управления (QoS 1);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digital_twin/actuator/status — статус симулятора (QoS 1, retained, LWT).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1.3. Особенности БДПТ Oriental Motor BLH5100KC серии BLH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BLH5100KC относится к компактным платам серии BLH фирмы Oriental Motor. Основные особенности: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питание драйвера: строго 24 В DC (безопасное низковольтное питание, идеально для аккумуляторных систем);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аналоговое управление скоростью (потенциометр или сигнал 0–5 В);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диапазон скоростей: 100–3000 об/мин;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степень защиты IP20 (для установки в шкаф);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электрическая постоянная времени: τэ = L/R = 0,8·10⁻³ / 0,45 ≈ 1,78 мс;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области применения: конвейеры, медицинское оборудование, AGV-роботы, работающие от аккумуляторов.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2 МЕТОДОЛОГИЯ И РАЗРАБОТКА ПРОГРАММНОГО КОМПЛЕКСА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2.1. Структура симулятора (Physical Twin)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Симулятор реализован на Python 3.11 с asyncio-циклом и состоит из следующих модулей: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motor_config.py — каталог двигателей: MotorConfig, BallScrewParams, параметры BLH5100KC;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current_model.py — полная электрическая модель фазы MotorElectricalModel;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actuator_model.py — динамика каретки (RK4), отражённая инерция ротора;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thermal_model.py — тепловая модель, ThermalParams.from_motor() из параметров двигателя;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controller.py — ПИД-регулятор позиции с anti-windup и E-stop;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load_model.py — стохастическая нагрузка (процесс Орнштейна-Уленбека, спайки);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sensors.py — шум датчиков, дрейф, задержка измерений;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health.py — классификатор NORMAL/WARNING/ERROR с гистерезисом;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main.py — asyncio-цикл: 200 Гц физика + 30 Гц публикация.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2.2. Электрическая модель фазы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Для интегрирования жёсткой ОДУ L·dI/dt = U − R·I − Kе·ω применяется неявный (обратный) метод Эйлера, неусловно устойчивый при любом соотношении dt/τэ: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Iнов = (Iстар + dt/L · (U − Kе·|ω|)) / (1 + dt·R/L)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Напряжение фазы формируется по принципу прямого фидерфворда: U = R·Iзапр + Kе·|ω|, что обеспечивает малые переходные процессы (τэ = 1,78 мс) для BLH5100KC.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2.3. Цифровой поток данных (MQTT)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TelemetryFrame содержит: timestamp, position, velocity, acceleration, current, temperature, force_motor, force_load, target_position, health, motor_id. Публикуется с частотой 30 Гц (QoS 0). Команды управления (QoS 1) включают поля: target_position, emergency_stop, paused, reset, record, select_motor (горячая замена двигателя без перезапуска).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2.4. Виртуальный двойник (Dashboard)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Браузерный дашборд реализован на ванильном JavaScript (без фреймворка) и включает: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3D-сцена на Three.js 0.160.0: рельс, каретка, LERP-анимация, цвет по статусу здоровья;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четыре графика Chart.js 4.4.4 с скользящим окном ~8 с: позиция, скорость, ток, температура;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HUD с полями: позиция, скорость, ток, температура, состояние, двигатель;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кнопки выбора двигателя: BLH5100KC / BLE230 с синхронизацией через телеметрию.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3 РЕЗУЛЬТАТЫ ИССЛЕДОВАНИЯ И ОБСУЖДЕНИЕ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3.1. Параметры установившегося режима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В результате моделирования привода на базе BLH5100KC получены следующие расчётные значения: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Эффективная масса системы: mэфф = 6,94 кг (2,5 кг каретка + 4,44 кг отражённая инерция ротора);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Электрическая постоянная времени: τэ = 1,78 мс;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Максимальная сила: Fмакс = 1085 Н (пик), Fном = 362 Н;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Установившаяся температура при I = 1,5 А: T_ss = 25 + (0,018/0,0114)·1,5² ≈ 60,6 °C;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Время переходного процесса для шага 150 мм: ~0,5 с;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Тепловая постоянная времени: τт = 1/β = 87 с.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3.2. Функциональные возможности системы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Реализованный программный комплекс обеспечивает: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горячую замену двигателя (BLH5100KC ↔ BLE230) без перезапуска симулятора;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классификацию состояния: WARNING при 70 °C/4 А, ERROR при 90 °C/6,5 А с гистерезисом 3 °C/0,3 А;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стохастическую нагрузку (процесс Орнштейна-Уленбека: среднее 4 Н, спайки ±15 Н);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запись телеметрии в JSONL-файл (папка recordings/) с meta.json-снимком всех параметров;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аварийный стоп (вязкое торможение с коэфф. 600 Н·с/м).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3.3. Практическая значимость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Разработанный прототип демонстрирует полный цикл цифрового двойника по Гривсу и может быть расширен до системы предиктивного обслуживания за счёт использования накопленных JSONL-записей телеметрии. Физически точная электромеханическая модель (R, L, Kе, Kт, J) обеспечивает реалистичные переходные процессы тока и температуры, что критично важно для задач обнаружения отказов и оценки остаточного ресурса двигателя.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В ходе прохождения научно-исследовательской практики был разработан и программно реализован цифровой двойник LADTS линейного электромеханического привода на базе БДПТ Oriental Motor BLH5100KC.</w:t>
      </w:r>
    </w:p>
    <w:p>
      <w:pPr>
        <w:spacing w:after="0" w:before="0" w:line="420" w:lineRule="exact"/>
        <w:ind w:firstLine="709"/>
        <w:jc w:val="both"/>
      </w:pPr>
      <w:r>
        <w:rPr>
          <w:rFonts w:ascii="Times New Roman" w:hAnsi="Times New Roman"/>
          <w:sz w:val="28"/>
        </w:rPr>
        <w:t>В результате выполненных работ: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создан каталог параметров двигателей (motor_config.py) с даташитными значениями R, L, Kе, Kт, J, p и параметрами ШВП;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алгебраическая модель тока заменена полной электрической ОДУ фазы с неявным интегратором Эйлера;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в модель механики включена отражённая инерция ротора J/r² через кинематику ШВП;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тепловая модель переписана на физически обоснованные параметры (альфа = R/C_th, бета = 1/(R_th·C_th));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реализована горячая замена двигателя через MQTT-команду select_motor;</w:t>
      </w:r>
    </w:p>
    <w:p>
      <w:pPr>
        <w:spacing w:after="0" w:line="420" w:lineRule="exact"/>
        <w:ind w:left="709" w:hanging="283"/>
        <w:jc w:val="both"/>
      </w:pPr>
      <w:r>
        <w:rPr>
          <w:rFonts w:ascii="Times New Roman" w:hAnsi="Times New Roman"/>
          <w:sz w:val="28"/>
        </w:rPr>
        <w:t>— создан браузерный дашборд с 3D-визуализацией, четырьмя графиками и кнопками выбора двигателя.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СПИСОК ЛИТЕРАТУРЫ</w:t>
      </w:r>
    </w:p>
    <w:p>
      <w:pPr>
        <w:spacing w:after="0" w:before="0" w:line="420" w:lineRule="exact"/>
        <w:jc w:val="both"/>
      </w:pPr>
      <w:r>
        <w:rPr>
          <w:rFonts w:ascii="Times New Roman" w:hAnsi="Times New Roman"/>
          <w:sz w:val="28"/>
        </w:rPr>
        <w:t>1. Никитин, Ю.Р. Идентификация и диагностика мехатронных систем : учебное пособие / Ю.Р. Никитин, С.А. Трефилов. — М.: Ай Пи Ар Медиа, 2023. — 123 с.</w:t>
      </w:r>
    </w:p>
    <w:p>
      <w:pPr>
        <w:spacing w:after="0" w:before="0" w:line="420" w:lineRule="exact"/>
        <w:jc w:val="both"/>
      </w:pPr>
      <w:r>
        <w:rPr>
          <w:rFonts w:ascii="Times New Roman" w:hAnsi="Times New Roman"/>
          <w:sz w:val="28"/>
        </w:rPr>
        <w:t>2. Grieves, M. Digital Twin: Manufacturing Excellence through Virtual Factory Replication. — 2014. — 7 p.</w:t>
      </w:r>
    </w:p>
    <w:p>
      <w:pPr>
        <w:spacing w:after="0" w:before="0" w:line="420" w:lineRule="exact"/>
        <w:jc w:val="both"/>
      </w:pPr>
      <w:r>
        <w:rPr>
          <w:rFonts w:ascii="Times New Roman" w:hAnsi="Times New Roman"/>
          <w:sz w:val="28"/>
        </w:rPr>
        <w:t>3. Oriental Motor Co. BLH Series Product Manual. — 2023. — URL: https://www.orientalmotor.com</w:t>
      </w:r>
    </w:p>
    <w:p>
      <w:pPr>
        <w:spacing w:after="0" w:before="0" w:line="420" w:lineRule="exact"/>
        <w:jc w:val="both"/>
      </w:pPr>
      <w:r>
        <w:rPr>
          <w:rFonts w:ascii="Times New Roman" w:hAnsi="Times New Roman"/>
          <w:sz w:val="28"/>
        </w:rPr>
        <w:t>4. Eclipse Foundation. Paho MQTT Python Client Documentation. — 2024. — URL: https://eclipse.dev/paho/index.php?page=clients/python/index.php</w:t>
      </w:r>
    </w:p>
    <w:p>
      <w:pPr>
        <w:spacing w:after="0" w:before="0" w:line="420" w:lineRule="exact"/>
        <w:jc w:val="both"/>
      </w:pPr>
      <w:r>
        <w:rPr>
          <w:rFonts w:ascii="Times New Roman" w:hAnsi="Times New Roman"/>
          <w:sz w:val="28"/>
        </w:rPr>
        <w:t>5. Three.js Documentation. — 2024. — URL: https://threejs.org/docs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ПРИЛОЖЕНИЕ А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sz w:val="28"/>
        </w:rPr>
        <w:t>(обязательное)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t>КЛЮЧЕВЫЕ ФРАГМЕНТЫ ПРОГРАММЫ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Конфигурация двигателя BLH5100KC (motor_config.py)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># Oriental Motor BLH Series — 100 W, 24 V DC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>BLH5100KC = MotorConfig(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motor_id="BLH5100KC",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label="Oriental Motor BLH5100KC (100 W)",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voltage_nominal=24.0,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resistance=0.450,      # Ohm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inductance=0.800e-3,   # H (0.800 mH)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ke=0.076,              # V/(rad/s)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kt=0.076,              # N*m/A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inertia=45.0e-6,       # kg*m^2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pole_pairs=4,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speed_nominal=3000 * 2 * pi / 60,  # 314.16 rad/s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torque_nominal=0.320,  # N*m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torque_max=0.960,      # N*m (3x nominal)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current_max=12.0,      # A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 xml:space="preserve">    screw=BallScrewParams(lead=0.020, efficiency=0.90),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>)</w:t>
      </w:r>
    </w:p>
    <w:p>
      <w:pPr>
        <w:spacing w:before="200" w:after="80"/>
        <w:ind w:firstLine="709"/>
        <w:jc w:val="left"/>
      </w:pPr>
      <w:r>
        <w:rPr>
          <w:rFonts w:ascii="Times New Roman" w:hAnsi="Times New Roman"/>
          <w:b/>
          <w:sz w:val="28"/>
        </w:rPr>
        <w:t>Неявный метод Эйлера для L*dI/dt (current_model.py)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># Implicit (backward) Euler — stable for any tau_e/dt ratio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># I_new = (I_old + dt/L * (U - Ke*|omega|)) / (1 + dt*R/L)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>back_emf  = cfg.ke * abs(omega)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>numerator = i_old + (dt / cfg.inductance) * (u_applied - back_emf)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>denominator = 1.0 + dt * cfg.resistance / cfg.inductance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>i_new = numerator / denominator</w:t>
      </w:r>
    </w:p>
    <w:p>
      <w:pPr>
        <w:spacing w:after="0"/>
        <w:ind w:left="709"/>
      </w:pPr>
      <w:r>
        <w:rPr>
          <w:rFonts w:ascii="Courier New" w:hAnsi="Courier New"/>
          <w:sz w:val="22"/>
        </w:rPr>
        <w:t>i_new = max(0.0, min(i_new, cfg.current_max))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