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FD0" w:rsidRDefault="000C0D42">
      <w:pPr>
        <w:jc w:val="center"/>
      </w:pPr>
      <w:r>
        <w:rPr>
          <w:noProof/>
          <w:lang w:val="fr-FR" w:eastAsia="fr-FR"/>
        </w:rPr>
        <w:drawing>
          <wp:inline distT="114300" distB="114300" distL="114300" distR="114300">
            <wp:extent cx="3916706" cy="985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916706" cy="985838"/>
                    </a:xfrm>
                    <a:prstGeom prst="rect">
                      <a:avLst/>
                    </a:prstGeom>
                    <a:ln/>
                  </pic:spPr>
                </pic:pic>
              </a:graphicData>
            </a:graphic>
          </wp:inline>
        </w:drawing>
      </w:r>
    </w:p>
    <w:p w:rsidR="00CD1FD0" w:rsidRDefault="00CD1FD0"/>
    <w:p w:rsidR="00CD1FD0" w:rsidRPr="00D944D8" w:rsidRDefault="000C0D42">
      <w:pPr>
        <w:jc w:val="center"/>
        <w:rPr>
          <w:b/>
          <w:sz w:val="36"/>
          <w:szCs w:val="36"/>
          <w:lang w:val="en-GB"/>
        </w:rPr>
      </w:pPr>
      <w:r w:rsidRPr="00D944D8">
        <w:rPr>
          <w:b/>
          <w:sz w:val="36"/>
          <w:szCs w:val="36"/>
          <w:lang w:val="en-GB"/>
        </w:rPr>
        <w:t>Ca</w:t>
      </w:r>
      <w:r w:rsidR="00D8380D">
        <w:rPr>
          <w:b/>
          <w:sz w:val="36"/>
          <w:szCs w:val="36"/>
          <w:lang w:val="en-GB"/>
        </w:rPr>
        <w:t xml:space="preserve">ll for proposal </w:t>
      </w:r>
      <w:r w:rsidR="0003350B">
        <w:rPr>
          <w:b/>
          <w:sz w:val="36"/>
          <w:szCs w:val="36"/>
          <w:lang w:val="en-GB"/>
        </w:rPr>
        <w:t>–</w:t>
      </w:r>
      <w:r w:rsidR="00D8380D">
        <w:rPr>
          <w:b/>
          <w:sz w:val="36"/>
          <w:szCs w:val="36"/>
          <w:lang w:val="en-GB"/>
        </w:rPr>
        <w:t xml:space="preserve"> </w:t>
      </w:r>
      <w:r w:rsidR="0003350B">
        <w:rPr>
          <w:b/>
          <w:sz w:val="36"/>
          <w:szCs w:val="36"/>
          <w:lang w:val="en-GB"/>
        </w:rPr>
        <w:t>February 2020</w:t>
      </w:r>
    </w:p>
    <w:p w:rsidR="00CD1FD0" w:rsidRPr="00D944D8" w:rsidRDefault="000C0D42">
      <w:pPr>
        <w:jc w:val="center"/>
        <w:rPr>
          <w:b/>
          <w:sz w:val="36"/>
          <w:szCs w:val="36"/>
          <w:lang w:val="en-GB"/>
        </w:rPr>
      </w:pPr>
      <w:r w:rsidRPr="00D944D8">
        <w:rPr>
          <w:b/>
          <w:sz w:val="36"/>
          <w:szCs w:val="36"/>
          <w:lang w:val="en-GB"/>
        </w:rPr>
        <w:t>Application document</w:t>
      </w:r>
    </w:p>
    <w:p w:rsidR="00CD1FD0" w:rsidRPr="00D944D8" w:rsidRDefault="00CD1FD0">
      <w:pPr>
        <w:rPr>
          <w:lang w:val="en-GB"/>
        </w:rPr>
      </w:pPr>
    </w:p>
    <w:p w:rsidR="00CD1FD0" w:rsidRPr="00D944D8" w:rsidRDefault="0003350B">
      <w:pPr>
        <w:jc w:val="center"/>
        <w:rPr>
          <w:lang w:val="en-GB"/>
        </w:rPr>
      </w:pPr>
      <w:r>
        <w:rPr>
          <w:i/>
          <w:lang w:val="en-GB"/>
        </w:rPr>
        <w:t>2</w:t>
      </w:r>
      <w:r w:rsidR="000C0D42" w:rsidRPr="00D944D8">
        <w:rPr>
          <w:i/>
          <w:lang w:val="en-GB"/>
        </w:rPr>
        <w:t xml:space="preserve"> pages maximum in Arial 11, please send the document </w:t>
      </w:r>
      <w:r w:rsidR="005A737F">
        <w:rPr>
          <w:i/>
          <w:lang w:val="en-GB"/>
        </w:rPr>
        <w:br/>
      </w:r>
      <w:r w:rsidR="000C0D42" w:rsidRPr="00D944D8">
        <w:rPr>
          <w:i/>
          <w:lang w:val="en-GB"/>
        </w:rPr>
        <w:t xml:space="preserve">to </w:t>
      </w:r>
      <w:hyperlink r:id="rId8" w:history="1">
        <w:r w:rsidR="005A737F" w:rsidRPr="00BF1976">
          <w:rPr>
            <w:rStyle w:val="Lienhypertexte"/>
            <w:i/>
            <w:lang w:val="en-GB"/>
          </w:rPr>
          <w:t>data.institute@univ-grenoble-alpes.fr</w:t>
        </w:r>
      </w:hyperlink>
      <w:r w:rsidR="00D8380D">
        <w:rPr>
          <w:i/>
          <w:lang w:val="en-GB"/>
        </w:rPr>
        <w:t xml:space="preserve"> before </w:t>
      </w:r>
      <w:r>
        <w:rPr>
          <w:i/>
          <w:lang w:val="en-GB"/>
        </w:rPr>
        <w:t>February 20</w:t>
      </w:r>
      <w:r w:rsidRPr="0003350B">
        <w:rPr>
          <w:i/>
          <w:vertAlign w:val="superscript"/>
          <w:lang w:val="en-GB"/>
        </w:rPr>
        <w:t>th</w:t>
      </w:r>
      <w:r>
        <w:rPr>
          <w:i/>
          <w:lang w:val="en-GB"/>
        </w:rPr>
        <w:t xml:space="preserve"> 2020</w:t>
      </w:r>
      <w:r w:rsidR="000C0D42" w:rsidRPr="00D944D8">
        <w:rPr>
          <w:i/>
          <w:lang w:val="en-GB"/>
        </w:rPr>
        <w:t>, 23:59.</w:t>
      </w:r>
      <w:r w:rsidR="000C0D42" w:rsidRPr="00D944D8">
        <w:rPr>
          <w:lang w:val="en-GB"/>
        </w:rPr>
        <w:t xml:space="preserve"> </w:t>
      </w:r>
    </w:p>
    <w:p w:rsidR="00CD1FD0" w:rsidRPr="00D944D8" w:rsidRDefault="00CD1FD0">
      <w:pPr>
        <w:rPr>
          <w:lang w:val="en-GB"/>
        </w:rPr>
      </w:pPr>
    </w:p>
    <w:p w:rsidR="00CD1FD0" w:rsidRPr="00D944D8" w:rsidRDefault="00CD1FD0">
      <w:pPr>
        <w:rPr>
          <w:lang w:val="en-GB"/>
        </w:rPr>
      </w:pPr>
    </w:p>
    <w:p w:rsidR="00CD1FD0" w:rsidRPr="00D944D8" w:rsidRDefault="000C0D42">
      <w:pPr>
        <w:rPr>
          <w:b/>
          <w:lang w:val="en-GB"/>
        </w:rPr>
      </w:pPr>
      <w:r w:rsidRPr="00D944D8">
        <w:rPr>
          <w:b/>
          <w:lang w:val="en-GB"/>
        </w:rPr>
        <w:t>Project Title</w:t>
      </w:r>
    </w:p>
    <w:p w:rsidR="00CD1FD0" w:rsidRPr="00D944D8" w:rsidRDefault="000C0D42">
      <w:pPr>
        <w:rPr>
          <w:b/>
          <w:i/>
          <w:color w:val="FF0000"/>
          <w:sz w:val="20"/>
          <w:szCs w:val="20"/>
          <w:lang w:val="en-GB"/>
        </w:rPr>
      </w:pPr>
      <w:r w:rsidRPr="00D944D8">
        <w:rPr>
          <w:b/>
          <w:i/>
          <w:color w:val="FF0000"/>
          <w:sz w:val="20"/>
          <w:szCs w:val="20"/>
          <w:lang w:val="en-GB"/>
        </w:rPr>
        <w:t>[Enter project title.]</w:t>
      </w:r>
    </w:p>
    <w:p w:rsidR="00CD1FD0" w:rsidRPr="00D944D8" w:rsidRDefault="00CD1FD0">
      <w:pPr>
        <w:rPr>
          <w:lang w:val="en-G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1FD0" w:rsidRPr="001D76C0">
        <w:tc>
          <w:tcPr>
            <w:tcW w:w="9029" w:type="dxa"/>
            <w:shd w:val="clear" w:color="auto" w:fill="auto"/>
            <w:tcMar>
              <w:top w:w="100" w:type="dxa"/>
              <w:left w:w="100" w:type="dxa"/>
              <w:bottom w:w="100" w:type="dxa"/>
              <w:right w:w="100" w:type="dxa"/>
            </w:tcMar>
          </w:tcPr>
          <w:p w:rsidR="00CD1FD0" w:rsidRPr="001D76C0" w:rsidRDefault="001D76C0">
            <w:pPr>
              <w:widowControl w:val="0"/>
              <w:spacing w:line="240" w:lineRule="auto"/>
              <w:rPr>
                <w:lang w:val="fr-FR"/>
              </w:rPr>
            </w:pPr>
            <w:r w:rsidRPr="001D76C0">
              <w:rPr>
                <w:lang w:val="fr-FR"/>
              </w:rPr>
              <w:t>Usages et performances comparés des outils économétriques et des outils de l’IA pour l’étude des choix discrets de consommation</w:t>
            </w:r>
          </w:p>
        </w:tc>
      </w:tr>
    </w:tbl>
    <w:p w:rsidR="00CD1FD0" w:rsidRPr="001D76C0" w:rsidRDefault="00CD1FD0">
      <w:pPr>
        <w:rPr>
          <w:lang w:val="fr-FR"/>
        </w:rPr>
      </w:pPr>
    </w:p>
    <w:p w:rsidR="00CD1FD0" w:rsidRPr="00D944D8" w:rsidRDefault="0003350B">
      <w:pPr>
        <w:rPr>
          <w:b/>
          <w:lang w:val="en-GB"/>
        </w:rPr>
      </w:pPr>
      <w:r>
        <w:rPr>
          <w:b/>
          <w:lang w:val="en-GB"/>
        </w:rPr>
        <w:t>Internship advisors</w:t>
      </w:r>
    </w:p>
    <w:p w:rsidR="00CD1FD0" w:rsidRPr="00D944D8" w:rsidRDefault="0003350B">
      <w:pPr>
        <w:rPr>
          <w:b/>
          <w:i/>
          <w:color w:val="FF0000"/>
          <w:sz w:val="20"/>
          <w:szCs w:val="20"/>
          <w:lang w:val="en-GB"/>
        </w:rPr>
      </w:pPr>
      <w:r>
        <w:rPr>
          <w:b/>
          <w:i/>
          <w:color w:val="FF0000"/>
          <w:sz w:val="20"/>
          <w:szCs w:val="20"/>
          <w:lang w:val="en-GB"/>
        </w:rPr>
        <w:t xml:space="preserve">[Enter name </w:t>
      </w:r>
      <w:r w:rsidR="000C0D42" w:rsidRPr="00D944D8">
        <w:rPr>
          <w:b/>
          <w:i/>
          <w:color w:val="FF0000"/>
          <w:sz w:val="20"/>
          <w:szCs w:val="20"/>
          <w:lang w:val="en-GB"/>
        </w:rPr>
        <w:t xml:space="preserve">and affiliation, indicate if </w:t>
      </w:r>
      <w:r>
        <w:rPr>
          <w:b/>
          <w:i/>
          <w:color w:val="FF0000"/>
          <w:sz w:val="20"/>
          <w:szCs w:val="20"/>
          <w:lang w:val="en-GB"/>
        </w:rPr>
        <w:t>she/</w:t>
      </w:r>
      <w:r w:rsidR="000C0D42" w:rsidRPr="00D944D8">
        <w:rPr>
          <w:b/>
          <w:i/>
          <w:color w:val="FF0000"/>
          <w:sz w:val="20"/>
          <w:szCs w:val="20"/>
          <w:lang w:val="en-GB"/>
        </w:rPr>
        <w:t xml:space="preserve">he is a young researcher with less than 8 years after PhD </w:t>
      </w:r>
      <w:proofErr w:type="spellStart"/>
      <w:r w:rsidR="000C0D42" w:rsidRPr="00D944D8">
        <w:rPr>
          <w:b/>
          <w:i/>
          <w:color w:val="FF0000"/>
          <w:sz w:val="20"/>
          <w:szCs w:val="20"/>
          <w:lang w:val="en-GB"/>
        </w:rPr>
        <w:t>defense</w:t>
      </w:r>
      <w:proofErr w:type="spellEnd"/>
      <w:r w:rsidR="000C0D42" w:rsidRPr="00D944D8">
        <w:rPr>
          <w:b/>
          <w:i/>
          <w:color w:val="FF0000"/>
          <w:sz w:val="20"/>
          <w:szCs w:val="20"/>
          <w:lang w:val="en-GB"/>
        </w:rPr>
        <w:t>.]</w:t>
      </w:r>
    </w:p>
    <w:p w:rsidR="0003350B" w:rsidRPr="00D944D8" w:rsidRDefault="0003350B" w:rsidP="0003350B">
      <w:pPr>
        <w:rPr>
          <w:b/>
          <w:lang w:val="en-G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3350B" w:rsidTr="0003350B">
        <w:tc>
          <w:tcPr>
            <w:tcW w:w="3009" w:type="dxa"/>
            <w:shd w:val="clear" w:color="auto" w:fill="auto"/>
            <w:tcMar>
              <w:top w:w="100" w:type="dxa"/>
              <w:left w:w="100" w:type="dxa"/>
              <w:bottom w:w="100" w:type="dxa"/>
              <w:right w:w="100" w:type="dxa"/>
            </w:tcMar>
          </w:tcPr>
          <w:p w:rsidR="0003350B" w:rsidRDefault="0003350B" w:rsidP="00537F88">
            <w:pPr>
              <w:widowControl w:val="0"/>
              <w:spacing w:line="240" w:lineRule="auto"/>
              <w:rPr>
                <w:b/>
              </w:rPr>
            </w:pPr>
            <w:r>
              <w:rPr>
                <w:b/>
              </w:rPr>
              <w:t>Name</w:t>
            </w:r>
          </w:p>
        </w:tc>
        <w:tc>
          <w:tcPr>
            <w:tcW w:w="3010" w:type="dxa"/>
            <w:shd w:val="clear" w:color="auto" w:fill="auto"/>
            <w:tcMar>
              <w:top w:w="100" w:type="dxa"/>
              <w:left w:w="100" w:type="dxa"/>
              <w:bottom w:w="100" w:type="dxa"/>
              <w:right w:w="100" w:type="dxa"/>
            </w:tcMar>
          </w:tcPr>
          <w:p w:rsidR="0003350B" w:rsidRDefault="0003350B" w:rsidP="00537F88">
            <w:pPr>
              <w:widowControl w:val="0"/>
              <w:spacing w:line="240" w:lineRule="auto"/>
              <w:rPr>
                <w:b/>
              </w:rPr>
            </w:pPr>
            <w:r>
              <w:rPr>
                <w:b/>
              </w:rPr>
              <w:t>Institute</w:t>
            </w:r>
          </w:p>
        </w:tc>
        <w:tc>
          <w:tcPr>
            <w:tcW w:w="3010" w:type="dxa"/>
            <w:shd w:val="clear" w:color="auto" w:fill="auto"/>
            <w:tcMar>
              <w:top w:w="100" w:type="dxa"/>
              <w:left w:w="100" w:type="dxa"/>
              <w:bottom w:w="100" w:type="dxa"/>
              <w:right w:w="100" w:type="dxa"/>
            </w:tcMar>
          </w:tcPr>
          <w:p w:rsidR="0003350B" w:rsidRDefault="0003350B" w:rsidP="00537F88">
            <w:pPr>
              <w:widowControl w:val="0"/>
              <w:spacing w:line="240" w:lineRule="auto"/>
              <w:rPr>
                <w:b/>
              </w:rPr>
            </w:pPr>
            <w:proofErr w:type="spellStart"/>
            <w:r>
              <w:rPr>
                <w:b/>
              </w:rPr>
              <w:t>Status</w:t>
            </w:r>
            <w:proofErr w:type="spellEnd"/>
          </w:p>
        </w:tc>
      </w:tr>
      <w:tr w:rsidR="0003350B" w:rsidTr="0003350B">
        <w:tc>
          <w:tcPr>
            <w:tcW w:w="3009"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 xml:space="preserve">Joly </w:t>
            </w:r>
            <w:proofErr w:type="spellStart"/>
            <w:r>
              <w:rPr>
                <w:b/>
              </w:rPr>
              <w:t>Iragaël</w:t>
            </w:r>
            <w:proofErr w:type="spellEnd"/>
          </w:p>
        </w:tc>
        <w:tc>
          <w:tcPr>
            <w:tcW w:w="3010"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 xml:space="preserve">GAEL </w:t>
            </w:r>
            <w:proofErr w:type="spellStart"/>
            <w:r>
              <w:rPr>
                <w:b/>
              </w:rPr>
              <w:t>lab</w:t>
            </w:r>
            <w:proofErr w:type="spellEnd"/>
            <w:r>
              <w:rPr>
                <w:b/>
              </w:rPr>
              <w:t xml:space="preserve"> – Grenoble </w:t>
            </w:r>
            <w:proofErr w:type="spellStart"/>
            <w:r>
              <w:rPr>
                <w:b/>
              </w:rPr>
              <w:t>Inp</w:t>
            </w:r>
            <w:proofErr w:type="spellEnd"/>
          </w:p>
        </w:tc>
        <w:tc>
          <w:tcPr>
            <w:tcW w:w="3010"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MCF HDR</w:t>
            </w:r>
          </w:p>
        </w:tc>
      </w:tr>
      <w:tr w:rsidR="0003350B" w:rsidTr="0003350B">
        <w:tc>
          <w:tcPr>
            <w:tcW w:w="3009"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Pierre Lemaire</w:t>
            </w:r>
          </w:p>
        </w:tc>
        <w:tc>
          <w:tcPr>
            <w:tcW w:w="3010"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G-</w:t>
            </w:r>
            <w:proofErr w:type="spellStart"/>
            <w:r>
              <w:rPr>
                <w:b/>
              </w:rPr>
              <w:t>Scop</w:t>
            </w:r>
            <w:proofErr w:type="spellEnd"/>
            <w:r>
              <w:rPr>
                <w:b/>
              </w:rPr>
              <w:t xml:space="preserve"> – Grenoble </w:t>
            </w:r>
            <w:proofErr w:type="spellStart"/>
            <w:r>
              <w:rPr>
                <w:b/>
              </w:rPr>
              <w:t>Inp</w:t>
            </w:r>
            <w:proofErr w:type="spellEnd"/>
          </w:p>
        </w:tc>
        <w:tc>
          <w:tcPr>
            <w:tcW w:w="3010" w:type="dxa"/>
            <w:shd w:val="clear" w:color="auto" w:fill="auto"/>
            <w:tcMar>
              <w:top w:w="100" w:type="dxa"/>
              <w:left w:w="100" w:type="dxa"/>
              <w:bottom w:w="100" w:type="dxa"/>
              <w:right w:w="100" w:type="dxa"/>
            </w:tcMar>
          </w:tcPr>
          <w:p w:rsidR="0003350B" w:rsidRDefault="0069364B" w:rsidP="00537F88">
            <w:pPr>
              <w:widowControl w:val="0"/>
              <w:spacing w:line="240" w:lineRule="auto"/>
              <w:rPr>
                <w:b/>
              </w:rPr>
            </w:pPr>
            <w:r>
              <w:rPr>
                <w:b/>
              </w:rPr>
              <w:t>MCF</w:t>
            </w:r>
          </w:p>
        </w:tc>
      </w:tr>
    </w:tbl>
    <w:p w:rsidR="0003350B" w:rsidRDefault="0003350B" w:rsidP="0003350B">
      <w:pPr>
        <w:rPr>
          <w:b/>
        </w:rPr>
      </w:pPr>
      <w:bookmarkStart w:id="0" w:name="_GoBack"/>
      <w:bookmarkEnd w:id="0"/>
    </w:p>
    <w:p w:rsidR="0003350B" w:rsidRPr="00D944D8" w:rsidRDefault="0003350B">
      <w:pPr>
        <w:rPr>
          <w:b/>
          <w:lang w:val="en-GB"/>
        </w:rPr>
      </w:pPr>
    </w:p>
    <w:p w:rsidR="00CD1FD0" w:rsidRDefault="000C0D42">
      <w:pPr>
        <w:rPr>
          <w:b/>
        </w:rPr>
      </w:pPr>
      <w:proofErr w:type="spellStart"/>
      <w:r>
        <w:rPr>
          <w:b/>
        </w:rPr>
        <w:t>Research</w:t>
      </w:r>
      <w:proofErr w:type="spellEnd"/>
      <w:r>
        <w:rPr>
          <w:b/>
        </w:rPr>
        <w:t xml:space="preserve"> </w:t>
      </w:r>
      <w:proofErr w:type="spellStart"/>
      <w:r>
        <w:rPr>
          <w:b/>
        </w:rPr>
        <w:t>project</w:t>
      </w:r>
      <w:proofErr w:type="spellEnd"/>
    </w:p>
    <w:p w:rsidR="00CD1FD0" w:rsidRPr="00CB56D4" w:rsidRDefault="000C0D42">
      <w:pPr>
        <w:rPr>
          <w:b/>
          <w:i/>
          <w:color w:val="FF0000"/>
          <w:sz w:val="20"/>
          <w:szCs w:val="20"/>
          <w:lang w:val="en-GB"/>
        </w:rPr>
      </w:pPr>
      <w:r w:rsidRPr="00D944D8">
        <w:rPr>
          <w:b/>
          <w:i/>
          <w:color w:val="FF0000"/>
          <w:sz w:val="20"/>
          <w:szCs w:val="20"/>
          <w:lang w:val="en-GB"/>
        </w:rPr>
        <w:t>[2 pages maximum in Arial 11. The research project should include a descripti</w:t>
      </w:r>
      <w:r w:rsidR="004F5883">
        <w:rPr>
          <w:b/>
          <w:i/>
          <w:color w:val="FF0000"/>
          <w:sz w:val="20"/>
          <w:szCs w:val="20"/>
          <w:lang w:val="en-GB"/>
        </w:rPr>
        <w:t xml:space="preserve">on of the scientific objectives, </w:t>
      </w:r>
      <w:r w:rsidR="00CB56D4">
        <w:rPr>
          <w:b/>
          <w:i/>
          <w:color w:val="FF0000"/>
          <w:sz w:val="20"/>
          <w:szCs w:val="20"/>
          <w:lang w:val="en-GB"/>
        </w:rPr>
        <w:t>the links with the data science</w:t>
      </w:r>
      <w:r w:rsidR="004F5883">
        <w:rPr>
          <w:b/>
          <w:i/>
          <w:color w:val="FF0000"/>
          <w:sz w:val="20"/>
          <w:szCs w:val="20"/>
          <w:lang w:val="en-US"/>
        </w:rPr>
        <w:t xml:space="preserve"> and the benefits for the environment, society…</w:t>
      </w:r>
      <w:r w:rsidRPr="00CB56D4">
        <w:rPr>
          <w:b/>
          <w:i/>
          <w:color w:val="FF0000"/>
          <w:sz w:val="20"/>
          <w:szCs w:val="20"/>
          <w:lang w:val="en-US"/>
        </w:rPr>
        <w:t>]</w:t>
      </w:r>
    </w:p>
    <w:p w:rsidR="00CD1FD0" w:rsidRPr="00CB56D4" w:rsidRDefault="00CD1FD0">
      <w:pPr>
        <w:rPr>
          <w:b/>
          <w:lang w:val="en-US"/>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1FD0" w:rsidRPr="0069364B">
        <w:tc>
          <w:tcPr>
            <w:tcW w:w="9029" w:type="dxa"/>
            <w:shd w:val="clear" w:color="auto" w:fill="auto"/>
            <w:tcMar>
              <w:top w:w="100" w:type="dxa"/>
              <w:left w:w="100" w:type="dxa"/>
              <w:bottom w:w="100" w:type="dxa"/>
              <w:right w:w="100" w:type="dxa"/>
            </w:tcMar>
          </w:tcPr>
          <w:p w:rsidR="001D76C0" w:rsidRPr="001D76C0" w:rsidRDefault="001D76C0">
            <w:pPr>
              <w:widowControl w:val="0"/>
              <w:spacing w:line="240" w:lineRule="auto"/>
              <w:rPr>
                <w:b/>
              </w:rPr>
            </w:pPr>
            <w:r w:rsidRPr="001D76C0">
              <w:rPr>
                <w:b/>
              </w:rPr>
              <w:t>Résumé</w:t>
            </w:r>
          </w:p>
          <w:p w:rsidR="001D76C0" w:rsidRDefault="001D76C0" w:rsidP="001D76C0">
            <w:pPr>
              <w:widowControl w:val="0"/>
              <w:spacing w:line="240" w:lineRule="auto"/>
            </w:pPr>
          </w:p>
          <w:p w:rsidR="001D76C0" w:rsidRDefault="001D76C0" w:rsidP="001D76C0">
            <w:pPr>
              <w:widowControl w:val="0"/>
              <w:spacing w:line="240" w:lineRule="auto"/>
            </w:pPr>
            <w:r>
              <w:t xml:space="preserve">La littérature modélisant les choix en économie repose le plus souvent sur les </w:t>
            </w:r>
            <w:proofErr w:type="spellStart"/>
            <w:r w:rsidRPr="001D76C0">
              <w:rPr>
                <w:i/>
              </w:rPr>
              <w:t>Discrete</w:t>
            </w:r>
            <w:proofErr w:type="spellEnd"/>
            <w:r w:rsidRPr="001D76C0">
              <w:rPr>
                <w:i/>
              </w:rPr>
              <w:t xml:space="preserve"> </w:t>
            </w:r>
            <w:proofErr w:type="spellStart"/>
            <w:r w:rsidRPr="001D76C0">
              <w:rPr>
                <w:i/>
              </w:rPr>
              <w:t>Choice</w:t>
            </w:r>
            <w:proofErr w:type="spellEnd"/>
            <w:r w:rsidRPr="001D76C0">
              <w:rPr>
                <w:i/>
              </w:rPr>
              <w:t xml:space="preserve"> </w:t>
            </w:r>
            <w:proofErr w:type="spellStart"/>
            <w:r w:rsidRPr="001D76C0">
              <w:rPr>
                <w:i/>
              </w:rPr>
              <w:t>Models</w:t>
            </w:r>
            <w:proofErr w:type="spellEnd"/>
            <w:r>
              <w:t xml:space="preserve"> (DCM), fondés sur les modèles RUM (</w:t>
            </w:r>
            <w:proofErr w:type="spellStart"/>
            <w:r w:rsidRPr="001D76C0">
              <w:rPr>
                <w:i/>
              </w:rPr>
              <w:t>Random</w:t>
            </w:r>
            <w:proofErr w:type="spellEnd"/>
            <w:r w:rsidRPr="001D76C0">
              <w:rPr>
                <w:i/>
              </w:rPr>
              <w:t xml:space="preserve"> Utility </w:t>
            </w:r>
            <w:proofErr w:type="spellStart"/>
            <w:r w:rsidRPr="001D76C0">
              <w:rPr>
                <w:i/>
              </w:rPr>
              <w:t>Models</w:t>
            </w:r>
            <w:proofErr w:type="spellEnd"/>
            <w:r>
              <w:t>) proposés par McFadden (McFadden (1974), McFadden (2001)).</w:t>
            </w:r>
          </w:p>
          <w:p w:rsidR="001D76C0" w:rsidRDefault="001D76C0" w:rsidP="001D76C0">
            <w:pPr>
              <w:widowControl w:val="0"/>
              <w:spacing w:line="240" w:lineRule="auto"/>
            </w:pPr>
            <w:r>
              <w:t xml:space="preserve">Les développements de ces modèles de régressions paramétriques (connus sous la nomination de modèles </w:t>
            </w:r>
            <w:proofErr w:type="spellStart"/>
            <w:r>
              <w:t>logit</w:t>
            </w:r>
            <w:proofErr w:type="spellEnd"/>
            <w:r>
              <w:t xml:space="preserve"> multinomiaux) ont intégré de multiples extensions statistiques / économétriques et comportementales parmi lesquelles :</w:t>
            </w:r>
          </w:p>
          <w:p w:rsidR="001D76C0" w:rsidRDefault="001D76C0" w:rsidP="001D76C0">
            <w:pPr>
              <w:widowControl w:val="0"/>
              <w:spacing w:line="240" w:lineRule="auto"/>
            </w:pPr>
            <w:r>
              <w:t xml:space="preserve">1) différentes spécifications des termes d’erreur (par ex. modèles </w:t>
            </w:r>
            <w:proofErr w:type="spellStart"/>
            <w:r>
              <w:t>probit</w:t>
            </w:r>
            <w:proofErr w:type="spellEnd"/>
            <w:r>
              <w:t xml:space="preserve">, </w:t>
            </w:r>
            <w:proofErr w:type="spellStart"/>
            <w:r>
              <w:t>logit</w:t>
            </w:r>
            <w:proofErr w:type="spellEnd"/>
            <w:r>
              <w:t>, HEV, etc.)</w:t>
            </w:r>
          </w:p>
          <w:p w:rsidR="001D76C0" w:rsidRDefault="001D76C0" w:rsidP="001D76C0">
            <w:pPr>
              <w:widowControl w:val="0"/>
              <w:spacing w:line="240" w:lineRule="auto"/>
            </w:pPr>
            <w:r>
              <w:t xml:space="preserve">2) des </w:t>
            </w:r>
            <w:proofErr w:type="spellStart"/>
            <w:r>
              <w:t>covariables</w:t>
            </w:r>
            <w:proofErr w:type="spellEnd"/>
            <w:r>
              <w:t xml:space="preserve"> relatives aux individus, aux alternatives de choix, aux contextes de choix (par ex </w:t>
            </w:r>
            <w:proofErr w:type="spellStart"/>
            <w:r>
              <w:t>conditional</w:t>
            </w:r>
            <w:proofErr w:type="spellEnd"/>
            <w:r>
              <w:t xml:space="preserve"> </w:t>
            </w:r>
            <w:proofErr w:type="spellStart"/>
            <w:r>
              <w:t>logit</w:t>
            </w:r>
            <w:proofErr w:type="spellEnd"/>
            <w:r>
              <w:t xml:space="preserve">, multinomial </w:t>
            </w:r>
            <w:proofErr w:type="spellStart"/>
            <w:r>
              <w:t>logit</w:t>
            </w:r>
            <w:proofErr w:type="spellEnd"/>
            <w:r>
              <w:t xml:space="preserve">, </w:t>
            </w:r>
            <w:proofErr w:type="spellStart"/>
            <w:r>
              <w:t>hybrid</w:t>
            </w:r>
            <w:proofErr w:type="spellEnd"/>
            <w:r>
              <w:t xml:space="preserve"> </w:t>
            </w:r>
            <w:proofErr w:type="spellStart"/>
            <w:r>
              <w:t>choice</w:t>
            </w:r>
            <w:proofErr w:type="spellEnd"/>
            <w:r>
              <w:t xml:space="preserve"> </w:t>
            </w:r>
            <w:proofErr w:type="spellStart"/>
            <w:r>
              <w:t>models</w:t>
            </w:r>
            <w:proofErr w:type="spellEnd"/>
            <w:r>
              <w:t>, etc.)</w:t>
            </w:r>
          </w:p>
          <w:p w:rsidR="001D76C0" w:rsidRDefault="001D76C0" w:rsidP="001D76C0">
            <w:pPr>
              <w:widowControl w:val="0"/>
              <w:spacing w:line="240" w:lineRule="auto"/>
            </w:pPr>
            <w:r>
              <w:t xml:space="preserve">3) des structures de choix plus proches des contextes de consommation (par ex. </w:t>
            </w:r>
            <w:proofErr w:type="spellStart"/>
            <w:r>
              <w:t>nested</w:t>
            </w:r>
            <w:proofErr w:type="spellEnd"/>
            <w:r>
              <w:t xml:space="preserve"> </w:t>
            </w:r>
            <w:proofErr w:type="spellStart"/>
            <w:r>
              <w:lastRenderedPageBreak/>
              <w:t>logit</w:t>
            </w:r>
            <w:proofErr w:type="spellEnd"/>
            <w:r>
              <w:t xml:space="preserve">, </w:t>
            </w:r>
            <w:proofErr w:type="spellStart"/>
            <w:r>
              <w:t>repeated</w:t>
            </w:r>
            <w:proofErr w:type="spellEnd"/>
            <w:r>
              <w:t xml:space="preserve"> </w:t>
            </w:r>
            <w:proofErr w:type="spellStart"/>
            <w:r>
              <w:t>choices</w:t>
            </w:r>
            <w:proofErr w:type="spellEnd"/>
            <w:r>
              <w:t xml:space="preserve">, </w:t>
            </w:r>
            <w:proofErr w:type="spellStart"/>
            <w:r>
              <w:t>sequential</w:t>
            </w:r>
            <w:proofErr w:type="spellEnd"/>
            <w:r>
              <w:t xml:space="preserve"> and/or </w:t>
            </w:r>
            <w:proofErr w:type="spellStart"/>
            <w:r>
              <w:t>dynamic</w:t>
            </w:r>
            <w:proofErr w:type="spellEnd"/>
            <w:r>
              <w:t xml:space="preserve"> </w:t>
            </w:r>
            <w:proofErr w:type="spellStart"/>
            <w:r>
              <w:t>choices</w:t>
            </w:r>
            <w:proofErr w:type="spellEnd"/>
            <w:r>
              <w:t>)</w:t>
            </w:r>
          </w:p>
          <w:p w:rsidR="001D76C0" w:rsidRDefault="001D76C0" w:rsidP="001D76C0">
            <w:pPr>
              <w:widowControl w:val="0"/>
              <w:spacing w:line="240" w:lineRule="auto"/>
            </w:pPr>
            <w:r>
              <w:t xml:space="preserve">4) des dimensions comportementales plus fines (par ex. mixed </w:t>
            </w:r>
            <w:proofErr w:type="spellStart"/>
            <w:r>
              <w:t>models</w:t>
            </w:r>
            <w:proofErr w:type="spellEnd"/>
            <w:r>
              <w:t xml:space="preserve"> and </w:t>
            </w:r>
            <w:proofErr w:type="spellStart"/>
            <w:r>
              <w:t>heterogeneous</w:t>
            </w:r>
            <w:proofErr w:type="spellEnd"/>
            <w:r>
              <w:t xml:space="preserve"> </w:t>
            </w:r>
            <w:proofErr w:type="spellStart"/>
            <w:r>
              <w:t>preferences</w:t>
            </w:r>
            <w:proofErr w:type="spellEnd"/>
            <w:r>
              <w:t xml:space="preserve">, regret minimisation, </w:t>
            </w:r>
            <w:proofErr w:type="spellStart"/>
            <w:r>
              <w:t>etc</w:t>
            </w:r>
            <w:proofErr w:type="spellEnd"/>
            <w:r>
              <w:t>).</w:t>
            </w:r>
          </w:p>
          <w:p w:rsidR="001D76C0" w:rsidRDefault="001D76C0" w:rsidP="001D76C0">
            <w:pPr>
              <w:widowControl w:val="0"/>
              <w:spacing w:line="240" w:lineRule="auto"/>
            </w:pPr>
          </w:p>
          <w:p w:rsidR="001D76C0" w:rsidRDefault="001D76C0" w:rsidP="001D76C0">
            <w:pPr>
              <w:widowControl w:val="0"/>
              <w:spacing w:line="240" w:lineRule="auto"/>
            </w:pPr>
            <w:r>
              <w:t>La multiplicité de ces outils et la diversité des outils récents issus du Machine Learning et de l’IA questionnent :</w:t>
            </w:r>
          </w:p>
          <w:p w:rsidR="001D76C0" w:rsidRPr="001D76C0" w:rsidRDefault="001D76C0" w:rsidP="001D76C0">
            <w:pPr>
              <w:pStyle w:val="Paragraphedeliste"/>
              <w:widowControl w:val="0"/>
              <w:numPr>
                <w:ilvl w:val="0"/>
                <w:numId w:val="3"/>
              </w:numPr>
              <w:spacing w:line="240" w:lineRule="auto"/>
              <w:rPr>
                <w:lang w:val="fr-FR"/>
              </w:rPr>
            </w:pPr>
            <w:r>
              <w:t xml:space="preserve">les usages et les types de réponses scientifiques apportées par ces deux familles d’outils </w:t>
            </w:r>
          </w:p>
          <w:p w:rsidR="001D76C0" w:rsidRPr="001D76C0" w:rsidRDefault="001D76C0" w:rsidP="001D76C0">
            <w:pPr>
              <w:pStyle w:val="Paragraphedeliste"/>
              <w:widowControl w:val="0"/>
              <w:numPr>
                <w:ilvl w:val="0"/>
                <w:numId w:val="3"/>
              </w:numPr>
              <w:spacing w:line="240" w:lineRule="auto"/>
              <w:rPr>
                <w:lang w:val="fr-FR"/>
              </w:rPr>
            </w:pPr>
            <w:r>
              <w:t>la qualité des estimations et des prédictions, mais aussi des compréhensions apportées sur les phénomènes étudiés.</w:t>
            </w:r>
          </w:p>
          <w:p w:rsidR="001D76C0" w:rsidRPr="001D76C0" w:rsidRDefault="001D76C0" w:rsidP="001D76C0">
            <w:pPr>
              <w:widowControl w:val="0"/>
              <w:spacing w:line="240" w:lineRule="auto"/>
              <w:rPr>
                <w:lang w:val="en-US"/>
              </w:rPr>
            </w:pPr>
            <w:r>
              <w:t xml:space="preserve">Quelques articles étudient les impacts de spécifications différentes sur une même situation de choix observés ou simulés (par ex. </w:t>
            </w:r>
            <w:proofErr w:type="spellStart"/>
            <w:r w:rsidRPr="001D76C0">
              <w:rPr>
                <w:lang w:val="en-US"/>
              </w:rPr>
              <w:t>Munizaga</w:t>
            </w:r>
            <w:proofErr w:type="spellEnd"/>
            <w:r w:rsidRPr="001D76C0">
              <w:rPr>
                <w:lang w:val="en-US"/>
              </w:rPr>
              <w:t xml:space="preserve"> and Alvarez-</w:t>
            </w:r>
            <w:proofErr w:type="spellStart"/>
            <w:r w:rsidRPr="001D76C0">
              <w:rPr>
                <w:lang w:val="en-US"/>
              </w:rPr>
              <w:t>Daziano</w:t>
            </w:r>
            <w:proofErr w:type="spellEnd"/>
            <w:r w:rsidRPr="001D76C0">
              <w:rPr>
                <w:lang w:val="en-US"/>
              </w:rPr>
              <w:t xml:space="preserve"> (2005), </w:t>
            </w:r>
            <w:proofErr w:type="spellStart"/>
            <w:r w:rsidRPr="001D76C0">
              <w:rPr>
                <w:lang w:val="en-US"/>
              </w:rPr>
              <w:t>Fiebig</w:t>
            </w:r>
            <w:proofErr w:type="spellEnd"/>
            <w:r w:rsidRPr="001D76C0">
              <w:rPr>
                <w:lang w:val="en-US"/>
              </w:rPr>
              <w:t xml:space="preserve"> et al. (2010), </w:t>
            </w:r>
            <w:proofErr w:type="spellStart"/>
            <w:r w:rsidRPr="001D76C0">
              <w:rPr>
                <w:lang w:val="en-US"/>
              </w:rPr>
              <w:t>Bouscasse</w:t>
            </w:r>
            <w:proofErr w:type="spellEnd"/>
            <w:r w:rsidRPr="001D76C0">
              <w:rPr>
                <w:lang w:val="en-US"/>
              </w:rPr>
              <w:t xml:space="preserve">, Joly, and </w:t>
            </w:r>
            <w:proofErr w:type="spellStart"/>
            <w:r w:rsidRPr="001D76C0">
              <w:rPr>
                <w:lang w:val="en-US"/>
              </w:rPr>
              <w:t>Peyhardi</w:t>
            </w:r>
            <w:proofErr w:type="spellEnd"/>
            <w:r w:rsidRPr="001D76C0">
              <w:rPr>
                <w:lang w:val="en-US"/>
              </w:rPr>
              <w:t xml:space="preserve"> (2019)).</w:t>
            </w:r>
          </w:p>
          <w:p w:rsidR="001D76C0" w:rsidRPr="001D76C0" w:rsidRDefault="001D76C0" w:rsidP="001D76C0">
            <w:pPr>
              <w:widowControl w:val="0"/>
              <w:spacing w:line="240" w:lineRule="auto"/>
              <w:rPr>
                <w:lang w:val="en-US"/>
              </w:rPr>
            </w:pPr>
          </w:p>
          <w:p w:rsidR="001D76C0" w:rsidRDefault="001D76C0" w:rsidP="001D76C0">
            <w:pPr>
              <w:widowControl w:val="0"/>
              <w:spacing w:line="240" w:lineRule="auto"/>
            </w:pPr>
            <w:r>
              <w:t>La performance des modélisations concurrentes peut être étudiée en termes de qualité des ajustements aux données, en termes de capacité prédictive, mais aussi en termes de qualité de production des indicateurs économiques et comportementaux dérivés des estimations, tels que les préférences des consommateurs, les consentements à payer ou les parts de marché.</w:t>
            </w:r>
          </w:p>
          <w:p w:rsidR="001D76C0" w:rsidRDefault="001D76C0" w:rsidP="001D76C0">
            <w:pPr>
              <w:widowControl w:val="0"/>
              <w:spacing w:line="240" w:lineRule="auto"/>
            </w:pPr>
          </w:p>
          <w:p w:rsidR="001D76C0" w:rsidRPr="001D76C0" w:rsidRDefault="001D76C0" w:rsidP="001D76C0">
            <w:pPr>
              <w:widowControl w:val="0"/>
              <w:spacing w:line="240" w:lineRule="auto"/>
              <w:rPr>
                <w:b/>
              </w:rPr>
            </w:pPr>
            <w:r w:rsidRPr="001D76C0">
              <w:rPr>
                <w:b/>
              </w:rPr>
              <w:t>Enjeux et objectifs du sujet</w:t>
            </w:r>
          </w:p>
          <w:p w:rsidR="001D76C0" w:rsidRDefault="001D76C0" w:rsidP="001D76C0">
            <w:pPr>
              <w:widowControl w:val="0"/>
              <w:spacing w:line="240" w:lineRule="auto"/>
            </w:pPr>
            <w:r>
              <w:t>Le sujet de master a pour objectif de proposer une revue de littérature dressant un panorama des outils issus de la littérature DCM et des outils du ML et de l’IA en fonction des objectifs et capacités de chacun.</w:t>
            </w:r>
          </w:p>
          <w:p w:rsidR="001D76C0" w:rsidRDefault="001D76C0" w:rsidP="001D76C0">
            <w:pPr>
              <w:widowControl w:val="0"/>
              <w:spacing w:line="240" w:lineRule="auto"/>
            </w:pPr>
          </w:p>
          <w:p w:rsidR="001D76C0" w:rsidRDefault="001D76C0" w:rsidP="001D76C0">
            <w:pPr>
              <w:widowControl w:val="0"/>
              <w:spacing w:line="240" w:lineRule="auto"/>
            </w:pPr>
            <w:r>
              <w:t xml:space="preserve">Il étudiera aussi les différentes techniques de comparaison des performances des différents outils adaptée aux objectifs principaux des modèles (par ex. la performance prédictive comparera les réseaux de neurones aux RUM, la qualité d’estimation des consentements à payer opposera </w:t>
            </w:r>
            <w:proofErr w:type="spellStart"/>
            <w:r>
              <w:t>logit</w:t>
            </w:r>
            <w:proofErr w:type="spellEnd"/>
            <w:r>
              <w:t xml:space="preserve"> multinomiaux aux autres spécifications RUM estimées par les méthodes bayésiennes). Ainsi une grille d’analyse des différents modèles et outils de l’IA/ML pourra être proposée pour guider les choix des chercheurs en fonction de leurs objectifs et des situations de choix modélisées.</w:t>
            </w:r>
          </w:p>
          <w:p w:rsidR="001D76C0" w:rsidRDefault="001D76C0" w:rsidP="001D76C0">
            <w:pPr>
              <w:widowControl w:val="0"/>
              <w:spacing w:line="240" w:lineRule="auto"/>
            </w:pPr>
          </w:p>
          <w:p w:rsidR="001D76C0" w:rsidRDefault="001D76C0" w:rsidP="001D76C0">
            <w:pPr>
              <w:widowControl w:val="0"/>
              <w:spacing w:line="240" w:lineRule="auto"/>
            </w:pPr>
            <w:r>
              <w:t xml:space="preserve">Le sujet de master propose aussi une partie empirique fondée sur l’estimation de plusieurs modèles DCM et outils IA/ML sur des données simulées de choix contrôlés et paramétrables. Il conviendra de mettre en place d’un outil de simulation de choix discret permettant au chercheur de spécifier </w:t>
            </w:r>
            <w:proofErr w:type="spellStart"/>
            <w:r>
              <w:t>paramétriquement</w:t>
            </w:r>
            <w:proofErr w:type="spellEnd"/>
            <w:r>
              <w:t xml:space="preserve"> les choix de consommateurs, de simuler les choix d’un échantillon caractérisable par le chercheur. De premiers résultats de comparaison de performance de quelques modèles devraient ainsi être produits par le master.</w:t>
            </w:r>
          </w:p>
          <w:p w:rsidR="001D76C0" w:rsidRDefault="001D76C0" w:rsidP="001D76C0">
            <w:pPr>
              <w:widowControl w:val="0"/>
              <w:spacing w:line="240" w:lineRule="auto"/>
            </w:pPr>
          </w:p>
          <w:p w:rsidR="001D76C0" w:rsidRPr="001D76C0" w:rsidRDefault="001D76C0" w:rsidP="001D76C0">
            <w:pPr>
              <w:widowControl w:val="0"/>
              <w:spacing w:line="240" w:lineRule="auto"/>
              <w:rPr>
                <w:b/>
                <w:lang w:val="en-US"/>
              </w:rPr>
            </w:pPr>
            <w:proofErr w:type="spellStart"/>
            <w:r w:rsidRPr="001D76C0">
              <w:rPr>
                <w:b/>
                <w:lang w:val="en-US"/>
              </w:rPr>
              <w:t>Bibliographie</w:t>
            </w:r>
            <w:proofErr w:type="spellEnd"/>
          </w:p>
          <w:p w:rsidR="001D76C0" w:rsidRPr="001D76C0" w:rsidRDefault="001D76C0" w:rsidP="001D76C0">
            <w:pPr>
              <w:widowControl w:val="0"/>
              <w:spacing w:line="240" w:lineRule="auto"/>
              <w:rPr>
                <w:lang w:val="en-US"/>
              </w:rPr>
            </w:pPr>
            <w:r w:rsidRPr="001D76C0">
              <w:rPr>
                <w:lang w:val="en-US"/>
              </w:rPr>
              <w:t>Bhat CR (1995). “A heteroscedastic extreme value model of, intercity travel mode choice.” Transportation Research Part B</w:t>
            </w:r>
            <w:proofErr w:type="gramStart"/>
            <w:r w:rsidRPr="001D76C0">
              <w:rPr>
                <w:lang w:val="en-US"/>
              </w:rPr>
              <w:t>:,</w:t>
            </w:r>
            <w:proofErr w:type="gramEnd"/>
            <w:r w:rsidRPr="001D76C0">
              <w:rPr>
                <w:lang w:val="en-US"/>
              </w:rPr>
              <w:t xml:space="preserve"> Methodological, 29(6), 471-483. &lt;URL</w:t>
            </w:r>
            <w:proofErr w:type="gramStart"/>
            <w:r w:rsidRPr="001D76C0">
              <w:rPr>
                <w:lang w:val="en-US"/>
              </w:rPr>
              <w:t>:,</w:t>
            </w:r>
            <w:proofErr w:type="gramEnd"/>
            <w:r w:rsidRPr="001D76C0">
              <w:rPr>
                <w:lang w:val="en-US"/>
              </w:rPr>
              <w:t xml:space="preserve"> https://EconPapers.repec.org/RePEc:eee:transb:v:29:y:1995:i:6:p:471-483&gt;.</w:t>
            </w:r>
          </w:p>
          <w:p w:rsidR="001D76C0" w:rsidRPr="001D76C0" w:rsidRDefault="001D76C0" w:rsidP="001D76C0">
            <w:pPr>
              <w:widowControl w:val="0"/>
              <w:spacing w:line="240" w:lineRule="auto"/>
              <w:rPr>
                <w:lang w:val="en-US"/>
              </w:rPr>
            </w:pPr>
            <w:proofErr w:type="spellStart"/>
            <w:r w:rsidRPr="001D76C0">
              <w:rPr>
                <w:lang w:val="en-US"/>
              </w:rPr>
              <w:t>Bouscasse</w:t>
            </w:r>
            <w:proofErr w:type="spellEnd"/>
            <w:r w:rsidRPr="001D76C0">
              <w:rPr>
                <w:lang w:val="en-US"/>
              </w:rPr>
              <w:t xml:space="preserve"> H, Joly I, </w:t>
            </w:r>
            <w:proofErr w:type="spellStart"/>
            <w:r w:rsidRPr="001D76C0">
              <w:rPr>
                <w:lang w:val="en-US"/>
              </w:rPr>
              <w:t>Peyhardi</w:t>
            </w:r>
            <w:proofErr w:type="spellEnd"/>
            <w:r w:rsidRPr="001D76C0">
              <w:rPr>
                <w:lang w:val="en-US"/>
              </w:rPr>
              <w:t xml:space="preserve"> J (2019). “A new family of, qualitative choice models: An application of reference models to, travel mode choice.” Transportation Research Part B, 74-91.</w:t>
            </w:r>
          </w:p>
          <w:p w:rsidR="001D76C0" w:rsidRDefault="001D76C0" w:rsidP="001D76C0">
            <w:pPr>
              <w:widowControl w:val="0"/>
              <w:spacing w:line="240" w:lineRule="auto"/>
            </w:pPr>
            <w:proofErr w:type="spellStart"/>
            <w:r w:rsidRPr="001D76C0">
              <w:rPr>
                <w:lang w:val="en-US"/>
              </w:rPr>
              <w:t>Fiebig</w:t>
            </w:r>
            <w:proofErr w:type="spellEnd"/>
            <w:r w:rsidRPr="001D76C0">
              <w:rPr>
                <w:lang w:val="en-US"/>
              </w:rPr>
              <w:t xml:space="preserve"> D, Keane M, Louviere J, </w:t>
            </w:r>
            <w:proofErr w:type="spellStart"/>
            <w:r w:rsidRPr="001D76C0">
              <w:rPr>
                <w:lang w:val="en-US"/>
              </w:rPr>
              <w:t>Wasi</w:t>
            </w:r>
            <w:proofErr w:type="spellEnd"/>
            <w:r w:rsidRPr="001D76C0">
              <w:rPr>
                <w:lang w:val="en-US"/>
              </w:rPr>
              <w:t xml:space="preserve"> N (2010). “The generalized, multinomial logit model: accounting for scale and coefficient, heterogeneity.” </w:t>
            </w:r>
            <w:r>
              <w:t>Marketing Science, 29:3, 393-421.</w:t>
            </w:r>
          </w:p>
          <w:p w:rsidR="001D76C0" w:rsidRPr="001D76C0" w:rsidRDefault="001D76C0" w:rsidP="001D76C0">
            <w:pPr>
              <w:widowControl w:val="0"/>
              <w:spacing w:line="240" w:lineRule="auto"/>
              <w:rPr>
                <w:lang w:val="en-US"/>
              </w:rPr>
            </w:pPr>
            <w:r w:rsidRPr="001D76C0">
              <w:rPr>
                <w:lang w:val="en-US"/>
              </w:rPr>
              <w:t>McFadden D (1974). “The measurement of urban travel demand.</w:t>
            </w:r>
            <w:proofErr w:type="gramStart"/>
            <w:r w:rsidRPr="001D76C0">
              <w:rPr>
                <w:lang w:val="en-US"/>
              </w:rPr>
              <w:t>”,</w:t>
            </w:r>
            <w:proofErr w:type="gramEnd"/>
            <w:r w:rsidRPr="001D76C0">
              <w:rPr>
                <w:lang w:val="en-US"/>
              </w:rPr>
              <w:t xml:space="preserve"> Journal of Public Economics, 3(4), 303-328.</w:t>
            </w:r>
          </w:p>
          <w:p w:rsidR="001D76C0" w:rsidRPr="001D76C0" w:rsidRDefault="001D76C0" w:rsidP="001D76C0">
            <w:pPr>
              <w:widowControl w:val="0"/>
              <w:spacing w:line="240" w:lineRule="auto"/>
              <w:rPr>
                <w:lang w:val="en-US"/>
              </w:rPr>
            </w:pPr>
            <w:r w:rsidRPr="001D76C0">
              <w:rPr>
                <w:lang w:val="en-US"/>
              </w:rPr>
              <w:t>McFadden D (2001). “Economic Choices.” The American Economic, Review, 91(3), 351-378. ISSN 00028282, &lt;URL</w:t>
            </w:r>
            <w:proofErr w:type="gramStart"/>
            <w:r w:rsidRPr="001D76C0">
              <w:rPr>
                <w:lang w:val="en-US"/>
              </w:rPr>
              <w:t>:,</w:t>
            </w:r>
            <w:proofErr w:type="gramEnd"/>
            <w:r w:rsidRPr="001D76C0">
              <w:rPr>
                <w:lang w:val="en-US"/>
              </w:rPr>
              <w:t xml:space="preserve"> http://www.jstor.org/stable/2677869&gt;.</w:t>
            </w:r>
          </w:p>
          <w:p w:rsidR="001D76C0" w:rsidRDefault="001D76C0" w:rsidP="001D76C0">
            <w:pPr>
              <w:widowControl w:val="0"/>
              <w:spacing w:line="240" w:lineRule="auto"/>
              <w:rPr>
                <w:lang w:val="en-US"/>
              </w:rPr>
            </w:pPr>
            <w:proofErr w:type="spellStart"/>
            <w:r w:rsidRPr="001D76C0">
              <w:rPr>
                <w:lang w:val="en-US"/>
              </w:rPr>
              <w:lastRenderedPageBreak/>
              <w:t>Munizaga</w:t>
            </w:r>
            <w:proofErr w:type="spellEnd"/>
            <w:r w:rsidRPr="001D76C0">
              <w:rPr>
                <w:lang w:val="en-US"/>
              </w:rPr>
              <w:t xml:space="preserve"> M, Alvarez-</w:t>
            </w:r>
            <w:proofErr w:type="spellStart"/>
            <w:r w:rsidRPr="001D76C0">
              <w:rPr>
                <w:lang w:val="en-US"/>
              </w:rPr>
              <w:t>Daziano</w:t>
            </w:r>
            <w:proofErr w:type="spellEnd"/>
            <w:r w:rsidRPr="001D76C0">
              <w:rPr>
                <w:lang w:val="en-US"/>
              </w:rPr>
              <w:t xml:space="preserve"> R (2005). “Testing mixed logit and, </w:t>
            </w:r>
            <w:proofErr w:type="spellStart"/>
            <w:r w:rsidRPr="001D76C0">
              <w:rPr>
                <w:lang w:val="en-US"/>
              </w:rPr>
              <w:t>probit</w:t>
            </w:r>
            <w:proofErr w:type="spellEnd"/>
            <w:r w:rsidRPr="001D76C0">
              <w:rPr>
                <w:lang w:val="en-US"/>
              </w:rPr>
              <w:t xml:space="preserve"> models by simulation.” Transportation Research Record</w:t>
            </w:r>
            <w:proofErr w:type="gramStart"/>
            <w:r w:rsidRPr="001D76C0">
              <w:rPr>
                <w:lang w:val="en-US"/>
              </w:rPr>
              <w:t>:,</w:t>
            </w:r>
            <w:proofErr w:type="gramEnd"/>
            <w:r w:rsidRPr="001D76C0">
              <w:rPr>
                <w:lang w:val="en-US"/>
              </w:rPr>
              <w:t xml:space="preserve"> Journal of the Transportation Research Board, 1921, 53-62.</w:t>
            </w:r>
          </w:p>
          <w:p w:rsidR="001D76C0" w:rsidRPr="001D76C0" w:rsidRDefault="001D76C0" w:rsidP="001D76C0">
            <w:pPr>
              <w:widowControl w:val="0"/>
              <w:spacing w:line="240" w:lineRule="auto"/>
              <w:rPr>
                <w:lang w:val="en-US"/>
              </w:rPr>
            </w:pPr>
          </w:p>
          <w:p w:rsidR="001D76C0" w:rsidRPr="001C4F6F" w:rsidRDefault="001D76C0" w:rsidP="001D76C0">
            <w:pPr>
              <w:widowControl w:val="0"/>
              <w:spacing w:line="240" w:lineRule="auto"/>
              <w:rPr>
                <w:b/>
                <w:lang w:val="en-US"/>
              </w:rPr>
            </w:pPr>
            <w:r w:rsidRPr="001C4F6F">
              <w:rPr>
                <w:b/>
                <w:lang w:val="en-US"/>
              </w:rPr>
              <w:t>Travaux précédents en lien avec le sujet</w:t>
            </w:r>
          </w:p>
          <w:p w:rsidR="001D76C0" w:rsidRDefault="001D76C0" w:rsidP="001D76C0">
            <w:pPr>
              <w:widowControl w:val="0"/>
              <w:spacing w:line="240" w:lineRule="auto"/>
            </w:pPr>
            <w:proofErr w:type="spellStart"/>
            <w:r w:rsidRPr="001D76C0">
              <w:rPr>
                <w:lang w:val="en-US"/>
              </w:rPr>
              <w:t>Burel</w:t>
            </w:r>
            <w:proofErr w:type="spellEnd"/>
            <w:r w:rsidRPr="001D76C0">
              <w:rPr>
                <w:lang w:val="en-US"/>
              </w:rPr>
              <w:t xml:space="preserve"> E, Lebrun A, </w:t>
            </w:r>
            <w:proofErr w:type="spellStart"/>
            <w:r w:rsidRPr="001D76C0">
              <w:rPr>
                <w:lang w:val="en-US"/>
              </w:rPr>
              <w:t>Bouscasse</w:t>
            </w:r>
            <w:proofErr w:type="spellEnd"/>
            <w:r w:rsidRPr="001D76C0">
              <w:rPr>
                <w:lang w:val="en-US"/>
              </w:rPr>
              <w:t xml:space="preserve"> H, Joly I (2015). </w:t>
            </w:r>
            <w:r>
              <w:t xml:space="preserve">“Tester la performance de différentes spécifications des </w:t>
            </w:r>
            <w:proofErr w:type="spellStart"/>
            <w:r>
              <w:t>Random</w:t>
            </w:r>
            <w:proofErr w:type="spellEnd"/>
            <w:r>
              <w:t xml:space="preserve"> Utility </w:t>
            </w:r>
            <w:proofErr w:type="spellStart"/>
            <w:r>
              <w:t>Models</w:t>
            </w:r>
            <w:proofErr w:type="spellEnd"/>
            <w:r>
              <w:t xml:space="preserve">.” Mémoire IRL (Introduction à la Recherche en Laboratoire), </w:t>
            </w:r>
            <w:proofErr w:type="spellStart"/>
            <w:r>
              <w:t>Ensimag</w:t>
            </w:r>
            <w:proofErr w:type="spellEnd"/>
            <w:r>
              <w:t>.</w:t>
            </w:r>
          </w:p>
          <w:p w:rsidR="001D76C0" w:rsidRDefault="001D76C0" w:rsidP="001D76C0">
            <w:pPr>
              <w:widowControl w:val="0"/>
              <w:spacing w:line="240" w:lineRule="auto"/>
            </w:pPr>
            <w:r>
              <w:t xml:space="preserve">Lebrun A, </w:t>
            </w:r>
            <w:proofErr w:type="spellStart"/>
            <w:r>
              <w:t>Burel</w:t>
            </w:r>
            <w:proofErr w:type="spellEnd"/>
            <w:r>
              <w:t xml:space="preserve"> E, </w:t>
            </w:r>
            <w:proofErr w:type="spellStart"/>
            <w:r>
              <w:t>Bouscasse</w:t>
            </w:r>
            <w:proofErr w:type="spellEnd"/>
            <w:r>
              <w:t xml:space="preserve"> H, Joly I (2015). “Etude de la valeur du temps et de son domaine de validité dans le cadre des modèles à choix discrets.” Mémoire TER (Travaux d’étude et de Recherche), Génie Industriel, 25p.</w:t>
            </w:r>
          </w:p>
          <w:p w:rsidR="001D76C0" w:rsidRDefault="001D76C0" w:rsidP="001D76C0">
            <w:pPr>
              <w:widowControl w:val="0"/>
              <w:spacing w:line="240" w:lineRule="auto"/>
            </w:pPr>
            <w:proofErr w:type="spellStart"/>
            <w:r w:rsidRPr="001D76C0">
              <w:rPr>
                <w:lang w:val="en-US"/>
              </w:rPr>
              <w:t>Perny</w:t>
            </w:r>
            <w:proofErr w:type="spellEnd"/>
            <w:r w:rsidRPr="001D76C0">
              <w:rPr>
                <w:lang w:val="en-US"/>
              </w:rPr>
              <w:t xml:space="preserve"> C, </w:t>
            </w:r>
            <w:proofErr w:type="spellStart"/>
            <w:r w:rsidRPr="001D76C0">
              <w:rPr>
                <w:lang w:val="en-US"/>
              </w:rPr>
              <w:t>Lemaire</w:t>
            </w:r>
            <w:proofErr w:type="spellEnd"/>
            <w:r w:rsidRPr="001D76C0">
              <w:rPr>
                <w:lang w:val="en-US"/>
              </w:rPr>
              <w:t xml:space="preserve"> P, Joly I (2017). </w:t>
            </w:r>
            <w:r>
              <w:t xml:space="preserve">“Transférabilité des modèles, de prédiction de choix : étude et application aux choix de modes de transport.” Mémoire IRL (Introduction à la Recherche en Laboratoire), </w:t>
            </w:r>
            <w:proofErr w:type="spellStart"/>
            <w:r>
              <w:t>Ensimag</w:t>
            </w:r>
            <w:proofErr w:type="spellEnd"/>
            <w:r>
              <w:t>, 18p.</w:t>
            </w:r>
          </w:p>
          <w:p w:rsidR="001D76C0" w:rsidRPr="0069364B" w:rsidRDefault="001D76C0">
            <w:pPr>
              <w:widowControl w:val="0"/>
              <w:spacing w:line="240" w:lineRule="auto"/>
              <w:rPr>
                <w:b/>
                <w:lang w:val="fr-FR"/>
              </w:rPr>
            </w:pPr>
          </w:p>
        </w:tc>
      </w:tr>
    </w:tbl>
    <w:p w:rsidR="00CD1FD0" w:rsidRPr="0069364B" w:rsidRDefault="00CD1FD0">
      <w:pPr>
        <w:rPr>
          <w:b/>
          <w:lang w:val="fr-FR"/>
        </w:rPr>
      </w:pPr>
    </w:p>
    <w:p w:rsidR="00CD1FD0" w:rsidRPr="0069364B" w:rsidRDefault="00CD1FD0">
      <w:pPr>
        <w:rPr>
          <w:b/>
          <w:lang w:val="fr-FR"/>
        </w:rPr>
      </w:pPr>
    </w:p>
    <w:p w:rsidR="00CD1FD0" w:rsidRPr="0003350B" w:rsidRDefault="0003350B">
      <w:pPr>
        <w:rPr>
          <w:b/>
          <w:lang w:val="en-US"/>
        </w:rPr>
      </w:pPr>
      <w:r w:rsidRPr="0003350B">
        <w:rPr>
          <w:b/>
          <w:lang w:val="en-US"/>
        </w:rPr>
        <w:t>Internship details</w:t>
      </w:r>
    </w:p>
    <w:p w:rsidR="0069364B" w:rsidRPr="00C258CC" w:rsidRDefault="0069364B" w:rsidP="0069364B">
      <w:pPr>
        <w:rPr>
          <w:b/>
          <w:i/>
          <w:color w:val="000000" w:themeColor="text1"/>
          <w:sz w:val="20"/>
          <w:szCs w:val="20"/>
          <w:lang w:val="en-GB"/>
        </w:rPr>
      </w:pPr>
      <w:r w:rsidRPr="00C258CC">
        <w:rPr>
          <w:b/>
          <w:i/>
          <w:color w:val="000000" w:themeColor="text1"/>
          <w:sz w:val="20"/>
          <w:szCs w:val="20"/>
          <w:lang w:val="en-GB"/>
        </w:rPr>
        <w:t>Gael laboratory (Grenoble Applied Economics Lab)</w:t>
      </w:r>
    </w:p>
    <w:p w:rsidR="0069364B" w:rsidRPr="00C258CC" w:rsidRDefault="00C258CC" w:rsidP="0069364B">
      <w:pPr>
        <w:rPr>
          <w:i/>
          <w:color w:val="000000" w:themeColor="text1"/>
          <w:sz w:val="20"/>
          <w:szCs w:val="20"/>
          <w:lang w:val="fr-FR"/>
        </w:rPr>
      </w:pPr>
      <w:r w:rsidRPr="00C258CC">
        <w:rPr>
          <w:i/>
          <w:color w:val="000000" w:themeColor="text1"/>
          <w:sz w:val="20"/>
          <w:szCs w:val="20"/>
          <w:lang w:val="fr-FR"/>
        </w:rPr>
        <w:t>5 mois – à partir mars 2020</w:t>
      </w:r>
    </w:p>
    <w:p w:rsidR="0069364B" w:rsidRPr="00C258CC" w:rsidRDefault="0069364B" w:rsidP="0069364B">
      <w:pPr>
        <w:rPr>
          <w:b/>
          <w:i/>
          <w:color w:val="000000" w:themeColor="text1"/>
          <w:sz w:val="20"/>
          <w:szCs w:val="20"/>
          <w:lang w:val="fr-FR"/>
        </w:rPr>
      </w:pPr>
    </w:p>
    <w:p w:rsidR="00C258CC" w:rsidRPr="00C258CC" w:rsidRDefault="00C258CC" w:rsidP="00C258CC">
      <w:pPr>
        <w:rPr>
          <w:b/>
          <w:i/>
          <w:color w:val="000000" w:themeColor="text1"/>
          <w:sz w:val="20"/>
          <w:szCs w:val="20"/>
          <w:lang w:val="fr-FR"/>
        </w:rPr>
      </w:pPr>
      <w:r w:rsidRPr="00C258CC">
        <w:rPr>
          <w:b/>
          <w:i/>
          <w:color w:val="000000" w:themeColor="text1"/>
          <w:sz w:val="20"/>
          <w:szCs w:val="20"/>
          <w:lang w:val="fr-FR"/>
        </w:rPr>
        <w:t xml:space="preserve">Candidats: </w:t>
      </w:r>
      <w:proofErr w:type="spellStart"/>
      <w:r w:rsidRPr="00C258CC">
        <w:rPr>
          <w:b/>
          <w:i/>
          <w:color w:val="000000" w:themeColor="text1"/>
          <w:sz w:val="20"/>
          <w:szCs w:val="20"/>
          <w:lang w:val="fr-FR"/>
        </w:rPr>
        <w:t>Gusarov</w:t>
      </w:r>
      <w:proofErr w:type="spellEnd"/>
      <w:r w:rsidRPr="00C258CC">
        <w:rPr>
          <w:b/>
          <w:i/>
          <w:color w:val="000000" w:themeColor="text1"/>
          <w:sz w:val="20"/>
          <w:szCs w:val="20"/>
          <w:lang w:val="fr-FR"/>
        </w:rPr>
        <w:t xml:space="preserve"> Nikita</w:t>
      </w:r>
    </w:p>
    <w:p w:rsidR="00C258CC" w:rsidRPr="00C258CC" w:rsidRDefault="00C258CC" w:rsidP="00C258CC">
      <w:pPr>
        <w:rPr>
          <w:color w:val="000000" w:themeColor="text1"/>
          <w:sz w:val="20"/>
          <w:szCs w:val="20"/>
          <w:lang w:val="fr-FR"/>
        </w:rPr>
      </w:pPr>
      <w:r w:rsidRPr="00C258CC">
        <w:rPr>
          <w:color w:val="000000" w:themeColor="text1"/>
          <w:sz w:val="20"/>
          <w:szCs w:val="20"/>
          <w:lang w:val="fr-FR"/>
        </w:rPr>
        <w:t>Master 2 - U.G.A. FEG</w:t>
      </w:r>
    </w:p>
    <w:p w:rsidR="0069364B" w:rsidRPr="00C258CC" w:rsidRDefault="00C258CC" w:rsidP="00C258CC">
      <w:pPr>
        <w:rPr>
          <w:color w:val="000000" w:themeColor="text1"/>
          <w:sz w:val="20"/>
          <w:szCs w:val="20"/>
          <w:lang w:val="fr-FR"/>
        </w:rPr>
      </w:pPr>
      <w:r w:rsidRPr="00C258CC">
        <w:rPr>
          <w:color w:val="000000" w:themeColor="text1"/>
          <w:sz w:val="20"/>
          <w:szCs w:val="20"/>
          <w:lang w:val="fr-FR"/>
        </w:rPr>
        <w:t>Master en Mathématique et Informatique appliquées aux Sciences Humaines et Sociales, parcours Chargé d'Etudes Economiques et Statistiques, U.G.A., Faculté d'Economie et de Gestion</w:t>
      </w:r>
    </w:p>
    <w:p w:rsidR="00CD1FD0" w:rsidRPr="001C4F6F" w:rsidRDefault="00CD1FD0" w:rsidP="0003350B">
      <w:pPr>
        <w:contextualSpacing/>
        <w:rPr>
          <w:lang w:val="fr-FR"/>
        </w:rPr>
      </w:pPr>
    </w:p>
    <w:sectPr w:rsidR="00CD1FD0" w:rsidRPr="001C4F6F">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319" w:rsidRDefault="00E32319">
      <w:pPr>
        <w:spacing w:line="240" w:lineRule="auto"/>
      </w:pPr>
      <w:r>
        <w:separator/>
      </w:r>
    </w:p>
  </w:endnote>
  <w:endnote w:type="continuationSeparator" w:id="0">
    <w:p w:rsidR="00E32319" w:rsidRDefault="00E32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FD0" w:rsidRDefault="00CD1FD0">
    <w:pPr>
      <w:jc w:val="center"/>
      <w:rPr>
        <w:i/>
        <w:sz w:val="18"/>
        <w:szCs w:val="18"/>
      </w:rPr>
    </w:pPr>
  </w:p>
  <w:p w:rsidR="00CD1FD0" w:rsidRPr="00D944D8" w:rsidRDefault="000C0D42">
    <w:pPr>
      <w:jc w:val="center"/>
      <w:rPr>
        <w:i/>
        <w:sz w:val="18"/>
        <w:szCs w:val="18"/>
        <w:lang w:val="en-GB"/>
      </w:rPr>
    </w:pPr>
    <w:r w:rsidRPr="00D944D8">
      <w:rPr>
        <w:i/>
        <w:sz w:val="18"/>
        <w:szCs w:val="18"/>
        <w:lang w:val="en-GB"/>
      </w:rPr>
      <w:t xml:space="preserve">Call for proposal - Grenoble </w:t>
    </w:r>
    <w:proofErr w:type="spellStart"/>
    <w:r w:rsidRPr="00D944D8">
      <w:rPr>
        <w:i/>
        <w:sz w:val="18"/>
        <w:szCs w:val="18"/>
        <w:lang w:val="en-GB"/>
      </w:rPr>
      <w:t>Alpes</w:t>
    </w:r>
    <w:proofErr w:type="spellEnd"/>
    <w:r w:rsidRPr="00D944D8">
      <w:rPr>
        <w:i/>
        <w:sz w:val="18"/>
        <w:szCs w:val="18"/>
        <w:lang w:val="en-GB"/>
      </w:rPr>
      <w:t xml:space="preserve"> Data Institute </w:t>
    </w:r>
    <w:r w:rsidR="00D8380D">
      <w:rPr>
        <w:i/>
        <w:sz w:val="18"/>
        <w:szCs w:val="18"/>
        <w:lang w:val="en-GB"/>
      </w:rPr>
      <w:t>–</w:t>
    </w:r>
    <w:r w:rsidRPr="00D944D8">
      <w:rPr>
        <w:i/>
        <w:sz w:val="18"/>
        <w:szCs w:val="18"/>
        <w:lang w:val="en-GB"/>
      </w:rPr>
      <w:t xml:space="preserve"> </w:t>
    </w:r>
    <w:r w:rsidR="0003350B">
      <w:rPr>
        <w:i/>
        <w:sz w:val="18"/>
        <w:szCs w:val="18"/>
        <w:lang w:val="en-GB"/>
      </w:rPr>
      <w:t>February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319" w:rsidRDefault="00E32319">
      <w:pPr>
        <w:spacing w:line="240" w:lineRule="auto"/>
      </w:pPr>
      <w:r>
        <w:separator/>
      </w:r>
    </w:p>
  </w:footnote>
  <w:footnote w:type="continuationSeparator" w:id="0">
    <w:p w:rsidR="00E32319" w:rsidRDefault="00E323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A6C"/>
    <w:multiLevelType w:val="multilevel"/>
    <w:tmpl w:val="9C9A2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6A13B8"/>
    <w:multiLevelType w:val="hybridMultilevel"/>
    <w:tmpl w:val="48C29628"/>
    <w:lvl w:ilvl="0" w:tplc="B54CDCE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63706A"/>
    <w:multiLevelType w:val="hybridMultilevel"/>
    <w:tmpl w:val="3CE469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D0"/>
    <w:rsid w:val="0003350B"/>
    <w:rsid w:val="000C0D42"/>
    <w:rsid w:val="001C4F6F"/>
    <w:rsid w:val="001D76C0"/>
    <w:rsid w:val="00341BF4"/>
    <w:rsid w:val="004F5883"/>
    <w:rsid w:val="005A737F"/>
    <w:rsid w:val="0069364B"/>
    <w:rsid w:val="006D1F61"/>
    <w:rsid w:val="00C258CC"/>
    <w:rsid w:val="00CB56D4"/>
    <w:rsid w:val="00CD1FD0"/>
    <w:rsid w:val="00D8380D"/>
    <w:rsid w:val="00D944D8"/>
    <w:rsid w:val="00DD5F54"/>
    <w:rsid w:val="00E32319"/>
    <w:rsid w:val="00EF1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401EF9-22B3-4709-99AF-5AF9CFCE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5A737F"/>
    <w:rPr>
      <w:color w:val="0563C1" w:themeColor="hyperlink"/>
      <w:u w:val="single"/>
    </w:rPr>
  </w:style>
  <w:style w:type="paragraph" w:styleId="En-tte">
    <w:name w:val="header"/>
    <w:basedOn w:val="Normal"/>
    <w:link w:val="En-tteCar"/>
    <w:uiPriority w:val="99"/>
    <w:unhideWhenUsed/>
    <w:rsid w:val="00D8380D"/>
    <w:pPr>
      <w:tabs>
        <w:tab w:val="center" w:pos="4536"/>
        <w:tab w:val="right" w:pos="9072"/>
      </w:tabs>
      <w:spacing w:line="240" w:lineRule="auto"/>
    </w:pPr>
  </w:style>
  <w:style w:type="character" w:customStyle="1" w:styleId="En-tteCar">
    <w:name w:val="En-tête Car"/>
    <w:basedOn w:val="Policepardfaut"/>
    <w:link w:val="En-tte"/>
    <w:uiPriority w:val="99"/>
    <w:rsid w:val="00D8380D"/>
  </w:style>
  <w:style w:type="paragraph" w:styleId="Pieddepage">
    <w:name w:val="footer"/>
    <w:basedOn w:val="Normal"/>
    <w:link w:val="PieddepageCar"/>
    <w:uiPriority w:val="99"/>
    <w:unhideWhenUsed/>
    <w:rsid w:val="00D8380D"/>
    <w:pPr>
      <w:tabs>
        <w:tab w:val="center" w:pos="4536"/>
        <w:tab w:val="right" w:pos="9072"/>
      </w:tabs>
      <w:spacing w:line="240" w:lineRule="auto"/>
    </w:pPr>
  </w:style>
  <w:style w:type="character" w:customStyle="1" w:styleId="PieddepageCar">
    <w:name w:val="Pied de page Car"/>
    <w:basedOn w:val="Policepardfaut"/>
    <w:link w:val="Pieddepage"/>
    <w:uiPriority w:val="99"/>
    <w:rsid w:val="00D8380D"/>
  </w:style>
  <w:style w:type="paragraph" w:styleId="Paragraphedeliste">
    <w:name w:val="List Paragraph"/>
    <w:basedOn w:val="Normal"/>
    <w:uiPriority w:val="34"/>
    <w:qFormat/>
    <w:rsid w:val="0003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13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ta.institute@univ-grenoble-alpes.fr"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949</Words>
  <Characters>5221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Iragael Joly</dc:creator>
  <cp:lastModifiedBy>ijoly</cp:lastModifiedBy>
  <cp:revision>4</cp:revision>
  <dcterms:created xsi:type="dcterms:W3CDTF">2020-02-11T07:39:00Z</dcterms:created>
  <dcterms:modified xsi:type="dcterms:W3CDTF">2020-02-11T09:40:00Z</dcterms:modified>
</cp:coreProperties>
</file>