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CASE STUDY</w:t>
      </w:r>
    </w:p>
    <w:p>
      <w:pPr>
        <w:spacing w:before="0" w:after="80" w:line="245" w:lineRule="auto"/>
      </w:pPr>
      <w:r>
        <w:rPr>
          <w:rFonts w:ascii="Arial" w:hAnsi="Arial" w:cs="Arial" w:eastAsia="Arial"/>
          <w:b/>
          <w:i w:val="0"/>
          <w:color w:val="1B2733"/>
          <w:sz w:val="54"/>
        </w:rPr>
        <w:t>Ōmaki Seiki Co., Ltd. (株式会社大槇精機) and NK Co., Ltd. (株式会社エヌケー)</w:t>
      </w:r>
    </w:p>
    <w:p>
      <w:pPr>
        <w:spacing w:before="0" w:after="160" w:line="254" w:lineRule="auto"/>
      </w:pPr>
      <w:r>
        <w:rPr>
          <w:rFonts w:ascii="Arial" w:hAnsi="Arial" w:cs="Arial" w:eastAsia="Arial"/>
          <w:b w:val="0"/>
          <w:i w:val="0"/>
          <w:color w:val="1F4E79"/>
          <w:sz w:val="34"/>
        </w:rPr>
        <w:t>Reconstructing a Supply-Chain Business Succession and Vertical Integration</w:t>
      </w:r>
    </w:p>
    <w:p>
      <w:pPr>
        <w:spacing w:before="0" w:after="320" w:line="264" w:lineRule="auto"/>
      </w:pPr>
      <w:r>
        <w:rPr>
          <w:rFonts w:ascii="Arial" w:hAnsi="Arial" w:cs="Arial" w:eastAsia="Arial"/>
          <w:b w:val="0"/>
          <w:i w:val="0"/>
          <w:color w:val="555F6B"/>
          <w:sz w:val="22"/>
        </w:rPr>
        <w:t>Saitama,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Target companies</w:t>
            </w:r>
          </w:p>
        </w:tc>
        <w:tc>
          <w:tcPr>
            <w:tcW w:type="dxa" w:w="7066"/>
          </w:tcPr>
          <w:p>
            <w:pPr>
              <w:spacing w:before="60" w:after="60" w:line="288" w:lineRule="auto"/>
            </w:pPr>
            <w:r>
              <w:rPr>
                <w:rFonts w:ascii="Arial" w:hAnsi="Arial" w:cs="Arial" w:eastAsia="Arial"/>
                <w:color w:val="1B2733"/>
                <w:sz w:val="18"/>
              </w:rPr>
              <w:t>株式会社大槇精機 (Ōmaki Seiki Co., Ltd.) and 株式会社エヌケー (NK Co., Ltd.)</w:t>
            </w:r>
          </w:p>
        </w:tc>
      </w:tr>
      <w:tr>
        <w:tc>
          <w:tcPr>
            <w:tcW w:type="dxa" w:w="2232"/>
            <w:shd w:val="clear" w:color="auto" w:fill="EEF3F8"/>
          </w:tcPr>
          <w:p>
            <w:pPr>
              <w:spacing w:before="60" w:after="60"/>
            </w:pPr>
            <w:r>
              <w:rPr>
                <w:rFonts w:ascii="Arial" w:hAnsi="Arial" w:cs="Arial" w:eastAsia="Arial"/>
                <w:b/>
                <w:color w:val="1F4E79"/>
                <w:sz w:val="17"/>
              </w:rPr>
              <w:t>Geographic scope</w:t>
            </w:r>
          </w:p>
        </w:tc>
        <w:tc>
          <w:tcPr>
            <w:tcW w:type="dxa" w:w="7066"/>
          </w:tcPr>
          <w:p>
            <w:pPr>
              <w:spacing w:before="60" w:after="60" w:line="288" w:lineRule="auto"/>
            </w:pPr>
            <w:r>
              <w:rPr>
                <w:rFonts w:ascii="Arial" w:hAnsi="Arial" w:cs="Arial" w:eastAsia="Arial"/>
                <w:color w:val="1B2733"/>
                <w:sz w:val="18"/>
              </w:rPr>
              <w:t>Saitama, Japan</w:t>
            </w:r>
          </w:p>
        </w:tc>
      </w:tr>
      <w:tr>
        <w:tc>
          <w:tcPr>
            <w:tcW w:type="dxa" w:w="2232"/>
            <w:shd w:val="clear" w:color="auto" w:fill="EEF3F8"/>
          </w:tcPr>
          <w:p>
            <w:pPr>
              <w:spacing w:before="60" w:after="60"/>
            </w:pPr>
            <w:r>
              <w:rPr>
                <w:rFonts w:ascii="Arial" w:hAnsi="Arial" w:cs="Arial" w:eastAsia="Arial"/>
                <w:b/>
                <w:color w:val="1F4E79"/>
                <w:sz w:val="17"/>
              </w:rPr>
              <w:t>Primary period</w:t>
            </w:r>
          </w:p>
        </w:tc>
        <w:tc>
          <w:tcPr>
            <w:tcW w:type="dxa" w:w="7066"/>
          </w:tcPr>
          <w:p>
            <w:pPr>
              <w:spacing w:before="60" w:after="60" w:line="288" w:lineRule="auto"/>
            </w:pPr>
            <w:r>
              <w:rPr>
                <w:rFonts w:ascii="Arial" w:hAnsi="Arial" w:cs="Arial" w:eastAsia="Arial"/>
                <w:color w:val="1B2733"/>
                <w:sz w:val="18"/>
              </w:rPr>
              <w:t>2023–2025</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Succession and vertical-integration reconstruction</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Can open-source intelligence reconstruct why Ōmaki Seiki succeeded the business of its long-term supplier and determine whether the transaction created a meaningful manufacturing-chain integration?</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Case type: Corporate OSINT / Business Intelligence / M&amp;A &amp; Business Succession / Supply-Chain Analysis Geographic scope: Saitama, Japan Primary period: 2023-2025 Target companies:株式会社大槇精機(Ōmaki Seiki Co., Ltd.) and (NK Co., Ltd.) Primary analytical question: Can open-source intelligence reconstruct why Ōmaki Seiki succeeded the business of its long-term supplier and determine whether the transaction created a meaningful manufacturing-chain integration?</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In late 2023, Ōmaki Seiki, a Saitama-based precision machining company specializing in 5-axis machining, learned that its long-standing business partner,株式会社エヌケー(NK), intended to cease operations. The relationship was more than 30 years old. NK operated in the casting sector and occupied an upstream position in Ōmaki Seiki's manufacturing chain, while Ōmaki Seiki performed downstream machining. The two companies were therefore operationally interdependent rather than simply being unrelated SMEs. Ōmaki Seiki's president, Ryosuke Ōmachi (大町亮介), responded by proposing a business succession directly to NK. The transaction was structured as a business transfer (事業譲渡) rather than a documented acquisition of NK's corporate shares. The publicly documented transferred assets included employees, equipment and existing business relationships/customers. Three NK employees are specifically documented as joining Ōmaki Seiki, while NK's former president, Tsuyoshi Kamikawa (上川剛), subsequently appears as a member of Ōmaki Seiki's sales organization. The transaction had two simultaneous strategic functions. First, it was defensive: it preserved an existing casting → machining supply chain and reduced the risk that NK's closure would disrupt downstream production and potentially contribute to further closures among connected manufacturers. Second, it was offensive: Ōmaki Seiki internalized a previously external casting capability, allowing it to offer a more integrated casting → machining production model and pursue a wider range of manufacturing projects. The Japanese government's 2025 Small Business White Paper explicitly identifies both supply-chain preservation and business expansion as motivations for the succession. The transaction therefore represents a useful example of vertical integration achieved through supplier business succession rather than conventional corporate acquisition. Post-transaction evidence supports the operational integration. Ōmaki Seiki officially began casting operations in 2024, and a later interview with Ōmaki's president states that the inherited casting business was generating synergies and performing well. The strongest quantitative claim is that the volume of projects handled as a combined casting-to-machining package increased approximately tenfold after the succession. This claim is published by the Japanese government, but the underlying order data are not publicly available. It therefore should be treated as a government-published company performance claim , not as independently reproducible quantitative evidence.</w:t>
      </w:r>
    </w:p>
    <w:p>
      <w:pPr>
        <w:pStyle w:val="Heading1"/>
        <w:keepNext/>
        <w:spacing w:before="280" w:after="60" w:line="252" w:lineRule="auto"/>
        <w:pBdr>
          <w:bottom w:val="single" w:sz="12" w:space="4" w:color="1F4E79"/>
        </w:pBdr>
      </w:pPr>
      <w:r>
        <w:rPr>
          <w:rFonts w:ascii="Arial" w:hAnsi="Arial" w:cs="Arial" w:eastAsia="Arial"/>
          <w:b/>
          <w:color w:val="1F4E79"/>
          <w:sz w:val="30"/>
        </w:rPr>
        <w:t>2. Research Objective</w:t>
      </w:r>
    </w:p>
    <w:p>
      <w:pPr>
        <w:spacing w:before="0" w:after="120" w:line="307" w:lineRule="auto"/>
      </w:pPr>
      <w:r>
        <w:rPr>
          <w:rFonts w:ascii="Arial" w:hAnsi="Arial" w:cs="Arial" w:eastAsia="Arial"/>
          <w:b w:val="0"/>
          <w:i w:val="0"/>
          <w:color w:val="1B2733"/>
          <w:sz w:val="19"/>
        </w:rPr>
        <w:t>The objective was not to produce a general corporate profile of Ōmaki Seiki or NK. The investigation focused on reconstructing a specific business event: 1. What was the relationship between Ōmaki Seiki and NK before the succession? 2. Why did NK decide to cease operations? 3. Why did Ōmaki Seiki choose this particular business as a succession target? 4. What exactly was transferred? 5. What happened to the original NK legal entity? 6. How did the transaction change Ōmaki Seiki's production capabilities? 7. Is the reported post-transaction commercial impact independently corroborated? 8. Which elements can be established from public evidence and which remain unknown? This approach treats the case as a corporate intelligence reconstruction problem , rather than a company-background exercise.</w:t>
      </w:r>
    </w:p>
    <w:p>
      <w:pPr>
        <w:pStyle w:val="Heading1"/>
        <w:keepNext/>
        <w:spacing w:before="280" w:after="60" w:line="252" w:lineRule="auto"/>
        <w:pBdr>
          <w:bottom w:val="single" w:sz="12" w:space="4" w:color="1F4E79"/>
        </w:pBdr>
      </w:pPr>
      <w:r>
        <w:rPr>
          <w:rFonts w:ascii="Arial" w:hAnsi="Arial" w:cs="Arial" w:eastAsia="Arial"/>
          <w:b/>
          <w:color w:val="1F4E79"/>
          <w:sz w:val="30"/>
        </w:rPr>
        <w:t>3. Companies and Pre-Transaction</w:t>
      </w:r>
    </w:p>
    <w:p>
      <w:pPr>
        <w:pStyle w:val="Heading1"/>
        <w:keepNext/>
        <w:spacing w:before="280" w:after="60" w:line="252" w:lineRule="auto"/>
        <w:pBdr>
          <w:bottom w:val="single" w:sz="12" w:space="4" w:color="1F4E79"/>
        </w:pBdr>
      </w:pPr>
      <w:r>
        <w:rPr>
          <w:rFonts w:ascii="Arial" w:hAnsi="Arial" w:cs="Arial" w:eastAsia="Arial"/>
          <w:b/>
          <w:color w:val="1F4E79"/>
          <w:sz w:val="30"/>
        </w:rPr>
        <w:t>Position</w:t>
      </w:r>
    </w:p>
    <w:p>
      <w:pPr>
        <w:pStyle w:val="Heading1"/>
        <w:keepNext/>
        <w:spacing w:before="280" w:after="60" w:line="252" w:lineRule="auto"/>
        <w:pBdr>
          <w:bottom w:val="single" w:sz="12" w:space="4" w:color="1F4E79"/>
        </w:pBdr>
      </w:pPr>
      <w:r>
        <w:rPr>
          <w:rFonts w:ascii="Arial" w:hAnsi="Arial" w:cs="Arial" w:eastAsia="Arial"/>
          <w:b/>
          <w:color w:val="1F4E79"/>
          <w:sz w:val="30"/>
        </w:rPr>
        <w:t>3.1 Ōmaki Seiki</w:t>
      </w:r>
    </w:p>
    <w:p>
      <w:pPr>
        <w:spacing w:before="0" w:after="120" w:line="307" w:lineRule="auto"/>
      </w:pPr>
      <w:r>
        <w:rPr>
          <w:rFonts w:ascii="Arial" w:hAnsi="Arial" w:cs="Arial" w:eastAsia="Arial"/>
          <w:b w:val="0"/>
          <w:i w:val="0"/>
          <w:color w:val="1B2733"/>
          <w:sz w:val="19"/>
        </w:rPr>
        <w:t>Ōmaki Seiki is a machining company based in Asaka, Saitama. The Japanese government describes it as a company known for advanced 5-axis machining . Its documented activities include machining for automotive and aircraft prototype components and other precision metal-processing work. The government casebook gives the following approximate pre-succession scale:</w:t>
      </w:r>
    </w:p>
    <w:p>
      <w:pPr>
        <w:pStyle w:val="ListBullet"/>
        <w:spacing w:before="0" w:after="60" w:line="293" w:lineRule="auto"/>
        <w:ind w:left="351" w:hanging="193"/>
      </w:pPr>
      <w:r>
        <w:rPr>
          <w:rFonts w:ascii="Arial" w:hAnsi="Arial" w:cs="Arial" w:eastAsia="Arial"/>
          <w:color w:val="1B2733"/>
          <w:sz w:val="19"/>
        </w:rPr>
        <w:t>Sales: approximately ¥800 million</w:t>
      </w:r>
    </w:p>
    <w:p>
      <w:pPr>
        <w:pStyle w:val="ListBullet"/>
        <w:spacing w:before="0" w:after="60" w:line="293" w:lineRule="auto"/>
        <w:ind w:left="351" w:hanging="193"/>
      </w:pPr>
      <w:r>
        <w:rPr>
          <w:rFonts w:ascii="Arial" w:hAnsi="Arial" w:cs="Arial" w:eastAsia="Arial"/>
          <w:color w:val="1B2733"/>
          <w:sz w:val="19"/>
        </w:rPr>
        <w:t>Employees: approximately 35</w:t>
      </w:r>
    </w:p>
    <w:p>
      <w:pPr>
        <w:pStyle w:val="ListBullet"/>
        <w:spacing w:before="0" w:after="60" w:line="293" w:lineRule="auto"/>
        <w:ind w:left="351" w:hanging="193"/>
      </w:pPr>
      <w:r>
        <w:rPr>
          <w:rFonts w:ascii="Arial" w:hAnsi="Arial" w:cs="Arial" w:eastAsia="Arial"/>
          <w:color w:val="1B2733"/>
          <w:sz w:val="19"/>
        </w:rPr>
        <w:t>Location: Saitama</w:t>
      </w:r>
    </w:p>
    <w:p>
      <w:pPr>
        <w:pStyle w:val="ListBullet"/>
        <w:spacing w:before="0" w:after="60" w:line="293" w:lineRule="auto"/>
        <w:ind w:left="351" w:hanging="193"/>
      </w:pPr>
      <w:r>
        <w:rPr>
          <w:rFonts w:ascii="Arial" w:hAnsi="Arial" w:cs="Arial" w:eastAsia="Arial"/>
          <w:color w:val="1B2733"/>
          <w:sz w:val="19"/>
        </w:rPr>
        <w:t>Primary sector: metal cutting / machining The company was therefore substantially larger than NK, although both remained relatively small manufacturing businesses.</w:t>
      </w:r>
    </w:p>
    <w:p>
      <w:pPr>
        <w:pStyle w:val="Heading1"/>
        <w:keepNext/>
        <w:spacing w:before="280" w:after="60" w:line="252" w:lineRule="auto"/>
        <w:pBdr>
          <w:bottom w:val="single" w:sz="12" w:space="4" w:color="1F4E79"/>
        </w:pBdr>
      </w:pPr>
      <w:r>
        <w:rPr>
          <w:rFonts w:ascii="Arial" w:hAnsi="Arial" w:cs="Arial" w:eastAsia="Arial"/>
          <w:b/>
          <w:color w:val="1F4E79"/>
          <w:sz w:val="30"/>
        </w:rPr>
        <w:t>3.2 NK</w:t>
      </w:r>
    </w:p>
    <w:p>
      <w:pPr>
        <w:spacing w:before="0" w:after="120" w:line="307" w:lineRule="auto"/>
      </w:pPr>
      <w:r>
        <w:rPr>
          <w:rFonts w:ascii="Arial" w:hAnsi="Arial" w:cs="Arial" w:eastAsia="Arial"/>
          <w:b w:val="0"/>
          <w:i w:val="0"/>
          <w:color w:val="1B2733"/>
          <w:sz w:val="19"/>
        </w:rPr>
        <w:t>NK was based in Kawaguchi, Saitama. The government casebook classifies it within the casting industry and describes its business as involving casting inspection and quality control. Its position in the supply chain was upstream of Ōmaki Seiki's machining operation. Approximate pre-succession figures:</w:t>
      </w:r>
    </w:p>
    <w:p>
      <w:pPr>
        <w:pStyle w:val="ListBullet"/>
        <w:spacing w:before="0" w:after="60" w:line="293" w:lineRule="auto"/>
        <w:ind w:left="351" w:hanging="193"/>
      </w:pPr>
      <w:r>
        <w:rPr>
          <w:rFonts w:ascii="Arial" w:hAnsi="Arial" w:cs="Arial" w:eastAsia="Arial"/>
          <w:color w:val="1B2733"/>
          <w:sz w:val="19"/>
        </w:rPr>
        <w:t>Sales: approximately ¥200 million</w:t>
      </w:r>
    </w:p>
    <w:p>
      <w:pPr>
        <w:pStyle w:val="ListBullet"/>
        <w:spacing w:before="0" w:after="60" w:line="293" w:lineRule="auto"/>
        <w:ind w:left="351" w:hanging="193"/>
      </w:pPr>
      <w:r>
        <w:rPr>
          <w:rFonts w:ascii="Arial" w:hAnsi="Arial" w:cs="Arial" w:eastAsia="Arial"/>
          <w:color w:val="1B2733"/>
          <w:sz w:val="19"/>
        </w:rPr>
        <w:t>Employees: approximately 5</w:t>
      </w:r>
    </w:p>
    <w:p>
      <w:pPr>
        <w:pStyle w:val="ListBullet"/>
        <w:spacing w:before="0" w:after="60" w:line="293" w:lineRule="auto"/>
        <w:ind w:left="351" w:hanging="193"/>
      </w:pPr>
      <w:r>
        <w:rPr>
          <w:rFonts w:ascii="Arial" w:hAnsi="Arial" w:cs="Arial" w:eastAsia="Arial"/>
          <w:color w:val="1B2733"/>
          <w:sz w:val="19"/>
        </w:rPr>
        <w:t>Location: Kawaguchi, Saitama</w:t>
      </w:r>
    </w:p>
    <w:p>
      <w:pPr>
        <w:pStyle w:val="ListBullet"/>
        <w:spacing w:before="0" w:after="60" w:line="293" w:lineRule="auto"/>
        <w:ind w:left="351" w:hanging="193"/>
      </w:pPr>
      <w:r>
        <w:rPr>
          <w:rFonts w:ascii="Arial" w:hAnsi="Arial" w:cs="Arial" w:eastAsia="Arial"/>
          <w:color w:val="1B2733"/>
          <w:sz w:val="19"/>
        </w:rPr>
        <w:t>Sector: casting / casting-related inspection and quality control The relationship therefore had a clear industrial structure: Casting / casting-related process</w:t>
      </w:r>
    </w:p>
    <w:p>
      <w:pPr>
        <w:spacing w:before="0" w:after="120" w:line="307" w:lineRule="auto"/>
      </w:pPr>
      <w:r>
        <w:rPr>
          <w:rFonts w:ascii="Arial" w:hAnsi="Arial" w:cs="Arial" w:eastAsia="Arial"/>
          <w:b w:val="0"/>
          <w:i w:val="0"/>
          <w:color w:val="1B2733"/>
          <w:sz w:val="19"/>
        </w:rPr>
        <w:t>↓ NK ↓ Ōmaki Seiki machining ↓ Major customer The official casebook depicts the chain explicitly as: NK → casting → Ōmaki Seiki → machining → major automobile manufacturer.</w:t>
      </w:r>
    </w:p>
    <w:p>
      <w:pPr>
        <w:pStyle w:val="Heading1"/>
        <w:keepNext/>
        <w:spacing w:before="280" w:after="60" w:line="252" w:lineRule="auto"/>
        <w:pBdr>
          <w:bottom w:val="single" w:sz="12" w:space="4" w:color="1F4E79"/>
        </w:pBdr>
      </w:pPr>
      <w:r>
        <w:rPr>
          <w:rFonts w:ascii="Arial" w:hAnsi="Arial" w:cs="Arial" w:eastAsia="Arial"/>
          <w:b/>
          <w:color w:val="1F4E79"/>
          <w:sz w:val="30"/>
        </w:rPr>
        <w:t>4. Relationship Reconstruction</w:t>
      </w:r>
    </w:p>
    <w:p>
      <w:pPr>
        <w:spacing w:before="0" w:after="120" w:line="307" w:lineRule="auto"/>
      </w:pPr>
      <w:r>
        <w:rPr>
          <w:rFonts w:ascii="Arial" w:hAnsi="Arial" w:cs="Arial" w:eastAsia="Arial"/>
          <w:b w:val="0"/>
          <w:i w:val="0"/>
          <w:color w:val="1B2733"/>
          <w:sz w:val="19"/>
        </w:rPr>
        <w:t>One of the strongest findings is the length of the relationship. The Japanese Small Business White Paper states that Ōmaki Seiki and NK had a business relationship spanning more than 30 years . This relationship is important because the current NK legal entity itself was registered much later. Government corporate data identifies NK's corporate number as: 1030001078230 and its registered address as: 4-24-4 Namiki, Kawaguchi, Saitama. The government corporate database records the current legal entity as having been closed in 2024. Consequently, the statement that the companies had "more than 30 years of business relations" should not be interpreted as meaning that the current NK corporate entity had existed continuously for more than 30 years. The defensible conclusion is: The commercial relationship between the businesses predates the current NK legal entity. The public record does not establish the complete corporate history of that relationship before the current entity's registration. This distinction prevents conflating the history of a business relationship with the history of a particular legal entity.</w:t>
      </w:r>
    </w:p>
    <w:p>
      <w:pPr>
        <w:pStyle w:val="Heading1"/>
        <w:keepNext/>
        <w:spacing w:before="280" w:after="60" w:line="252" w:lineRule="auto"/>
        <w:pBdr>
          <w:bottom w:val="single" w:sz="12" w:space="4" w:color="1F4E79"/>
        </w:pBdr>
      </w:pPr>
      <w:r>
        <w:rPr>
          <w:rFonts w:ascii="Arial" w:hAnsi="Arial" w:cs="Arial" w:eastAsia="Arial"/>
          <w:b/>
          <w:color w:val="1F4E79"/>
          <w:sz w:val="30"/>
        </w:rPr>
        <w:t>5. Why NK Decided to Exit</w:t>
      </w:r>
    </w:p>
    <w:p>
      <w:pPr>
        <w:spacing w:before="0" w:after="120" w:line="307" w:lineRule="auto"/>
      </w:pPr>
      <w:r>
        <w:rPr>
          <w:rFonts w:ascii="Arial" w:hAnsi="Arial" w:cs="Arial" w:eastAsia="Arial"/>
          <w:b w:val="0"/>
          <w:i w:val="0"/>
          <w:color w:val="1B2733"/>
          <w:sz w:val="19"/>
        </w:rPr>
        <w:t>The available evidence significantly changes the characterization of the transaction. NK was not described as a distressed or insolvent company . In the direct case-study interview, former NK president Tsuyoshi Kamikawa stated that NK was operating without debt and was not in an immediate financial crisis. The problem was the long-term outlook of the casting industry. As the industry contracted, management no longer saw a sufficiently attractive future for continuing the business. The employment prospects of its relatively young workforce were also part of the decision. This distinction is critical. The transaction should therefore not be characterized as: a rescue acquisition of a financially distressed company. A more accurate characterization is: a planned business exit caused by an unfavorable long-term industry outlook, followed by succession of the operating business to a strategically connected customer. The distinction matters because it explains why the transaction could be structured around preservation and integration rather than financial restructuring.</w:t>
      </w:r>
    </w:p>
    <w:p>
      <w:pPr>
        <w:pStyle w:val="Heading1"/>
        <w:keepNext/>
        <w:spacing w:before="280" w:after="60" w:line="252" w:lineRule="auto"/>
        <w:pBdr>
          <w:bottom w:val="single" w:sz="12" w:space="4" w:color="1F4E79"/>
        </w:pBdr>
      </w:pPr>
      <w:r>
        <w:rPr>
          <w:rFonts w:ascii="Arial" w:hAnsi="Arial" w:cs="Arial" w:eastAsia="Arial"/>
          <w:b/>
          <w:color w:val="1F4E79"/>
          <w:sz w:val="30"/>
        </w:rPr>
        <w:t>6. Trigger Event</w:t>
      </w:r>
    </w:p>
    <w:p>
      <w:pPr>
        <w:spacing w:before="0" w:after="120" w:line="307" w:lineRule="auto"/>
      </w:pPr>
      <w:r>
        <w:rPr>
          <w:rFonts w:ascii="Arial" w:hAnsi="Arial" w:cs="Arial" w:eastAsia="Arial"/>
          <w:b w:val="0"/>
          <w:i w:val="0"/>
          <w:color w:val="1B2733"/>
          <w:sz w:val="19"/>
        </w:rPr>
        <w:t>According to the direct case-study interview, Ōmaki Seiki learned of NK's intention to close at the end of December 2023 . Ōmaki Seiki's president,大町亮介, reacted immediately. His stated concern was not limited to losing a supplier. He believed that NK's closure could create a broader supply-chain problem and potentially contribute to additional closures among small manufacturing companies connected to the same industrial ecosystem. At the same time, he recognized that bringing casting capability inside Ōmaki Seiki could expand the company's own business scope. This produces two distinct but complementary motivations: Defensive motive Preserve an existing supply chain. Offensive motive Internalize an upstream capability and expand the company's addressable manufacturing work.</w:t>
      </w:r>
    </w:p>
    <w:p>
      <w:pPr>
        <w:pStyle w:val="Heading1"/>
        <w:keepNext/>
        <w:spacing w:before="280" w:after="60" w:line="252" w:lineRule="auto"/>
        <w:pBdr>
          <w:bottom w:val="single" w:sz="12" w:space="4" w:color="1F4E79"/>
        </w:pBdr>
      </w:pPr>
      <w:r>
        <w:rPr>
          <w:rFonts w:ascii="Arial" w:hAnsi="Arial" w:cs="Arial" w:eastAsia="Arial"/>
          <w:b/>
          <w:color w:val="1F4E79"/>
          <w:sz w:val="30"/>
        </w:rPr>
        <w:t>7. Transaction Structure</w:t>
      </w:r>
    </w:p>
    <w:p>
      <w:pPr>
        <w:spacing w:before="0" w:after="120" w:line="307" w:lineRule="auto"/>
      </w:pPr>
      <w:r>
        <w:rPr>
          <w:rFonts w:ascii="Arial" w:hAnsi="Arial" w:cs="Arial" w:eastAsia="Arial"/>
          <w:b w:val="0"/>
          <w:i w:val="0"/>
          <w:color w:val="1B2733"/>
          <w:sz w:val="19"/>
        </w:rPr>
        <w:t>The public government case explicitly identifies the transaction as:事業譲渡</w:t>
      </w:r>
    </w:p>
    <w:p>
      <w:pPr>
        <w:pStyle w:val="ListBullet"/>
        <w:spacing w:before="0" w:after="60" w:line="293" w:lineRule="auto"/>
        <w:ind w:left="351" w:hanging="193"/>
      </w:pPr>
      <w:r>
        <w:rPr>
          <w:rFonts w:ascii="Arial" w:hAnsi="Arial" w:cs="Arial" w:eastAsia="Arial"/>
          <w:color w:val="1B2733"/>
          <w:sz w:val="19"/>
        </w:rPr>
        <w:t>business transfer rather than a documented acquisition of NK's shares. The transferred assets are identified as:</w:t>
      </w:r>
    </w:p>
    <w:p>
      <w:pPr>
        <w:pStyle w:val="ListBullet"/>
        <w:spacing w:before="0" w:after="60" w:line="293" w:lineRule="auto"/>
        <w:ind w:left="351" w:hanging="193"/>
      </w:pPr>
      <w:r>
        <w:rPr>
          <w:rFonts w:ascii="Arial" w:hAnsi="Arial" w:cs="Arial" w:eastAsia="Arial"/>
          <w:color w:val="1B2733"/>
          <w:sz w:val="19"/>
        </w:rPr>
        <w:t>employees;</w:t>
      </w:r>
    </w:p>
    <w:p>
      <w:pPr>
        <w:pStyle w:val="ListBullet"/>
        <w:spacing w:before="0" w:after="60" w:line="293" w:lineRule="auto"/>
        <w:ind w:left="351" w:hanging="193"/>
      </w:pPr>
      <w:r>
        <w:rPr>
          <w:rFonts w:ascii="Arial" w:hAnsi="Arial" w:cs="Arial" w:eastAsia="Arial"/>
          <w:color w:val="1B2733"/>
          <w:sz w:val="19"/>
        </w:rPr>
        <w:t>equipment;</w:t>
      </w:r>
    </w:p>
    <w:p>
      <w:pPr>
        <w:pStyle w:val="ListBullet"/>
        <w:spacing w:before="0" w:after="60" w:line="293" w:lineRule="auto"/>
        <w:ind w:left="351" w:hanging="193"/>
      </w:pPr>
      <w:r>
        <w:rPr>
          <w:rFonts w:ascii="Arial" w:hAnsi="Arial" w:cs="Arial" w:eastAsia="Arial"/>
          <w:color w:val="1B2733"/>
          <w:sz w:val="19"/>
        </w:rPr>
        <w:t>existing business relationships/customers. The transaction can therefore be represented as: NK</w:t>
      </w:r>
    </w:p>
    <w:p>
      <w:pPr>
        <w:spacing w:before="0" w:after="120" w:line="307" w:lineRule="auto"/>
      </w:pPr>
      <w:r>
        <w:rPr>
          <w:rFonts w:ascii="Arial" w:hAnsi="Arial" w:cs="Arial" w:eastAsia="Arial"/>
          <w:b w:val="0"/>
          <w:i w:val="0"/>
          <w:color w:val="1B2733"/>
          <w:sz w:val="19"/>
        </w:rPr>
        <w:t>Existing business │ ┌─────────────┼──────────────┐ ↓             ↓              ↓ Employees      Equipment     Customers │             │              │ └─────────────┼──────────────┘ ↓ Ōmaki Seiki This is materially different from a conventional stock acquisition. The publicly available sources do not disclose:</w:t>
      </w:r>
    </w:p>
    <w:p>
      <w:pPr>
        <w:pStyle w:val="ListBullet"/>
        <w:spacing w:before="0" w:after="60" w:line="293" w:lineRule="auto"/>
        <w:ind w:left="351" w:hanging="193"/>
      </w:pPr>
      <w:r>
        <w:rPr>
          <w:rFonts w:ascii="Arial" w:hAnsi="Arial" w:cs="Arial" w:eastAsia="Arial"/>
          <w:color w:val="1B2733"/>
          <w:sz w:val="19"/>
        </w:rPr>
        <w:t>purchase price;</w:t>
      </w:r>
    </w:p>
    <w:p>
      <w:pPr>
        <w:pStyle w:val="ListBullet"/>
        <w:spacing w:before="0" w:after="60" w:line="293" w:lineRule="auto"/>
        <w:ind w:left="351" w:hanging="193"/>
      </w:pPr>
      <w:r>
        <w:rPr>
          <w:rFonts w:ascii="Arial" w:hAnsi="Arial" w:cs="Arial" w:eastAsia="Arial"/>
          <w:color w:val="1B2733"/>
          <w:sz w:val="19"/>
        </w:rPr>
        <w:t>detailed consideration;</w:t>
      </w:r>
    </w:p>
    <w:p>
      <w:pPr>
        <w:pStyle w:val="ListBullet"/>
        <w:spacing w:before="0" w:after="60" w:line="293" w:lineRule="auto"/>
        <w:ind w:left="351" w:hanging="193"/>
      </w:pPr>
      <w:r>
        <w:rPr>
          <w:rFonts w:ascii="Arial" w:hAnsi="Arial" w:cs="Arial" w:eastAsia="Arial"/>
          <w:color w:val="1B2733"/>
          <w:sz w:val="19"/>
        </w:rPr>
        <w:t>detailed liability allocation;</w:t>
      </w:r>
    </w:p>
    <w:p>
      <w:pPr>
        <w:pStyle w:val="ListBullet"/>
        <w:spacing w:before="0" w:after="60" w:line="293" w:lineRule="auto"/>
        <w:ind w:left="351" w:hanging="193"/>
      </w:pPr>
      <w:r>
        <w:rPr>
          <w:rFonts w:ascii="Arial" w:hAnsi="Arial" w:cs="Arial" w:eastAsia="Arial"/>
          <w:color w:val="1B2733"/>
          <w:sz w:val="19"/>
        </w:rPr>
        <w:t>full contract-transfer schedule;</w:t>
      </w:r>
    </w:p>
    <w:p>
      <w:pPr>
        <w:pStyle w:val="ListBullet"/>
        <w:spacing w:before="0" w:after="60" w:line="293" w:lineRule="auto"/>
        <w:ind w:left="351" w:hanging="193"/>
      </w:pPr>
      <w:r>
        <w:rPr>
          <w:rFonts w:ascii="Arial" w:hAnsi="Arial" w:cs="Arial" w:eastAsia="Arial"/>
          <w:color w:val="1B2733"/>
          <w:sz w:val="19"/>
        </w:rPr>
        <w:t>exact closing date;</w:t>
      </w:r>
    </w:p>
    <w:p>
      <w:pPr>
        <w:pStyle w:val="ListBullet"/>
        <w:spacing w:before="0" w:after="60" w:line="293" w:lineRule="auto"/>
        <w:ind w:left="351" w:hanging="193"/>
      </w:pPr>
      <w:r>
        <w:rPr>
          <w:rFonts w:ascii="Arial" w:hAnsi="Arial" w:cs="Arial" w:eastAsia="Arial"/>
          <w:color w:val="1B2733"/>
          <w:sz w:val="19"/>
        </w:rPr>
        <w:t>whether all contracts were legally assigned or replaced;</w:t>
      </w:r>
    </w:p>
    <w:p>
      <w:pPr>
        <w:pStyle w:val="ListBullet"/>
        <w:spacing w:before="0" w:after="60" w:line="293" w:lineRule="auto"/>
        <w:ind w:left="351" w:hanging="193"/>
      </w:pPr>
      <w:r>
        <w:rPr>
          <w:rFonts w:ascii="Arial" w:hAnsi="Arial" w:cs="Arial" w:eastAsia="Arial"/>
          <w:color w:val="1B2733"/>
          <w:sz w:val="19"/>
        </w:rPr>
        <w:t>whether any third-party M&amp;A intermediary participated. These elements should therefore be classified as unknown , not inferred.</w:t>
      </w:r>
    </w:p>
    <w:p>
      <w:pPr>
        <w:pStyle w:val="Heading1"/>
        <w:keepNext/>
        <w:spacing w:before="280" w:after="60" w:line="252" w:lineRule="auto"/>
        <w:pBdr>
          <w:bottom w:val="single" w:sz="12" w:space="4" w:color="1F4E79"/>
        </w:pBdr>
      </w:pPr>
      <w:r>
        <w:rPr>
          <w:rFonts w:ascii="Arial" w:hAnsi="Arial" w:cs="Arial" w:eastAsia="Arial"/>
          <w:b/>
          <w:color w:val="1F4E79"/>
          <w:sz w:val="30"/>
        </w:rPr>
        <w:t>8. Human Capital Transfer</w:t>
      </w:r>
    </w:p>
    <w:p>
      <w:pPr>
        <w:spacing w:before="0" w:after="120" w:line="307" w:lineRule="auto"/>
      </w:pPr>
      <w:r>
        <w:rPr>
          <w:rFonts w:ascii="Arial" w:hAnsi="Arial" w:cs="Arial" w:eastAsia="Arial"/>
          <w:b w:val="0"/>
          <w:i w:val="0"/>
          <w:color w:val="1B2733"/>
          <w:sz w:val="19"/>
        </w:rPr>
        <w:t>The government case provides unusually specific evidence concerning employees. NK had approximately five employees before the succession. The case study specifically states that three employees joined Ōmaki Seiki . This distinction matters. The evidence does not justify saying: "All NK employees transferred." The defensible statement is: NK had approximately five employees, of whom three are specifically documented as joining Ōmaki Seiki. The integration also involved modifications and environmental improvements required to accommodate the incoming employees. According to the case study, these modifications did not require a major investment.</w:t>
      </w:r>
    </w:p>
    <w:p>
      <w:pPr>
        <w:pStyle w:val="Heading1"/>
        <w:keepNext/>
        <w:spacing w:before="280" w:after="60" w:line="252" w:lineRule="auto"/>
        <w:pBdr>
          <w:bottom w:val="single" w:sz="12" w:space="4" w:color="1F4E79"/>
        </w:pBdr>
      </w:pPr>
      <w:r>
        <w:rPr>
          <w:rFonts w:ascii="Arial" w:hAnsi="Arial" w:cs="Arial" w:eastAsia="Arial"/>
          <w:b/>
          <w:color w:val="1F4E79"/>
          <w:sz w:val="30"/>
        </w:rPr>
        <w:t>9. Former NK Management</w:t>
      </w:r>
    </w:p>
    <w:p>
      <w:pPr>
        <w:spacing w:before="0" w:after="120" w:line="307" w:lineRule="auto"/>
      </w:pPr>
      <w:r>
        <w:rPr>
          <w:rFonts w:ascii="Arial" w:hAnsi="Arial" w:cs="Arial" w:eastAsia="Arial"/>
          <w:b w:val="0"/>
          <w:i w:val="0"/>
          <w:color w:val="1B2733"/>
          <w:sz w:val="19"/>
        </w:rPr>
        <w:t>The transition was not limited to rank-and-file employees. The government casebook identifies Tsuyoshi Kamikawa , the former NK president, as subsequently working in Ōmaki Seiki's sales department. The casebook caption explicitly identifies him as: Ōmaki Seiki Sales Department - former NK president. This is significant because it indicates that the succession preserved not only physical assets but also organizational and commercial knowledge . The transferred capabilities therefore included: Physical assets + Employees + Customer relationships + Management / commercial knowledge This provides a stronger explanation for why the transition could be implemented rapidly.</w:t>
      </w:r>
    </w:p>
    <w:p>
      <w:pPr>
        <w:pStyle w:val="Heading1"/>
        <w:keepNext/>
        <w:spacing w:before="280" w:after="60" w:line="252" w:lineRule="auto"/>
        <w:pBdr>
          <w:bottom w:val="single" w:sz="12" w:space="4" w:color="1F4E79"/>
        </w:pBdr>
      </w:pPr>
      <w:r>
        <w:rPr>
          <w:rFonts w:ascii="Arial" w:hAnsi="Arial" w:cs="Arial" w:eastAsia="Arial"/>
          <w:b/>
          <w:color w:val="1F4E79"/>
          <w:sz w:val="30"/>
        </w:rPr>
        <w:t>10. Customer Continuity</w:t>
      </w:r>
    </w:p>
    <w:p>
      <w:pPr>
        <w:spacing w:before="0" w:after="120" w:line="307" w:lineRule="auto"/>
      </w:pPr>
      <w:r>
        <w:rPr>
          <w:rFonts w:ascii="Arial" w:hAnsi="Arial" w:cs="Arial" w:eastAsia="Arial"/>
          <w:b w:val="0"/>
          <w:i w:val="0"/>
          <w:color w:val="1B2733"/>
          <w:sz w:val="19"/>
        </w:rPr>
        <w:t>Customer retention was explicitly identified as a concern during the transaction. NK's management was concerned that existing customers might move to other suppliers after the planned closure. The successor therefore communicated the succession to major customers at an early stage. Customers had been concerned about future component procurement following NK's closure; the involvement of Ōmaki Seiki reduced that concern because the successor could maintain production and quality-control continuity. This indicates that customer relationships were not merely incidental assets. They were an important component of the succession's economic value. The appropriate description is: Existing customer/business relationships were transferred as part of the business succession. The evidence does not establish that every NK customer transferred, nor does it disclose customer-level revenue concentration.</w:t>
      </w:r>
    </w:p>
    <w:p>
      <w:pPr>
        <w:pStyle w:val="Heading1"/>
        <w:keepNext/>
        <w:spacing w:before="280" w:after="60" w:line="252" w:lineRule="auto"/>
        <w:pBdr>
          <w:bottom w:val="single" w:sz="12" w:space="4" w:color="1F4E79"/>
        </w:pBdr>
      </w:pPr>
      <w:r>
        <w:rPr>
          <w:rFonts w:ascii="Arial" w:hAnsi="Arial" w:cs="Arial" w:eastAsia="Arial"/>
          <w:b/>
          <w:color w:val="1F4E79"/>
          <w:sz w:val="30"/>
        </w:rPr>
        <w:t>11. Equipment Transfer</w:t>
      </w:r>
    </w:p>
    <w:p>
      <w:pPr>
        <w:spacing w:before="0" w:after="120" w:line="307" w:lineRule="auto"/>
      </w:pPr>
      <w:r>
        <w:rPr>
          <w:rFonts w:ascii="Arial" w:hAnsi="Arial" w:cs="Arial" w:eastAsia="Arial"/>
          <w:b w:val="0"/>
          <w:i w:val="0"/>
          <w:color w:val="1B2733"/>
          <w:sz w:val="19"/>
        </w:rPr>
        <w:t>The case documents the transfer and relocation of NK's equipment. It specifically mentions the relocation of NK's inspection equipment and the facility modifications required to accommodate the transferred employees. This point is important when reconstructing the actual operational integration. The public evidence does not establish that Ōmaki Seiki acquired every physical asset formerly used by NK. It establishes that relevant production/inspection equipment was transferred as part of the business succession.</w:t>
      </w:r>
    </w:p>
    <w:p>
      <w:pPr>
        <w:pStyle w:val="Heading1"/>
        <w:keepNext/>
        <w:spacing w:before="280" w:after="60" w:line="252" w:lineRule="auto"/>
        <w:pBdr>
          <w:bottom w:val="single" w:sz="12" w:space="4" w:color="1F4E79"/>
        </w:pBdr>
      </w:pPr>
      <w:r>
        <w:rPr>
          <w:rFonts w:ascii="Arial" w:hAnsi="Arial" w:cs="Arial" w:eastAsia="Arial"/>
          <w:b/>
          <w:color w:val="1F4E79"/>
          <w:sz w:val="30"/>
        </w:rPr>
        <w:t>12. Legal Entity Lifecycle</w:t>
      </w:r>
    </w:p>
    <w:p>
      <w:pPr>
        <w:spacing w:before="0" w:after="120" w:line="307" w:lineRule="auto"/>
      </w:pPr>
      <w:r>
        <w:rPr>
          <w:rFonts w:ascii="Arial" w:hAnsi="Arial" w:cs="Arial" w:eastAsia="Arial"/>
          <w:b w:val="0"/>
          <w:i w:val="0"/>
          <w:color w:val="1B2733"/>
          <w:sz w:val="19"/>
        </w:rPr>
        <w:t>Independent government corporate data provides a useful check against the narrative. gBizINFO records:株式会社エヌケー</w:t>
      </w:r>
    </w:p>
    <w:p>
      <w:pPr>
        <w:pStyle w:val="ListBullet"/>
        <w:spacing w:before="0" w:after="60" w:line="293" w:lineRule="auto"/>
        <w:ind w:left="351" w:hanging="193"/>
      </w:pPr>
      <w:r>
        <w:rPr>
          <w:rFonts w:ascii="Arial" w:hAnsi="Arial" w:cs="Arial" w:eastAsia="Arial"/>
          <w:color w:val="1B2733"/>
          <w:sz w:val="19"/>
        </w:rPr>
        <w:t>Corporate Number: 1030001078230</w:t>
      </w:r>
    </w:p>
    <w:p>
      <w:pPr>
        <w:pStyle w:val="ListBullet"/>
        <w:spacing w:before="0" w:after="60" w:line="293" w:lineRule="auto"/>
        <w:ind w:left="351" w:hanging="193"/>
      </w:pPr>
      <w:r>
        <w:rPr>
          <w:rFonts w:ascii="Arial" w:hAnsi="Arial" w:cs="Arial" w:eastAsia="Arial"/>
          <w:color w:val="1B2733"/>
          <w:sz w:val="19"/>
        </w:rPr>
        <w:t>Registered office: Kawaguchi, Saitama</w:t>
      </w:r>
    </w:p>
    <w:p>
      <w:pPr>
        <w:pStyle w:val="ListBullet"/>
        <w:spacing w:before="0" w:after="60" w:line="293" w:lineRule="auto"/>
        <w:ind w:left="351" w:hanging="193"/>
      </w:pPr>
      <w:r>
        <w:rPr>
          <w:rFonts w:ascii="Arial" w:hAnsi="Arial" w:cs="Arial" w:eastAsia="Arial"/>
          <w:color w:val="1B2733"/>
          <w:sz w:val="19"/>
        </w:rPr>
        <w:t>Status: closed</w:t>
      </w:r>
    </w:p>
    <w:p>
      <w:pPr>
        <w:pStyle w:val="ListBullet"/>
        <w:spacing w:before="0" w:after="60" w:line="293" w:lineRule="auto"/>
        <w:ind w:left="351" w:hanging="193"/>
      </w:pPr>
      <w:r>
        <w:rPr>
          <w:rFonts w:ascii="Arial" w:hAnsi="Arial" w:cs="Arial" w:eastAsia="Arial"/>
          <w:color w:val="1B2733"/>
          <w:sz w:val="19"/>
        </w:rPr>
        <w:t>Reason:清算の結了等</w:t>
      </w:r>
    </w:p>
    <w:p>
      <w:pPr>
        <w:pStyle w:val="ListBullet"/>
        <w:spacing w:before="0" w:after="60" w:line="293" w:lineRule="auto"/>
        <w:ind w:left="351" w:hanging="193"/>
      </w:pPr>
      <w:r>
        <w:rPr>
          <w:rFonts w:ascii="Arial" w:hAnsi="Arial" w:cs="Arial" w:eastAsia="Arial"/>
          <w:color w:val="1B2733"/>
          <w:sz w:val="19"/>
        </w:rPr>
        <w:t>completion of liquidation, etc.</w:t>
      </w:r>
    </w:p>
    <w:p>
      <w:pPr>
        <w:pStyle w:val="ListBullet"/>
        <w:spacing w:before="0" w:after="60" w:line="293" w:lineRule="auto"/>
        <w:ind w:left="351" w:hanging="193"/>
      </w:pPr>
      <w:r>
        <w:rPr>
          <w:rFonts w:ascii="Arial" w:hAnsi="Arial" w:cs="Arial" w:eastAsia="Arial"/>
          <w:color w:val="1B2733"/>
          <w:sz w:val="19"/>
        </w:rPr>
        <w:t>Corporate record closure: 15 November 2024 . The same government data records:</w:t>
      </w:r>
    </w:p>
    <w:p>
      <w:pPr>
        <w:pStyle w:val="ListBullet"/>
        <w:spacing w:before="0" w:after="60" w:line="293" w:lineRule="auto"/>
        <w:ind w:left="351" w:hanging="193"/>
      </w:pPr>
      <w:r>
        <w:rPr>
          <w:rFonts w:ascii="Arial" w:hAnsi="Arial" w:cs="Arial" w:eastAsia="Arial"/>
          <w:color w:val="1B2733"/>
          <w:sz w:val="19"/>
        </w:rPr>
        <w:t>insured employees: 0</w:t>
      </w:r>
    </w:p>
    <w:p>
      <w:pPr>
        <w:pStyle w:val="ListBullet"/>
        <w:spacing w:before="0" w:after="60" w:line="293" w:lineRule="auto"/>
        <w:ind w:left="351" w:hanging="193"/>
      </w:pPr>
      <w:r>
        <w:rPr>
          <w:rFonts w:ascii="Arial" w:hAnsi="Arial" w:cs="Arial" w:eastAsia="Arial"/>
          <w:color w:val="1B2733"/>
          <w:sz w:val="19"/>
        </w:rPr>
        <w:t>termination of the applicable employment/social-insurance establishment: 1 May</w:t>
      </w:r>
    </w:p>
    <w:p>
      <w:pPr>
        <w:spacing w:before="0" w:after="120" w:line="307" w:lineRule="auto"/>
      </w:pPr>
      <w:r>
        <w:rPr>
          <w:rFonts w:ascii="Arial" w:hAnsi="Arial" w:cs="Arial" w:eastAsia="Arial"/>
          <w:b w:val="0"/>
          <w:i w:val="0"/>
          <w:color w:val="1B2733"/>
          <w:sz w:val="19"/>
        </w:rPr>
        <w:t>2024 . These dates should not be confused with the transaction date. The evidence supports the following sequence: Late Dec. 2023 NK announces/intends to cease operations ↓ Business succession process ↓ Employees / equipment / customers transferred to Ōmaki Seiki ↓ 2024 Ōmaki Seiki begins casting operations ↓ 1 May 2024 NK's registered social-insurance employment footprint reaches zero ↓ 15 Nov. 2024 NK legal entity record closes The exact closing date of the business transfer is not publicly established. What can be established is that the operating business was transferred and the original legal entity subsequently ceased to exist as an active company .</w:t>
      </w:r>
    </w:p>
    <w:p>
      <w:pPr>
        <w:pStyle w:val="Heading1"/>
        <w:keepNext/>
        <w:spacing w:before="280" w:after="60" w:line="252" w:lineRule="auto"/>
        <w:pBdr>
          <w:bottom w:val="single" w:sz="12" w:space="4" w:color="1F4E79"/>
        </w:pBdr>
      </w:pPr>
      <w:r>
        <w:rPr>
          <w:rFonts w:ascii="Arial" w:hAnsi="Arial" w:cs="Arial" w:eastAsia="Arial"/>
          <w:b/>
          <w:color w:val="1F4E79"/>
          <w:sz w:val="30"/>
        </w:rPr>
        <w:t>13. Operational Integration</w:t>
      </w:r>
    </w:p>
    <w:p>
      <w:pPr>
        <w:spacing w:before="0" w:after="120" w:line="307" w:lineRule="auto"/>
      </w:pPr>
      <w:r>
        <w:rPr>
          <w:rFonts w:ascii="Arial" w:hAnsi="Arial" w:cs="Arial" w:eastAsia="Arial"/>
          <w:b w:val="0"/>
          <w:i w:val="0"/>
          <w:color w:val="1B2733"/>
          <w:sz w:val="19"/>
        </w:rPr>
        <w:t>The transaction fundamentally changed Ōmaki Seiki's position in the manufacturing chain.</w:t>
      </w:r>
    </w:p>
    <w:p>
      <w:pPr>
        <w:pStyle w:val="Heading1"/>
        <w:keepNext/>
        <w:spacing w:before="280" w:after="60" w:line="252" w:lineRule="auto"/>
        <w:pBdr>
          <w:bottom w:val="single" w:sz="12" w:space="4" w:color="1F4E79"/>
        </w:pBdr>
      </w:pPr>
      <w:r>
        <w:rPr>
          <w:rFonts w:ascii="Arial" w:hAnsi="Arial" w:cs="Arial" w:eastAsia="Arial"/>
          <w:b/>
          <w:color w:val="1F4E79"/>
          <w:sz w:val="30"/>
        </w:rPr>
        <w:t>Before</w:t>
      </w:r>
    </w:p>
    <w:p>
      <w:pPr>
        <w:spacing w:before="0" w:after="120" w:line="307" w:lineRule="auto"/>
      </w:pPr>
      <w:r>
        <w:rPr>
          <w:rFonts w:ascii="Arial" w:hAnsi="Arial" w:cs="Arial" w:eastAsia="Arial"/>
          <w:b w:val="0"/>
          <w:i w:val="0"/>
          <w:color w:val="1B2733"/>
          <w:sz w:val="19"/>
        </w:rPr>
        <w:t>Casting ↓ NK ↓ Ōmaki Seiki machining ↓ Customer Casting was an external function.</w:t>
      </w:r>
    </w:p>
    <w:p>
      <w:pPr>
        <w:pStyle w:val="Heading1"/>
        <w:keepNext/>
        <w:spacing w:before="280" w:after="60" w:line="252" w:lineRule="auto"/>
        <w:pBdr>
          <w:bottom w:val="single" w:sz="12" w:space="4" w:color="1F4E79"/>
        </w:pBdr>
      </w:pPr>
      <w:r>
        <w:rPr>
          <w:rFonts w:ascii="Arial" w:hAnsi="Arial" w:cs="Arial" w:eastAsia="Arial"/>
          <w:b/>
          <w:color w:val="1F4E79"/>
          <w:sz w:val="30"/>
        </w:rPr>
        <w:t>After</w:t>
      </w:r>
    </w:p>
    <w:p>
      <w:pPr>
        <w:spacing w:before="0" w:after="120" w:line="307" w:lineRule="auto"/>
      </w:pPr>
      <w:r>
        <w:rPr>
          <w:rFonts w:ascii="Arial" w:hAnsi="Arial" w:cs="Arial" w:eastAsia="Arial"/>
          <w:b w:val="0"/>
          <w:i w:val="0"/>
          <w:color w:val="1B2733"/>
          <w:sz w:val="19"/>
        </w:rPr>
        <w:t>ŌMAKI SEIKI ┌────────────────────┐ │                    │ │      Casting       │ │         ↓          │ │     Machining      │ │         ↓          │ │    Inspection      │ │                    │ └─────────┬──────────┘ ↓ Customer The government describes the resulting capability as integrated production from casting through machining . Ōmaki Seiki's own corporate history records: 2024 -鋳造業務を開始しましたmeaning that the company began casting operations in 2024. Its current public business description includes casting, machining and measurement/inspection capabilities, supporting the conclusion that the casting capability became part of the company's continuing operating model rather than remaining a temporary succession arrangement.</w:t>
      </w:r>
    </w:p>
    <w:p>
      <w:pPr>
        <w:pStyle w:val="Heading1"/>
        <w:keepNext/>
        <w:spacing w:before="280" w:after="60" w:line="252" w:lineRule="auto"/>
        <w:pBdr>
          <w:bottom w:val="single" w:sz="12" w:space="4" w:color="1F4E79"/>
        </w:pBdr>
      </w:pPr>
      <w:r>
        <w:rPr>
          <w:rFonts w:ascii="Arial" w:hAnsi="Arial" w:cs="Arial" w:eastAsia="Arial"/>
          <w:b/>
          <w:color w:val="1F4E79"/>
          <w:sz w:val="30"/>
        </w:rPr>
        <w:t>14. Strategic Logic</w:t>
      </w:r>
    </w:p>
    <w:p>
      <w:pPr>
        <w:spacing w:before="0" w:after="120" w:line="307" w:lineRule="auto"/>
      </w:pPr>
      <w:r>
        <w:rPr>
          <w:rFonts w:ascii="Arial" w:hAnsi="Arial" w:cs="Arial" w:eastAsia="Arial"/>
          <w:b w:val="0"/>
          <w:i w:val="0"/>
          <w:color w:val="1B2733"/>
          <w:sz w:val="19"/>
        </w:rPr>
        <w:t>The transaction generated value through several mechanisms.</w:t>
      </w:r>
    </w:p>
    <w:p>
      <w:pPr>
        <w:pStyle w:val="Heading1"/>
        <w:keepNext/>
        <w:spacing w:before="280" w:after="60" w:line="252" w:lineRule="auto"/>
        <w:pBdr>
          <w:bottom w:val="single" w:sz="12" w:space="4" w:color="1F4E79"/>
        </w:pBdr>
      </w:pPr>
      <w:r>
        <w:rPr>
          <w:rFonts w:ascii="Arial" w:hAnsi="Arial" w:cs="Arial" w:eastAsia="Arial"/>
          <w:b/>
          <w:color w:val="1F4E79"/>
          <w:sz w:val="30"/>
        </w:rPr>
        <w:t>14.1 Supply-chain preservation</w:t>
      </w:r>
    </w:p>
    <w:p>
      <w:pPr>
        <w:spacing w:before="0" w:after="120" w:line="307" w:lineRule="auto"/>
      </w:pPr>
      <w:r>
        <w:rPr>
          <w:rFonts w:ascii="Arial" w:hAnsi="Arial" w:cs="Arial" w:eastAsia="Arial"/>
          <w:b w:val="0"/>
          <w:i w:val="0"/>
          <w:color w:val="1B2733"/>
          <w:sz w:val="19"/>
        </w:rPr>
        <w:t>The closure of NK could have interrupted the casting → machining relationship. Succession preserved the existing chain. Supplier closure risk ↓ Potential production disruption ↓ Ōmaki Seiki succession ↓ Supply-chain continuity</w:t>
      </w:r>
    </w:p>
    <w:p>
      <w:pPr>
        <w:pStyle w:val="Heading1"/>
        <w:keepNext/>
        <w:spacing w:before="280" w:after="60" w:line="252" w:lineRule="auto"/>
        <w:pBdr>
          <w:bottom w:val="single" w:sz="12" w:space="4" w:color="1F4E79"/>
        </w:pBdr>
      </w:pPr>
      <w:r>
        <w:rPr>
          <w:rFonts w:ascii="Arial" w:hAnsi="Arial" w:cs="Arial" w:eastAsia="Arial"/>
          <w:b/>
          <w:color w:val="1F4E79"/>
          <w:sz w:val="30"/>
        </w:rPr>
        <w:t>14.2 Vertical integration</w:t>
      </w:r>
    </w:p>
    <w:p>
      <w:pPr>
        <w:spacing w:before="0" w:after="120" w:line="307" w:lineRule="auto"/>
      </w:pPr>
      <w:r>
        <w:rPr>
          <w:rFonts w:ascii="Arial" w:hAnsi="Arial" w:cs="Arial" w:eastAsia="Arial"/>
          <w:b w:val="0"/>
          <w:i w:val="0"/>
          <w:color w:val="1B2733"/>
          <w:sz w:val="19"/>
        </w:rPr>
        <w:t>Ōmaki Seiki had previously outsourced casting. After the succession, it could internalize the upstream process. External casting ↓ Business succession ↓ Internal casting ↓ Casting + machining This reduced the structural separation between upstream and downstream production.</w:t>
      </w:r>
    </w:p>
    <w:p>
      <w:pPr>
        <w:pStyle w:val="Heading1"/>
        <w:keepNext/>
        <w:spacing w:before="280" w:after="60" w:line="252" w:lineRule="auto"/>
        <w:pBdr>
          <w:bottom w:val="single" w:sz="12" w:space="4" w:color="1F4E79"/>
        </w:pBdr>
      </w:pPr>
      <w:r>
        <w:rPr>
          <w:rFonts w:ascii="Arial" w:hAnsi="Arial" w:cs="Arial" w:eastAsia="Arial"/>
          <w:b/>
          <w:color w:val="1F4E79"/>
          <w:sz w:val="30"/>
        </w:rPr>
        <w:t>14.3 Broader customer proposition</w:t>
      </w:r>
    </w:p>
    <w:p>
      <w:pPr>
        <w:spacing w:before="0" w:after="120" w:line="307" w:lineRule="auto"/>
      </w:pPr>
      <w:r>
        <w:rPr>
          <w:rFonts w:ascii="Arial" w:hAnsi="Arial" w:cs="Arial" w:eastAsia="Arial"/>
          <w:b w:val="0"/>
          <w:i w:val="0"/>
          <w:color w:val="1B2733"/>
          <w:sz w:val="19"/>
        </w:rPr>
        <w:t>The government explicitly identifies the ability to respond to a wider range of metal-processing requirements and obtain new projects as a synergy of the transaction. Instead of offering only machining, the company could offer a broader manufacturing chain. This potentially reduces coordination requirements for customers and allows Ōmaki Seiki to compete for projects requiring multiple processes.</w:t>
      </w:r>
    </w:p>
    <w:p>
      <w:pPr>
        <w:pStyle w:val="Heading1"/>
        <w:keepNext/>
        <w:spacing w:before="280" w:after="60" w:line="252" w:lineRule="auto"/>
        <w:pBdr>
          <w:bottom w:val="single" w:sz="12" w:space="4" w:color="1F4E79"/>
        </w:pBdr>
      </w:pPr>
      <w:r>
        <w:rPr>
          <w:rFonts w:ascii="Arial" w:hAnsi="Arial" w:cs="Arial" w:eastAsia="Arial"/>
          <w:b/>
          <w:color w:val="1F4E79"/>
          <w:sz w:val="30"/>
        </w:rPr>
        <w:t>14.4 Preservation of organizational knowledge</w:t>
      </w:r>
    </w:p>
    <w:p>
      <w:pPr>
        <w:spacing w:before="0" w:after="120" w:line="307" w:lineRule="auto"/>
      </w:pPr>
      <w:r>
        <w:rPr>
          <w:rFonts w:ascii="Arial" w:hAnsi="Arial" w:cs="Arial" w:eastAsia="Arial"/>
          <w:b w:val="0"/>
          <w:i w:val="0"/>
          <w:color w:val="1B2733"/>
          <w:sz w:val="19"/>
        </w:rPr>
        <w:t>The transfer included:</w:t>
      </w:r>
    </w:p>
    <w:p>
      <w:pPr>
        <w:pStyle w:val="ListBullet"/>
        <w:spacing w:before="0" w:after="60" w:line="293" w:lineRule="auto"/>
        <w:ind w:left="351" w:hanging="193"/>
      </w:pPr>
      <w:r>
        <w:rPr>
          <w:rFonts w:ascii="Arial" w:hAnsi="Arial" w:cs="Arial" w:eastAsia="Arial"/>
          <w:color w:val="1B2733"/>
          <w:sz w:val="19"/>
        </w:rPr>
        <w:t>employees;</w:t>
      </w:r>
    </w:p>
    <w:p>
      <w:pPr>
        <w:pStyle w:val="ListBullet"/>
        <w:spacing w:before="0" w:after="60" w:line="293" w:lineRule="auto"/>
        <w:ind w:left="351" w:hanging="193"/>
      </w:pPr>
      <w:r>
        <w:rPr>
          <w:rFonts w:ascii="Arial" w:hAnsi="Arial" w:cs="Arial" w:eastAsia="Arial"/>
          <w:color w:val="1B2733"/>
          <w:sz w:val="19"/>
        </w:rPr>
        <w:t>inspection equipment;</w:t>
      </w:r>
    </w:p>
    <w:p>
      <w:pPr>
        <w:pStyle w:val="ListBullet"/>
        <w:spacing w:before="0" w:after="60" w:line="293" w:lineRule="auto"/>
        <w:ind w:left="351" w:hanging="193"/>
      </w:pPr>
      <w:r>
        <w:rPr>
          <w:rFonts w:ascii="Arial" w:hAnsi="Arial" w:cs="Arial" w:eastAsia="Arial"/>
          <w:color w:val="1B2733"/>
          <w:sz w:val="19"/>
        </w:rPr>
        <w:t>customer relationships;</w:t>
      </w:r>
    </w:p>
    <w:p>
      <w:pPr>
        <w:pStyle w:val="ListBullet"/>
        <w:spacing w:before="0" w:after="60" w:line="293" w:lineRule="auto"/>
        <w:ind w:left="351" w:hanging="193"/>
      </w:pPr>
      <w:r>
        <w:rPr>
          <w:rFonts w:ascii="Arial" w:hAnsi="Arial" w:cs="Arial" w:eastAsia="Arial"/>
          <w:color w:val="1B2733"/>
          <w:sz w:val="19"/>
        </w:rPr>
        <w:t>former management personnel. This reduced the amount of organizational knowledge that would otherwise have disappeared when NK closed.</w:t>
      </w:r>
    </w:p>
    <w:p>
      <w:pPr>
        <w:pStyle w:val="Heading1"/>
        <w:keepNext/>
        <w:spacing w:before="280" w:after="60" w:line="252" w:lineRule="auto"/>
        <w:pBdr>
          <w:bottom w:val="single" w:sz="12" w:space="4" w:color="1F4E79"/>
        </w:pBdr>
      </w:pPr>
      <w:r>
        <w:rPr>
          <w:rFonts w:ascii="Arial" w:hAnsi="Arial" w:cs="Arial" w:eastAsia="Arial"/>
          <w:b/>
          <w:color w:val="1F4E79"/>
          <w:sz w:val="30"/>
        </w:rPr>
        <w:t>14.5 Limited integration cost</w:t>
      </w:r>
    </w:p>
    <w:p>
      <w:pPr>
        <w:spacing w:before="0" w:after="120" w:line="307" w:lineRule="auto"/>
      </w:pPr>
      <w:r>
        <w:rPr>
          <w:rFonts w:ascii="Arial" w:hAnsi="Arial" w:cs="Arial" w:eastAsia="Arial"/>
          <w:b w:val="0"/>
          <w:i w:val="0"/>
          <w:color w:val="1B2733"/>
          <w:sz w:val="19"/>
        </w:rPr>
        <w:t>The case study states that the relocation of equipment and modifications for incoming employees did not result in a major investment burden. This is strategically significant. Building a casting capability independently would potentially require:</w:t>
      </w:r>
    </w:p>
    <w:p>
      <w:pPr>
        <w:pStyle w:val="ListBullet"/>
        <w:spacing w:before="0" w:after="60" w:line="293" w:lineRule="auto"/>
        <w:ind w:left="351" w:hanging="193"/>
      </w:pPr>
      <w:r>
        <w:rPr>
          <w:rFonts w:ascii="Arial" w:hAnsi="Arial" w:cs="Arial" w:eastAsia="Arial"/>
          <w:color w:val="1B2733"/>
          <w:sz w:val="19"/>
        </w:rPr>
        <w:t>equipment acquisition;</w:t>
      </w:r>
    </w:p>
    <w:p>
      <w:pPr>
        <w:pStyle w:val="ListBullet"/>
        <w:spacing w:before="0" w:after="60" w:line="293" w:lineRule="auto"/>
        <w:ind w:left="351" w:hanging="193"/>
      </w:pPr>
      <w:r>
        <w:rPr>
          <w:rFonts w:ascii="Arial" w:hAnsi="Arial" w:cs="Arial" w:eastAsia="Arial"/>
          <w:color w:val="1B2733"/>
          <w:sz w:val="19"/>
        </w:rPr>
        <w:t>recruitment;</w:t>
      </w:r>
    </w:p>
    <w:p>
      <w:pPr>
        <w:pStyle w:val="ListBullet"/>
        <w:spacing w:before="0" w:after="60" w:line="293" w:lineRule="auto"/>
        <w:ind w:left="351" w:hanging="193"/>
      </w:pPr>
      <w:r>
        <w:rPr>
          <w:rFonts w:ascii="Arial" w:hAnsi="Arial" w:cs="Arial" w:eastAsia="Arial"/>
          <w:color w:val="1B2733"/>
          <w:sz w:val="19"/>
        </w:rPr>
        <w:t>process development;</w:t>
      </w:r>
    </w:p>
    <w:p>
      <w:pPr>
        <w:pStyle w:val="ListBullet"/>
        <w:spacing w:before="0" w:after="60" w:line="293" w:lineRule="auto"/>
        <w:ind w:left="351" w:hanging="193"/>
      </w:pPr>
      <w:r>
        <w:rPr>
          <w:rFonts w:ascii="Arial" w:hAnsi="Arial" w:cs="Arial" w:eastAsia="Arial"/>
          <w:color w:val="1B2733"/>
          <w:sz w:val="19"/>
        </w:rPr>
        <w:t>supplier/customer qualification;</w:t>
      </w:r>
    </w:p>
    <w:p>
      <w:pPr>
        <w:pStyle w:val="ListBullet"/>
        <w:spacing w:before="0" w:after="60" w:line="293" w:lineRule="auto"/>
        <w:ind w:left="351" w:hanging="193"/>
      </w:pPr>
      <w:r>
        <w:rPr>
          <w:rFonts w:ascii="Arial" w:hAnsi="Arial" w:cs="Arial" w:eastAsia="Arial"/>
          <w:color w:val="1B2733"/>
          <w:sz w:val="19"/>
        </w:rPr>
        <w:t>quality-control development;</w:t>
      </w:r>
    </w:p>
    <w:p>
      <w:pPr>
        <w:pStyle w:val="ListBullet"/>
        <w:spacing w:before="0" w:after="60" w:line="293" w:lineRule="auto"/>
        <w:ind w:left="351" w:hanging="193"/>
      </w:pPr>
      <w:r>
        <w:rPr>
          <w:rFonts w:ascii="Arial" w:hAnsi="Arial" w:cs="Arial" w:eastAsia="Arial"/>
          <w:color w:val="1B2733"/>
          <w:sz w:val="19"/>
        </w:rPr>
        <w:t>relationship building. The succession provided access to several of these assets simultaneously.</w:t>
      </w:r>
    </w:p>
    <w:p>
      <w:pPr>
        <w:pStyle w:val="Heading1"/>
        <w:keepNext/>
        <w:spacing w:before="280" w:after="60" w:line="252" w:lineRule="auto"/>
        <w:pBdr>
          <w:bottom w:val="single" w:sz="12" w:space="4" w:color="1F4E79"/>
        </w:pBdr>
      </w:pPr>
      <w:r>
        <w:rPr>
          <w:rFonts w:ascii="Arial" w:hAnsi="Arial" w:cs="Arial" w:eastAsia="Arial"/>
          <w:b/>
          <w:color w:val="1F4E79"/>
          <w:sz w:val="30"/>
        </w:rPr>
        <w:t>15. Media Corroboration</w:t>
      </w:r>
    </w:p>
    <w:p>
      <w:pPr>
        <w:spacing w:before="0" w:after="120" w:line="307" w:lineRule="auto"/>
      </w:pPr>
      <w:r>
        <w:rPr>
          <w:rFonts w:ascii="Arial" w:hAnsi="Arial" w:cs="Arial" w:eastAsia="Arial"/>
          <w:b w:val="0"/>
          <w:i w:val="0"/>
          <w:color w:val="1B2733"/>
          <w:sz w:val="19"/>
        </w:rPr>
        <w:t>The event was not documented only retrospectively by the 2025 government White Paper. Industry media also reported the succession. A Nikkan Kogyo Shimbun report is titled:大槇精機、鋳造事業に来月参入 エヌケーから事業承継approximately: Ōmaki Seiki to enter the casting business the following month through succession from NK. The existence and headline of this contemporary report are publicly verifiable, although the complete article is not freely accessible. This is useful because it indicates that the casting-business entry was being reported as an active business-development event rather than being described only retrospectively in government policy material. A later industry-media interview with Ōmaki Seiki president大町亮介provides independent post-transaction corroboration. In the interview, Ōmachi states that the casting business transferred in 2024 was generating synergies and was performing well. This gives the following media chronology: Contemporary period ↓ Ōmaki Seiki enters casting through NK business succession ↓ 2024 Casting operations begin ↓ 2025 Government publishes detailed succession case ↓ 2025 President reports continuing synergy from inherited casting business The media evidence therefore corroborates the existence and persistence of the post-transaction integration.</w:t>
      </w:r>
    </w:p>
    <w:p>
      <w:pPr>
        <w:pStyle w:val="Heading1"/>
        <w:keepNext/>
        <w:spacing w:before="280" w:after="60" w:line="252" w:lineRule="auto"/>
        <w:pBdr>
          <w:bottom w:val="single" w:sz="12" w:space="4" w:color="1F4E79"/>
        </w:pBdr>
      </w:pPr>
      <w:r>
        <w:rPr>
          <w:rFonts w:ascii="Arial" w:hAnsi="Arial" w:cs="Arial" w:eastAsia="Arial"/>
          <w:b/>
          <w:color w:val="1F4E79"/>
          <w:sz w:val="30"/>
        </w:rPr>
        <w:t>16. Government Symposium Evidence</w:t>
      </w:r>
    </w:p>
    <w:p>
      <w:pPr>
        <w:spacing w:before="0" w:after="120" w:line="307" w:lineRule="auto"/>
      </w:pPr>
      <w:r>
        <w:rPr>
          <w:rFonts w:ascii="Arial" w:hAnsi="Arial" w:cs="Arial" w:eastAsia="Arial"/>
          <w:b w:val="0"/>
          <w:i w:val="0"/>
          <w:color w:val="1B2733"/>
          <w:sz w:val="19"/>
        </w:rPr>
        <w:t>The Japanese Small and Medium Enterprise Agency subsequently used the transaction as a dedicated example in a business-succession symposium. The official programme included:トークセッション1 (株)大槇精機/旧(株)エヌケーor: Talk Session 1 - Ōmaki Seiki / former NK. This provides an additional institutional confirmation that the transaction was considered a representative example of supply-chain business succession . It also provides a potential primary audiovisual source for further research. However, where the underlying video transcript is not available in searchable text, no additional factual claims should be extracted from the event without reviewing the recording itself.</w:t>
      </w:r>
    </w:p>
    <w:p>
      <w:pPr>
        <w:pStyle w:val="Heading1"/>
        <w:keepNext/>
        <w:spacing w:before="280" w:after="60" w:line="252" w:lineRule="auto"/>
        <w:pBdr>
          <w:bottom w:val="single" w:sz="12" w:space="4" w:color="1F4E79"/>
        </w:pBdr>
      </w:pPr>
      <w:r>
        <w:rPr>
          <w:rFonts w:ascii="Arial" w:hAnsi="Arial" w:cs="Arial" w:eastAsia="Arial"/>
          <w:b/>
          <w:color w:val="1F4E79"/>
          <w:sz w:val="30"/>
        </w:rPr>
        <w:t>17. The 10× Claim</w:t>
      </w:r>
    </w:p>
    <w:p>
      <w:pPr>
        <w:spacing w:before="0" w:after="120" w:line="307" w:lineRule="auto"/>
      </w:pPr>
      <w:r>
        <w:rPr>
          <w:rFonts w:ascii="Arial" w:hAnsi="Arial" w:cs="Arial" w:eastAsia="Arial"/>
          <w:b w:val="0"/>
          <w:i w:val="0"/>
          <w:color w:val="1B2733"/>
          <w:sz w:val="19"/>
        </w:rPr>
        <w:t>The most important quantitative claim requires special treatment. The 2025 Small Business White Paper states that after the succession: the volume of projects handled as a combined casting-to-machining package increased approximately tenfold compared with before the succession. This is a meaningful indicator because it directly measures the commercial consequence of the newly integrated manufacturing capability. However, the claim must be interpreted narrowly. It does not state that:</w:t>
      </w:r>
    </w:p>
    <w:p>
      <w:pPr>
        <w:pStyle w:val="ListBullet"/>
        <w:spacing w:before="0" w:after="60" w:line="293" w:lineRule="auto"/>
        <w:ind w:left="351" w:hanging="193"/>
      </w:pPr>
      <w:r>
        <w:rPr>
          <w:rFonts w:ascii="Arial" w:hAnsi="Arial" w:cs="Arial" w:eastAsia="Arial"/>
          <w:color w:val="1B2733"/>
          <w:sz w:val="19"/>
        </w:rPr>
        <w:t>total company revenue increased tenfold;</w:t>
      </w:r>
    </w:p>
    <w:p>
      <w:pPr>
        <w:pStyle w:val="ListBullet"/>
        <w:spacing w:before="0" w:after="60" w:line="293" w:lineRule="auto"/>
        <w:ind w:left="351" w:hanging="193"/>
      </w:pPr>
      <w:r>
        <w:rPr>
          <w:rFonts w:ascii="Arial" w:hAnsi="Arial" w:cs="Arial" w:eastAsia="Arial"/>
          <w:color w:val="1B2733"/>
          <w:sz w:val="19"/>
        </w:rPr>
        <w:t>total orders increased tenfold;</w:t>
      </w:r>
    </w:p>
    <w:p>
      <w:pPr>
        <w:pStyle w:val="ListBullet"/>
        <w:spacing w:before="0" w:after="60" w:line="293" w:lineRule="auto"/>
        <w:ind w:left="351" w:hanging="193"/>
      </w:pPr>
      <w:r>
        <w:rPr>
          <w:rFonts w:ascii="Arial" w:hAnsi="Arial" w:cs="Arial" w:eastAsia="Arial"/>
          <w:color w:val="1B2733"/>
          <w:sz w:val="19"/>
        </w:rPr>
        <w:t>profit increased tenfold;</w:t>
      </w:r>
    </w:p>
    <w:p>
      <w:pPr>
        <w:pStyle w:val="ListBullet"/>
        <w:spacing w:before="0" w:after="60" w:line="293" w:lineRule="auto"/>
        <w:ind w:left="351" w:hanging="193"/>
      </w:pPr>
      <w:r>
        <w:rPr>
          <w:rFonts w:ascii="Arial" w:hAnsi="Arial" w:cs="Arial" w:eastAsia="Arial"/>
          <w:color w:val="1B2733"/>
          <w:sz w:val="19"/>
        </w:rPr>
        <w:t>casting revenue increased tenfold;</w:t>
      </w:r>
    </w:p>
    <w:p>
      <w:pPr>
        <w:pStyle w:val="ListBullet"/>
        <w:spacing w:before="0" w:after="60" w:line="293" w:lineRule="auto"/>
        <w:ind w:left="351" w:hanging="193"/>
      </w:pPr>
      <w:r>
        <w:rPr>
          <w:rFonts w:ascii="Arial" w:hAnsi="Arial" w:cs="Arial" w:eastAsia="Arial"/>
          <w:color w:val="1B2733"/>
          <w:sz w:val="19"/>
        </w:rPr>
        <w:t>employee count increased tenfold. The claim specifically concerns:案件の受注量</w:t>
      </w:r>
    </w:p>
    <w:p>
      <w:pPr>
        <w:spacing w:before="0" w:after="120" w:line="307" w:lineRule="auto"/>
      </w:pPr>
      <w:r>
        <w:rPr>
          <w:rFonts w:ascii="Arial" w:hAnsi="Arial" w:cs="Arial" w:eastAsia="Arial"/>
          <w:b w:val="0"/>
          <w:i w:val="0"/>
          <w:color w:val="1B2733"/>
          <w:sz w:val="19"/>
        </w:rPr>
        <w:t>volume of orders/projects for:鋳造から切削までをセットで取り扱う案件projects handled as a combined casting-to-machining package. Therefore: Supported Combined casting-and-machining project volume reportedly increased approximately tenfold. Not supported Ōmaki Seiki's overall revenue increased tenfold. Not independently reproducible The public record does not provide the underlying before/after order dataset. The government casebook published earlier than the White Paper only states that orders increased and that business performance was very strong; it does not provide the ×10 figure. The later industry interview similarly confirms that the inherited casting business was generating synergies and performing well, but does not independently reproduce the tenfold calculation. OSINT assessment The 10× figure is a government-published company performance claim with strong institutional provenance, but it is not independently quantifiable from publicly available data. This distinction is essential.</w:t>
      </w:r>
    </w:p>
    <w:p>
      <w:pPr>
        <w:pStyle w:val="Heading1"/>
        <w:keepNext/>
        <w:spacing w:before="280" w:after="60" w:line="252" w:lineRule="auto"/>
        <w:pBdr>
          <w:bottom w:val="single" w:sz="12" w:space="4" w:color="1F4E79"/>
        </w:pBdr>
      </w:pPr>
      <w:r>
        <w:rPr>
          <w:rFonts w:ascii="Arial" w:hAnsi="Arial" w:cs="Arial" w:eastAsia="Arial"/>
          <w:b/>
          <w:color w:val="1F4E79"/>
          <w:sz w:val="30"/>
        </w:rPr>
        <w:t>18. Evidence Matrix</w:t>
      </w:r>
    </w:p>
    <w:p>
      <w:pPr>
        <w:spacing w:before="0" w:after="120" w:line="307" w:lineRule="auto"/>
      </w:pPr>
      <w:r>
        <w:rPr>
          <w:rFonts w:ascii="Arial" w:hAnsi="Arial" w:cs="Arial" w:eastAsia="Arial"/>
          <w:b w:val="0"/>
          <w:i w:val="0"/>
          <w:color w:val="1B2733"/>
          <w:sz w:val="19"/>
        </w:rPr>
        <w:t>Finding Assessmen t Evidence Ōmaki Seiki and NK had &gt;30 years of business relations High confidence Government White Paper / casebook NK operated in the casting sector High Government casebook NK performed casting-related inspection/QC High Direct case interview NK planned to cease operations High Direct participant interview NK was not in immediate financial distress High Former NK president NK was operated without debt High Former NK president大町亮介initiated the succession High Direct participant interview Transaction was a事業譲渡High Government casebook Employees were transferred High Government casebook Three employees specifically joined Ōmaki High Direct participant interview Equipment was transferred High Government casebook/interview Existing customers were transferred High Government casebook Former NK president joined Ōmaki Seiki High Government casebook Ōmaki started casting operations in 2024 High Corporate record Current company maintains casting capability High Corporate information Vertical integration occurred High Multiple sources Supply-chain continuity was a major motivation High President's statement + White Paper Business expansion was a major motivation High White Paper Transaction had limited investment burden Medium-Hi gh Participant interview Post-transaction synergy occurred Medium-Hi gh Company president + government case Combined casting/machining project volume increased ~10× Medium Government-published claim Overall company revenue increased 10× Not supported No evidence Overall orders increased 10× Not supported No evidence Transaction price Unknown Not publicly disclosed Exact closing date Unknown Not publicly established Liability allocation Unknown Not publicly disclosed External M&amp;A intermediary Not established No public evidence located NK legal entity closed High gBizINFO NK legal closure date: 15 Nov. 2024 High gBizINFO</w:t>
      </w:r>
    </w:p>
    <w:p>
      <w:pPr>
        <w:pStyle w:val="Heading1"/>
        <w:keepNext/>
        <w:spacing w:before="280" w:after="60" w:line="252" w:lineRule="auto"/>
        <w:pBdr>
          <w:bottom w:val="single" w:sz="12" w:space="4" w:color="1F4E79"/>
        </w:pBdr>
      </w:pPr>
      <w:r>
        <w:rPr>
          <w:rFonts w:ascii="Arial" w:hAnsi="Arial" w:cs="Arial" w:eastAsia="Arial"/>
          <w:b/>
          <w:color w:val="1F4E79"/>
          <w:sz w:val="30"/>
        </w:rPr>
        <w:t>19. Legal and Corporate-Structure</w:t>
      </w:r>
    </w:p>
    <w:p>
      <w:pPr>
        <w:pStyle w:val="Heading1"/>
        <w:keepNext/>
        <w:spacing w:before="280" w:after="60" w:line="252" w:lineRule="auto"/>
        <w:pBdr>
          <w:bottom w:val="single" w:sz="12" w:space="4" w:color="1F4E79"/>
        </w:pBdr>
      </w:pPr>
      <w:r>
        <w:rPr>
          <w:rFonts w:ascii="Arial" w:hAnsi="Arial" w:cs="Arial" w:eastAsia="Arial"/>
          <w:b/>
          <w:color w:val="1F4E79"/>
          <w:sz w:val="30"/>
        </w:rPr>
        <w:t>Assessment</w:t>
      </w:r>
    </w:p>
    <w:p>
      <w:pPr>
        <w:spacing w:before="0" w:after="120" w:line="307" w:lineRule="auto"/>
      </w:pPr>
      <w:r>
        <w:rPr>
          <w:rFonts w:ascii="Arial" w:hAnsi="Arial" w:cs="Arial" w:eastAsia="Arial"/>
          <w:b w:val="0"/>
          <w:i w:val="0"/>
          <w:color w:val="1B2733"/>
          <w:sz w:val="19"/>
        </w:rPr>
        <w:t>The evidence supports the following reconstruction: NK Existing legal entity │ Planned business closure │ ▼ BUSINESS TRANSFER (事業譲渡) │ ┌──────────────┼──────────────┐ │              │              │ Employees       Equipment      Customers │              │              │ └──────────────┼──────────────┘ ▼ Ōmaki Seiki │ Casting capability │ Machining │ Customer │ ▼ NK liquidation │ ▼ Legal entity closed This reconstruction explains why the original company can disappear while the underlying economic activity continues. The business survived. The original legal entity did not. That is the central legal distinction in the case.</w:t>
      </w:r>
    </w:p>
    <w:p>
      <w:pPr>
        <w:pStyle w:val="Heading1"/>
        <w:keepNext/>
        <w:spacing w:before="280" w:after="60" w:line="252" w:lineRule="auto"/>
        <w:pBdr>
          <w:bottom w:val="single" w:sz="12" w:space="4" w:color="1F4E79"/>
        </w:pBdr>
      </w:pPr>
      <w:r>
        <w:rPr>
          <w:rFonts w:ascii="Arial" w:hAnsi="Arial" w:cs="Arial" w:eastAsia="Arial"/>
          <w:b/>
          <w:color w:val="1F4E79"/>
          <w:sz w:val="30"/>
        </w:rPr>
        <w:t>20. Why This Was Strategically Rational</w:t>
      </w:r>
    </w:p>
    <w:p>
      <w:pPr>
        <w:spacing w:before="0" w:after="120" w:line="307" w:lineRule="auto"/>
      </w:pPr>
      <w:r>
        <w:rPr>
          <w:rFonts w:ascii="Arial" w:hAnsi="Arial" w:cs="Arial" w:eastAsia="Arial"/>
          <w:b w:val="0"/>
          <w:i w:val="0"/>
          <w:color w:val="1B2733"/>
          <w:sz w:val="19"/>
        </w:rPr>
        <w:t>The evidence supports five mutually reinforcing drivers.</w:t>
      </w:r>
    </w:p>
    <w:p>
      <w:pPr>
        <w:pStyle w:val="Heading2"/>
        <w:keepNext/>
        <w:spacing w:before="220" w:after="60" w:line="252" w:lineRule="auto"/>
      </w:pPr>
      <w:r>
        <w:rPr>
          <w:rFonts w:ascii="Arial" w:hAnsi="Arial" w:cs="Arial" w:eastAsia="Arial"/>
          <w:b/>
          <w:color w:val="1B2733"/>
          <w:sz w:val="22"/>
        </w:rPr>
        <w:t>1. Supplier-risk mitigation</w:t>
      </w:r>
    </w:p>
    <w:p>
      <w:pPr>
        <w:spacing w:before="0" w:after="120" w:line="307" w:lineRule="auto"/>
      </w:pPr>
      <w:r>
        <w:rPr>
          <w:rFonts w:ascii="Arial" w:hAnsi="Arial" w:cs="Arial" w:eastAsia="Arial"/>
          <w:b w:val="0"/>
          <w:i w:val="0"/>
          <w:color w:val="1B2733"/>
          <w:sz w:val="19"/>
        </w:rPr>
        <w:t>The disappearance of NK threatened an existing manufacturing chain.</w:t>
      </w:r>
    </w:p>
    <w:p>
      <w:pPr>
        <w:pStyle w:val="Heading2"/>
        <w:keepNext/>
        <w:spacing w:before="220" w:after="60" w:line="252" w:lineRule="auto"/>
      </w:pPr>
      <w:r>
        <w:rPr>
          <w:rFonts w:ascii="Arial" w:hAnsi="Arial" w:cs="Arial" w:eastAsia="Arial"/>
          <w:b/>
          <w:color w:val="1B2733"/>
          <w:sz w:val="22"/>
        </w:rPr>
        <w:t>2. Vertical integration</w:t>
      </w:r>
    </w:p>
    <w:p>
      <w:pPr>
        <w:spacing w:before="0" w:after="120" w:line="307" w:lineRule="auto"/>
      </w:pPr>
      <w:r>
        <w:rPr>
          <w:rFonts w:ascii="Arial" w:hAnsi="Arial" w:cs="Arial" w:eastAsia="Arial"/>
          <w:b w:val="0"/>
          <w:i w:val="0"/>
          <w:color w:val="1B2733"/>
          <w:sz w:val="19"/>
        </w:rPr>
        <w:t>Ōmaki Seiki could internalize casting rather than continue relying entirely on an external upstream supplier.</w:t>
      </w:r>
    </w:p>
    <w:p>
      <w:pPr>
        <w:pStyle w:val="Heading2"/>
        <w:keepNext/>
        <w:spacing w:before="220" w:after="60" w:line="252" w:lineRule="auto"/>
      </w:pPr>
      <w:r>
        <w:rPr>
          <w:rFonts w:ascii="Arial" w:hAnsi="Arial" w:cs="Arial" w:eastAsia="Arial"/>
          <w:b/>
          <w:color w:val="1B2733"/>
          <w:sz w:val="22"/>
        </w:rPr>
        <w:t>3. Customer retention</w:t>
      </w:r>
    </w:p>
    <w:p>
      <w:pPr>
        <w:spacing w:before="0" w:after="120" w:line="307" w:lineRule="auto"/>
      </w:pPr>
      <w:r>
        <w:rPr>
          <w:rFonts w:ascii="Arial" w:hAnsi="Arial" w:cs="Arial" w:eastAsia="Arial"/>
          <w:b w:val="0"/>
          <w:i w:val="0"/>
          <w:color w:val="1B2733"/>
          <w:sz w:val="19"/>
        </w:rPr>
        <w:t>Existing NK customers could continue dealing with a successor rather than searching for a new supplier.</w:t>
      </w:r>
    </w:p>
    <w:p>
      <w:pPr>
        <w:pStyle w:val="Heading2"/>
        <w:keepNext/>
        <w:spacing w:before="220" w:after="60" w:line="252" w:lineRule="auto"/>
      </w:pPr>
      <w:r>
        <w:rPr>
          <w:rFonts w:ascii="Arial" w:hAnsi="Arial" w:cs="Arial" w:eastAsia="Arial"/>
          <w:b/>
          <w:color w:val="1B2733"/>
          <w:sz w:val="22"/>
        </w:rPr>
        <w:t>4. Human-capital preservation</w:t>
      </w:r>
    </w:p>
    <w:p>
      <w:pPr>
        <w:spacing w:before="0" w:after="120" w:line="307" w:lineRule="auto"/>
      </w:pPr>
      <w:r>
        <w:rPr>
          <w:rFonts w:ascii="Arial" w:hAnsi="Arial" w:cs="Arial" w:eastAsia="Arial"/>
          <w:b w:val="0"/>
          <w:i w:val="0"/>
          <w:color w:val="1B2733"/>
          <w:sz w:val="19"/>
        </w:rPr>
        <w:t>Employees and management knowledge could remain inside the manufacturing ecosystem.</w:t>
      </w:r>
    </w:p>
    <w:p>
      <w:pPr>
        <w:pStyle w:val="Heading2"/>
        <w:keepNext/>
        <w:spacing w:before="220" w:after="60" w:line="252" w:lineRule="auto"/>
      </w:pPr>
      <w:r>
        <w:rPr>
          <w:rFonts w:ascii="Arial" w:hAnsi="Arial" w:cs="Arial" w:eastAsia="Arial"/>
          <w:b/>
          <w:color w:val="1B2733"/>
          <w:sz w:val="22"/>
        </w:rPr>
        <w:t>5. Commercial expansion</w:t>
      </w:r>
    </w:p>
    <w:p>
      <w:pPr>
        <w:spacing w:before="0" w:after="120" w:line="307" w:lineRule="auto"/>
      </w:pPr>
      <w:r>
        <w:rPr>
          <w:rFonts w:ascii="Arial" w:hAnsi="Arial" w:cs="Arial" w:eastAsia="Arial"/>
          <w:b w:val="0"/>
          <w:i w:val="0"/>
          <w:color w:val="1B2733"/>
          <w:sz w:val="19"/>
        </w:rPr>
        <w:t>The successor could offer a broader production package and compete for projects requiring casting plus machining. The resulting strategy can therefore be represented as: NK closure │ ┌─────────────┴─────────────┐ ▼                           ▼ Supply-chain risk          Business opportunity │                           │ ▼                           ▼ Preserve supplier          Internalize casting │                           │ └─────────────┬─────────────┘ ▼ Business transfer │ ▼ Vertical integration │ ┌────────────┴────────────┐ ▼                         ▼ Supply-chain continuity     New business scope │                         │ └────────────┬────────────┘ ▼ Commercial synergy</w:t>
      </w:r>
    </w:p>
    <w:p>
      <w:pPr>
        <w:pStyle w:val="Heading1"/>
        <w:keepNext/>
        <w:spacing w:before="280" w:after="60" w:line="252" w:lineRule="auto"/>
        <w:pBdr>
          <w:bottom w:val="single" w:sz="12" w:space="4" w:color="1F4E79"/>
        </w:pBdr>
      </w:pPr>
      <w:r>
        <w:rPr>
          <w:rFonts w:ascii="Arial" w:hAnsi="Arial" w:cs="Arial" w:eastAsia="Arial"/>
          <w:b/>
          <w:color w:val="1F4E79"/>
          <w:sz w:val="30"/>
        </w:rPr>
        <w:t>21. What the OSINT Cannot Establish</w:t>
      </w:r>
    </w:p>
    <w:p>
      <w:pPr>
        <w:spacing w:before="0" w:after="120" w:line="307" w:lineRule="auto"/>
      </w:pPr>
      <w:r>
        <w:rPr>
          <w:rFonts w:ascii="Arial" w:hAnsi="Arial" w:cs="Arial" w:eastAsia="Arial"/>
          <w:b w:val="0"/>
          <w:i w:val="0"/>
          <w:color w:val="1B2733"/>
          <w:sz w:val="19"/>
        </w:rPr>
        <w:t>A rigorous case should also state what could not be determined. The public record does not establish: Transaction economics No publicly accessible transaction price was identified. Liability allocation The public materials do not specify which liabilities, if any, were transferred to Ōmaki Seiki. Exact closing date The end of NK's employment/social-insurance registration and the closure of its legal entity are documented, but these dates cannot be substituted for the exact business-transfer date. Complete asset inventory The sources establish the transfer of relevant equipment but do not provide a complete asset register. Complete customer list Existing customers were transferred, but the number, identities and revenue contribution of those customers are not publicly disclosed. Independent validation of the 10× figure No public order-level dataset was located that would allow the calculation to be reproduced independently. Complete advisory structure The public record does not establish whether lawyers, accountants, M&amp;A intermediaries or other professional advisors participated in the transaction. These are not weaknesses to conceal. They define the boundary of what the available OSINT can establish.</w:t>
      </w:r>
    </w:p>
    <w:p>
      <w:pPr>
        <w:pStyle w:val="Heading1"/>
        <w:keepNext/>
        <w:spacing w:before="280" w:after="60" w:line="252" w:lineRule="auto"/>
        <w:pBdr>
          <w:bottom w:val="single" w:sz="12" w:space="4" w:color="1F4E79"/>
        </w:pBdr>
      </w:pPr>
      <w:r>
        <w:rPr>
          <w:rFonts w:ascii="Arial" w:hAnsi="Arial" w:cs="Arial" w:eastAsia="Arial"/>
          <w:b/>
          <w:color w:val="1F4E79"/>
          <w:sz w:val="30"/>
        </w:rPr>
        <w:t>22. Final Assessment</w:t>
      </w:r>
    </w:p>
    <w:p>
      <w:pPr>
        <w:spacing w:before="0" w:after="120" w:line="307" w:lineRule="auto"/>
      </w:pPr>
      <w:r>
        <w:rPr>
          <w:rFonts w:ascii="Arial" w:hAnsi="Arial" w:cs="Arial" w:eastAsia="Arial"/>
          <w:b w:val="0"/>
          <w:i w:val="0"/>
          <w:color w:val="1B2733"/>
          <w:sz w:val="19"/>
        </w:rPr>
        <w:t>The available evidence strongly supports the conclusion that Ōmaki Seiki's succession of NK was a strategically motivated vertical-integration transaction triggered by the planned exit of a long-standing upstream business partner . The transaction was not primarily a distressed-company rescue. NK was described as debt-free and not immediately threatened by insolvency. Its decision to cease operations was instead driven by an unfavorable long-term outlook for the casting industry and concerns about the future viability of the business. Ōmaki Seiki responded because NK's closure created two simultaneous problems. The first was defensive: the disappearance of a long-standing upstream partner could disrupt an existing manufacturing chain. The second was strategic: the same situation offered Ōmaki Seiki an opportunity to internalize casting and expand its manufacturing proposition. The resulting事業譲渡transferred employees, equipment and customer relationships into Ōmaki Seiki. Three NK employees are specifically documented as joining the successor, while the former NK president subsequently worked in Ōmaki Seiki's sales organization. The legal-entity evidence provides an independent endpoint: NK subsequently completed liquidation and its corporate record was closed on 15 November 2024. Operationally, the transaction produced a genuine change in Ōmaki Seiki's capabilities. The company began casting operations in 2024 and subsequently described the inherited casting business as generating synergies. The reported tenfold increase in combined casting-and-machining project volume is consistent with this strategic logic, but cannot be independently reconstructed from publicly available quantitative data. It should therefore remain classified as a reported performance claim , rather than being presented as independently verified financial growth.</w:t>
      </w:r>
    </w:p>
    <w:p>
      <w:pPr>
        <w:pStyle w:val="Heading1"/>
        <w:keepNext/>
        <w:spacing w:before="280" w:after="60" w:line="252" w:lineRule="auto"/>
        <w:pBdr>
          <w:bottom w:val="single" w:sz="12" w:space="4" w:color="1F4E79"/>
        </w:pBdr>
      </w:pPr>
      <w:r>
        <w:rPr>
          <w:rFonts w:ascii="Arial" w:hAnsi="Arial" w:cs="Arial" w:eastAsia="Arial"/>
          <w:b/>
          <w:color w:val="1F4E79"/>
          <w:sz w:val="30"/>
        </w:rPr>
        <w:t>23. OSINT Conclusion</w:t>
      </w:r>
    </w:p>
    <w:p>
      <w:pPr>
        <w:spacing w:before="0" w:after="120" w:line="307" w:lineRule="auto"/>
      </w:pPr>
      <w:r>
        <w:rPr>
          <w:rFonts w:ascii="Arial" w:hAnsi="Arial" w:cs="Arial" w:eastAsia="Arial"/>
          <w:b w:val="0"/>
          <w:i w:val="0"/>
          <w:color w:val="1B2733"/>
          <w:sz w:val="19"/>
        </w:rPr>
        <w:t>Core finding Ōmaki Seiki did not simply acquire a failing supplier. It used a supplier's planned market exit as an opportunity to preserve an existing supply chain, absorb critical personnel and customer relationships, internalize an upstream manufacturing capability, and expand its own production scope. The transaction is best understood as: Supplier succession → business transfer → vertical integration → capability expansion → commercial diversification. The most significant intelligence finding is therefore not the reported 10× figure. It is the alignment between the transaction structure and the industrial logic . The same transaction simultaneously:</w:t>
      </w:r>
    </w:p>
    <w:p>
      <w:pPr>
        <w:pStyle w:val="ListBullet"/>
        <w:spacing w:before="0" w:after="60" w:line="293" w:lineRule="auto"/>
        <w:ind w:left="351" w:hanging="193"/>
      </w:pPr>
      <w:r>
        <w:rPr>
          <w:rFonts w:ascii="Arial" w:hAnsi="Arial" w:cs="Arial" w:eastAsia="Arial"/>
          <w:color w:val="1B2733"/>
          <w:sz w:val="19"/>
        </w:rPr>
        <w:t>prevented the disappearance of an upstream supplier;</w:t>
      </w:r>
    </w:p>
    <w:p>
      <w:pPr>
        <w:pStyle w:val="ListBullet"/>
        <w:spacing w:before="0" w:after="60" w:line="293" w:lineRule="auto"/>
        <w:ind w:left="351" w:hanging="193"/>
      </w:pPr>
      <w:r>
        <w:rPr>
          <w:rFonts w:ascii="Arial" w:hAnsi="Arial" w:cs="Arial" w:eastAsia="Arial"/>
          <w:color w:val="1B2733"/>
          <w:sz w:val="19"/>
        </w:rPr>
        <w:t>preserved customer relationships;</w:t>
      </w:r>
    </w:p>
    <w:p>
      <w:pPr>
        <w:pStyle w:val="ListBullet"/>
        <w:spacing w:before="0" w:after="60" w:line="293" w:lineRule="auto"/>
        <w:ind w:left="351" w:hanging="193"/>
      </w:pPr>
      <w:r>
        <w:rPr>
          <w:rFonts w:ascii="Arial" w:hAnsi="Arial" w:cs="Arial" w:eastAsia="Arial"/>
          <w:color w:val="1B2733"/>
          <w:sz w:val="19"/>
        </w:rPr>
        <w:t>retained specialized personnel;</w:t>
      </w:r>
    </w:p>
    <w:p>
      <w:pPr>
        <w:pStyle w:val="ListBullet"/>
        <w:spacing w:before="0" w:after="60" w:line="293" w:lineRule="auto"/>
        <w:ind w:left="351" w:hanging="193"/>
      </w:pPr>
      <w:r>
        <w:rPr>
          <w:rFonts w:ascii="Arial" w:hAnsi="Arial" w:cs="Arial" w:eastAsia="Arial"/>
          <w:color w:val="1B2733"/>
          <w:sz w:val="19"/>
        </w:rPr>
        <w:t>transferred relevant equipment;</w:t>
      </w:r>
    </w:p>
    <w:p>
      <w:pPr>
        <w:pStyle w:val="ListBullet"/>
        <w:spacing w:before="0" w:after="60" w:line="293" w:lineRule="auto"/>
        <w:ind w:left="351" w:hanging="193"/>
      </w:pPr>
      <w:r>
        <w:rPr>
          <w:rFonts w:ascii="Arial" w:hAnsi="Arial" w:cs="Arial" w:eastAsia="Arial"/>
          <w:color w:val="1B2733"/>
          <w:sz w:val="19"/>
        </w:rPr>
        <w:t>allowed Ōmaki Seiki to enter casting;</w:t>
      </w:r>
    </w:p>
    <w:p>
      <w:pPr>
        <w:pStyle w:val="ListBullet"/>
        <w:spacing w:before="0" w:after="60" w:line="293" w:lineRule="auto"/>
        <w:ind w:left="351" w:hanging="193"/>
      </w:pPr>
      <w:r>
        <w:rPr>
          <w:rFonts w:ascii="Arial" w:hAnsi="Arial" w:cs="Arial" w:eastAsia="Arial"/>
          <w:color w:val="1B2733"/>
          <w:sz w:val="19"/>
        </w:rPr>
        <w:t>integrated casting with machining;</w:t>
      </w:r>
    </w:p>
    <w:p>
      <w:pPr>
        <w:pStyle w:val="ListBullet"/>
        <w:spacing w:before="0" w:after="60" w:line="293" w:lineRule="auto"/>
        <w:ind w:left="351" w:hanging="193"/>
      </w:pPr>
      <w:r>
        <w:rPr>
          <w:rFonts w:ascii="Arial" w:hAnsi="Arial" w:cs="Arial" w:eastAsia="Arial"/>
          <w:color w:val="1B2733"/>
          <w:sz w:val="19"/>
        </w:rPr>
        <w:t>and created an expanded manufacturing proposition. The publicly available evidence is sufficiently strong to establish this overall mechanism. The evidence is</w:t>
      </w:r>
    </w:p>
    <w:p>
      <w:pPr>
        <w:spacing w:before="0" w:after="120" w:line="307" w:lineRule="auto"/>
      </w:pPr>
      <w:r>
        <w:rPr>
          <w:rFonts w:ascii="Arial" w:hAnsi="Arial" w:cs="Arial" w:eastAsia="Arial"/>
          <w:b w:val="0"/>
          <w:i w:val="0"/>
          <w:color w:val="1B2733"/>
          <w:sz w:val="19"/>
        </w:rPr>
        <w:t>not sufficient to independently reproduce every claimed economic result. That distinction is the principal analytical limitation - and also one of the most important findings of the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pStyle w:val="Heading1"/>
        <w:keepNext/>
        <w:spacing w:before="280" w:after="60" w:line="252" w:lineRule="auto"/>
        <w:pBdr>
          <w:bottom w:val="single" w:sz="12" w:space="4" w:color="1F4E79"/>
        </w:pBdr>
      </w:pPr>
      <w:r>
        <w:rPr>
          <w:rFonts w:ascii="Arial" w:hAnsi="Arial" w:cs="Arial" w:eastAsia="Arial"/>
          <w:b/>
          <w:color w:val="1F4E79"/>
          <w:sz w:val="30"/>
        </w:rPr>
        <w:t>Primary / Government</w:t>
      </w:r>
    </w:p>
    <w:p>
      <w:pPr>
        <w:spacing w:before="0" w:after="120" w:line="307" w:lineRule="auto"/>
      </w:pPr>
      <w:r>
        <w:rPr>
          <w:rFonts w:ascii="Arial" w:hAnsi="Arial" w:cs="Arial" w:eastAsia="Arial"/>
          <w:b w:val="0"/>
          <w:i w:val="0"/>
          <w:color w:val="1B2733"/>
          <w:sz w:val="19"/>
        </w:rPr>
        <w:t>1. Small and Medium Enterprise Agency - 2025 Small Business White Paper, Section on Business Succession Official case study of Ōmaki Seiki and NK, including the &gt;30-year relationship, succession rationale and reported tenfold increase in combined casting-to-machining projects.中小企業庁</w:t>
      </w:r>
    </w:p>
    <w:p>
      <w:pPr>
        <w:pStyle w:val="ListBullet"/>
        <w:spacing w:before="0" w:after="60" w:line="293" w:lineRule="auto"/>
        <w:ind w:left="351" w:hanging="193"/>
      </w:pPr>
      <w:r>
        <w:rPr>
          <w:rFonts w:ascii="Arial" w:hAnsi="Arial" w:cs="Arial" w:eastAsia="Arial"/>
          <w:color w:val="1B2733"/>
          <w:sz w:val="19"/>
        </w:rPr>
        <w:t>2025 Small Business White Paper 2. Small and Medium Enterprise Agency - Supply-Chain Business Succession Casebook Detailed case study containing direct interviews with Ōmaki Seiki president大町亮介and former NK president上川剛; transaction structure, transferred assets, employee</w:t>
      </w:r>
    </w:p>
    <w:p>
      <w:pPr>
        <w:spacing w:before="0" w:after="120" w:line="307" w:lineRule="auto"/>
      </w:pPr>
      <w:r>
        <w:rPr>
          <w:rFonts w:ascii="Arial" w:hAnsi="Arial" w:cs="Arial" w:eastAsia="Arial"/>
          <w:b w:val="0"/>
          <w:i w:val="0"/>
          <w:color w:val="1B2733"/>
          <w:sz w:val="19"/>
        </w:rPr>
        <w:t>transfer and supply-chain reconstruction. Official casebook PDF 3. gBizINFO -株式会社エヌケーJapanese government corporate-information database. Corporate number, registered address, liquidation/closure status and closure date. gBizINFO -株式会社エヌケー4. Small and Medium Enterprise Agency - Business Succession Symposium Official programme documenting a dedicated session on Ōmaki Seiki / former NK.中小企業庁-事業承継シンポジウム</w:t>
      </w:r>
    </w:p>
    <w:p>
      <w:pPr>
        <w:pStyle w:val="Heading1"/>
        <w:keepNext/>
        <w:spacing w:before="280" w:after="60" w:line="252" w:lineRule="auto"/>
        <w:pBdr>
          <w:bottom w:val="single" w:sz="12" w:space="4" w:color="1F4E79"/>
        </w:pBdr>
      </w:pPr>
      <w:r>
        <w:rPr>
          <w:rFonts w:ascii="Arial" w:hAnsi="Arial" w:cs="Arial" w:eastAsia="Arial"/>
          <w:b/>
          <w:color w:val="1F4E79"/>
          <w:sz w:val="30"/>
        </w:rPr>
        <w:t>Corporate / Industry Media</w:t>
      </w:r>
    </w:p>
    <w:p>
      <w:pPr>
        <w:spacing w:before="0" w:after="120" w:line="307" w:lineRule="auto"/>
      </w:pPr>
      <w:r>
        <w:rPr>
          <w:rFonts w:ascii="Arial" w:hAnsi="Arial" w:cs="Arial" w:eastAsia="Arial"/>
          <w:b w:val="0"/>
          <w:i w:val="0"/>
          <w:color w:val="1B2733"/>
          <w:sz w:val="19"/>
        </w:rPr>
        <w:t>5. Ōmaki Seiki - Official corporate information Corporate history and post-2024 casting capability. Ōmaki Seiki official website 6. Biz-Nova /日刊工業新聞</w:t>
      </w:r>
    </w:p>
    <w:p>
      <w:pPr>
        <w:pStyle w:val="ListBullet"/>
        <w:spacing w:before="0" w:after="60" w:line="293" w:lineRule="auto"/>
        <w:ind w:left="351" w:hanging="193"/>
      </w:pPr>
      <w:r>
        <w:rPr>
          <w:rFonts w:ascii="Arial" w:hAnsi="Arial" w:cs="Arial" w:eastAsia="Arial"/>
          <w:color w:val="1B2733"/>
          <w:sz w:val="19"/>
        </w:rPr>
        <w:t>Interview with大町亮介Post-transaction interview confirming continuing synergy from the casting business inherited in 2024. Biz-Nova -</w:t>
      </w:r>
    </w:p>
    <w:p>
      <w:pPr>
        <w:spacing w:before="0" w:after="120" w:line="307" w:lineRule="auto"/>
      </w:pPr>
      <w:r>
        <w:rPr>
          <w:rFonts w:ascii="Arial" w:hAnsi="Arial" w:cs="Arial" w:eastAsia="Arial"/>
          <w:b w:val="0"/>
          <w:i w:val="0"/>
          <w:color w:val="1B2733"/>
          <w:sz w:val="19"/>
        </w:rPr>
        <w:t>大槇精機代表取締役社長大町亮介氏7.日刊工業新聞- 「大槇精機、鋳造事業に来月参入 エヌケーから事業承継」 Contemporary media record of Ōmaki Seiki's entry into casting through succession from NK. Full article access is restricted.日刊工業新聞article record</w:t>
      </w:r>
    </w:p>
    <w:p>
      <w:pPr>
        <w:pStyle w:val="Heading1"/>
        <w:keepNext/>
        <w:spacing w:before="280" w:after="60" w:line="252" w:lineRule="auto"/>
        <w:pBdr>
          <w:bottom w:val="single" w:sz="12" w:space="4" w:color="1F4E79"/>
        </w:pBdr>
      </w:pPr>
      <w:r>
        <w:rPr>
          <w:rFonts w:ascii="Arial" w:hAnsi="Arial" w:cs="Arial" w:eastAsia="Arial"/>
          <w:b/>
          <w:color w:val="1F4E79"/>
          <w:sz w:val="30"/>
        </w:rPr>
        <w:t>Overall Source Assessment</w:t>
      </w:r>
    </w:p>
    <w:p>
      <w:pPr>
        <w:spacing w:before="0" w:after="120" w:line="307" w:lineRule="auto"/>
      </w:pPr>
      <w:r>
        <w:rPr>
          <w:rFonts w:ascii="Arial" w:hAnsi="Arial" w:cs="Arial" w:eastAsia="Arial"/>
          <w:b w:val="0"/>
          <w:i w:val="0"/>
          <w:color w:val="1B2733"/>
          <w:sz w:val="19"/>
        </w:rPr>
        <w:t>Evidence strength: High for the transaction structure and operational integration; medium for the magnitude of the reported commercial effect. The case demonstrates a complete OSINT workflow: entity identification → relationship reconstruction → corporate/legal verification → transaction reconstruction → human-capital and asset tracing → supply-chain mapping → media corroboration → post-transaction verification → quantitative-claim testing → explicit uncertainty assessment.</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Ōmaki Seiki and NK — Succession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