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SUPPLY-CHAIN RECONSTRUCTION</w:t>
      </w:r>
    </w:p>
    <w:p>
      <w:pPr>
        <w:spacing w:before="0" w:after="80" w:line="245" w:lineRule="auto"/>
      </w:pPr>
      <w:r>
        <w:rPr>
          <w:rFonts w:ascii="Arial" w:hAnsi="Arial" w:cs="Arial" w:eastAsia="Arial"/>
          <w:b/>
          <w:i w:val="0"/>
          <w:color w:val="1B2733"/>
          <w:sz w:val="54"/>
        </w:rPr>
        <w:t>AMANA — Reconstruction of a Vietnam-Based Industrial Supply-Chain Ecosystem</w:t>
      </w:r>
    </w:p>
    <w:p>
      <w:pPr>
        <w:spacing w:before="0" w:after="160" w:line="254" w:lineRule="auto"/>
      </w:pPr>
      <w:r>
        <w:rPr>
          <w:rFonts w:ascii="Arial" w:hAnsi="Arial" w:cs="Arial" w:eastAsia="Arial"/>
          <w:b w:val="0"/>
          <w:i w:val="0"/>
          <w:color w:val="1F4E79"/>
          <w:sz w:val="34"/>
        </w:rPr>
        <w:t>From manufacturing facility to logistics infrastructure and international customer interface</w:t>
      </w:r>
    </w:p>
    <w:p>
      <w:pPr>
        <w:spacing w:before="0" w:after="320" w:line="264" w:lineRule="auto"/>
      </w:pPr>
      <w:r>
        <w:rPr>
          <w:rFonts w:ascii="Arial" w:hAnsi="Arial" w:cs="Arial" w:eastAsia="Arial"/>
          <w:b w:val="0"/>
          <w:i w:val="0"/>
          <w:color w:val="555F6B"/>
          <w:sz w:val="22"/>
        </w:rPr>
        <w:t>Southern Vietnam</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AMANA (Vietnam-based OEM sourcing and manufacturing-management hub)</w:t>
            </w:r>
          </w:p>
        </w:tc>
      </w:tr>
      <w:tr>
        <w:tc>
          <w:tcPr>
            <w:tcW w:type="dxa" w:w="2232"/>
            <w:shd w:val="clear" w:color="auto" w:fill="EEF3F8"/>
          </w:tcPr>
          <w:p>
            <w:pPr>
              <w:spacing w:before="60" w:after="60"/>
            </w:pPr>
            <w:r>
              <w:rPr>
                <w:rFonts w:ascii="Arial" w:hAnsi="Arial" w:cs="Arial" w:eastAsia="Arial"/>
                <w:b/>
                <w:color w:val="1F4E79"/>
                <w:sz w:val="17"/>
              </w:rPr>
              <w:t>Geographic scope</w:t>
            </w:r>
          </w:p>
        </w:tc>
        <w:tc>
          <w:tcPr>
            <w:tcW w:type="dxa" w:w="7066"/>
          </w:tcPr>
          <w:p>
            <w:pPr>
              <w:spacing w:before="60" w:after="60" w:line="288" w:lineRule="auto"/>
            </w:pPr>
            <w:r>
              <w:rPr>
                <w:rFonts w:ascii="Arial" w:hAnsi="Arial" w:cs="Arial" w:eastAsia="Arial"/>
                <w:color w:val="1B2733"/>
                <w:sz w:val="18"/>
              </w:rPr>
              <w:t>Southern Vietnam</w:t>
            </w:r>
          </w:p>
        </w:tc>
      </w:tr>
      <w:tr>
        <w:tc>
          <w:tcPr>
            <w:tcW w:type="dxa" w:w="2232"/>
            <w:shd w:val="clear" w:color="auto" w:fill="EEF3F8"/>
          </w:tcPr>
          <w:p>
            <w:pPr>
              <w:spacing w:before="60" w:after="60"/>
            </w:pPr>
            <w:r>
              <w:rPr>
                <w:rFonts w:ascii="Arial" w:hAnsi="Arial" w:cs="Arial" w:eastAsia="Arial"/>
                <w:b/>
                <w:color w:val="1F4E79"/>
                <w:sz w:val="17"/>
              </w:rPr>
              <w:t>Reference date</w:t>
            </w:r>
          </w:p>
        </w:tc>
        <w:tc>
          <w:tcPr>
            <w:tcW w:type="dxa" w:w="7066"/>
          </w:tcPr>
          <w:p>
            <w:pPr>
              <w:spacing w:before="60" w:after="60" w:line="288" w:lineRule="auto"/>
            </w:pPr>
            <w:r>
              <w:rPr>
                <w:rFonts w:ascii="Arial" w:hAnsi="Arial" w:cs="Arial" w:eastAsia="Arial"/>
                <w:color w:val="1B2733"/>
                <w:sz w:val="18"/>
              </w:rPr>
              <w:t>29 September 2026</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Supply-chain ecosystem reconstruction</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Official and first-party sources only</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Reconstruct a Vietnam-based industrial supply-chain ecosystem from manufacturing facility to logistics infrastructure and international customer interface.</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pStyle w:val="Heading1"/>
        <w:keepNext/>
        <w:spacing w:before="280" w:after="60" w:line="252" w:lineRule="auto"/>
        <w:pBdr>
          <w:bottom w:val="single" w:sz="12" w:space="4" w:color="1F4E79"/>
        </w:pBdr>
      </w:pPr>
      <w:r>
        <w:rPr>
          <w:rFonts w:ascii="Arial" w:hAnsi="Arial" w:cs="Arial" w:eastAsia="Arial"/>
          <w:b/>
          <w:color w:val="1F4E79"/>
          <w:sz w:val="30"/>
        </w:rPr>
        <w:t>AMANA — Reconstruction of a Vietnam-Based Industrial Supply-Chain Ecosystem</w:t>
      </w:r>
    </w:p>
    <w:p>
      <w:pPr>
        <w:spacing w:before="0" w:after="120" w:line="307" w:lineRule="auto"/>
      </w:pPr>
      <w:r>
        <w:rPr>
          <w:rFonts w:ascii="Arial" w:hAnsi="Arial" w:cs="Arial" w:eastAsia="Arial"/>
          <w:b w:val="0"/>
          <w:i w:val="0"/>
          <w:color w:val="1B2733"/>
          <w:sz w:val="19"/>
        </w:rPr>
        <w:t>**Research Question**</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**Reconstruct a Vietnam-based industrial supply-chain ecosystem from manufacturing facility to logistics infrastructure and international customer interface.**</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**Geographic scope:** Southern Vietnam **Reference date:** 29 September 2026 **Source restriction:** Official and first-party sources only</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AMANA describes itself as a **Vietnam-based OEM sourcing and manufacturing management hub** supporting international businesses with production outside China. Its stated activities include sourcing, OEM production, factory management, quality assurance, logistics, warehousing and international transportation. AMANA explicitly describes its operating model as a system connecting **factories, industrial parks and seaports** in order to move customer products toward global markets. ([AMANA — Supply Chain Vietnam](https://supplychainvietnam.vn/))</w:t>
      </w:r>
    </w:p>
    <w:p>
      <w:pPr>
        <w:spacing w:before="0" w:after="120" w:line="307" w:lineRule="auto"/>
      </w:pPr>
      <w:r>
        <w:rPr>
          <w:rFonts w:ascii="Arial" w:hAnsi="Arial" w:cs="Arial" w:eastAsia="Arial"/>
          <w:b w:val="0"/>
          <w:i w:val="0"/>
          <w:color w:val="1B2733"/>
          <w:sz w:val="19"/>
        </w:rPr>
        <w:t>A concrete manufacturing node within this model is **Nam Sung Aluminium**, which AMANA publicly identifies as a manufacturing partner. In a publication dated 20 June 2026, AMANA states that its cooperation with Nam Sung provides global customers with access to Vietnamese aluminum manufacturing and covers sourcing, production management, quality assurance, logistics coordination and global export services. AMANA's publication also states that Nam Sung uses imported aluminum raw materials, including material sourced from Australia. ([AMANA — AMANA x NAMSUNG](https://supplychainvietnam.vn/amana-x-namsung-connecting-vietnams-leading-aluminum-expertise-to-global-manufacturing/))</w:t>
      </w:r>
    </w:p>
    <w:p>
      <w:pPr>
        <w:spacing w:before="0" w:after="120" w:line="307" w:lineRule="auto"/>
      </w:pPr>
      <w:r>
        <w:rPr>
          <w:rFonts w:ascii="Arial" w:hAnsi="Arial" w:cs="Arial" w:eastAsia="Arial"/>
          <w:b w:val="0"/>
          <w:i w:val="0"/>
          <w:color w:val="1B2733"/>
          <w:sz w:val="19"/>
        </w:rPr>
        <w:t>Nam Sung's Southern manufacturing facility is located at **Lot N1-3, Street No. 2, Hai Son Industrial Park (Phase 3+4), Binh Tien 2 Hamlet, Duc Hoa Commune, Tay Ninh Province, Vietnam**. Nam Sung identifies the site as a **45,000 m²** manufacturing facility established in May 2014. The company describes the facility as a major aluminum-production site with billet casting and melting, extrusion and surface-treatment capabilities. ([Nam Sung Aluminium — About Us](https://nhomnamsung.com.vn/about-us))</w:t>
      </w:r>
    </w:p>
    <w:p>
      <w:pPr>
        <w:spacing w:before="0" w:after="120" w:line="307" w:lineRule="auto"/>
      </w:pPr>
      <w:r>
        <w:rPr>
          <w:rFonts w:ascii="Arial" w:hAnsi="Arial" w:cs="Arial" w:eastAsia="Arial"/>
          <w:b w:val="0"/>
          <w:i w:val="0"/>
          <w:color w:val="1B2733"/>
          <w:sz w:val="19"/>
        </w:rPr>
        <w:t>The current address differs from older Nam Sung documentation only because the administrative geography changed. Nam Sung itself states that the facility was originally located in **Long An Province and is now in Tay Ninh Province**. The Vietnamese Government's official description of the 2025 provincial reorganization confirms that the former Long An and Tây Ninh provinces were merged into the new province of Tây Ninh. ([Nam Sung Aluminium](https://nhomnamsung.com.vn/about-us); [Government of Vietnam](https://xaydungchinhsach.chinhphu.vn/chi-tiet-34-don-vi-hanh-chinh-cap-tinh-tu-12-6-2025-119250612141845533.htm))</w:t>
      </w:r>
    </w:p>
    <w:p>
      <w:pPr>
        <w:spacing w:before="0" w:after="120" w:line="307" w:lineRule="auto"/>
      </w:pPr>
      <w:r>
        <w:rPr>
          <w:rFonts w:ascii="Arial" w:hAnsi="Arial" w:cs="Arial" w:eastAsia="Arial"/>
          <w:b w:val="0"/>
          <w:i w:val="0"/>
          <w:color w:val="1B2733"/>
          <w:sz w:val="19"/>
        </w:rPr>
        <w:t>The next physical layer is **Hai Son Industrial Park**, inside which Nam Sung's factory is located. This establishes the physical relationship:</w:t>
      </w:r>
    </w:p>
    <w:p>
      <w:pPr>
        <w:spacing w:before="0" w:after="120" w:line="307" w:lineRule="auto"/>
      </w:pPr>
      <w:r>
        <w:rPr>
          <w:rFonts w:ascii="Arial" w:hAnsi="Arial" w:cs="Arial" w:eastAsia="Arial"/>
          <w:b w:val="0"/>
          <w:i w:val="0"/>
          <w:color w:val="1B2733"/>
          <w:sz w:val="19"/>
        </w:rPr>
        <w:t>**manufacturing facility → industrial-park infrastructure → regional transport network.**</w:t>
      </w:r>
    </w:p>
    <w:p>
      <w:pPr>
        <w:spacing w:before="0" w:after="120" w:line="307" w:lineRule="auto"/>
      </w:pPr>
      <w:r>
        <w:rPr>
          <w:rFonts w:ascii="Arial" w:hAnsi="Arial" w:cs="Arial" w:eastAsia="Arial"/>
          <w:b w:val="0"/>
          <w:i w:val="0"/>
          <w:color w:val="1B2733"/>
          <w:sz w:val="19"/>
        </w:rPr>
        <w:t>The downstream maritime node is **Tan Cang–Cat Lai Terminal**, operated by Saigon Newport Corporation. The port operator identifies Cat Lai as an international container terminal with **160 hectares**, **2,040 metres of berth length**, **nine berths plus one barge berth**, and vessel-handling capacity up to **45,000 DWT**. Saigon Newport explicitly states that the terminal is connected by major road infrastructure to economic regions including **Long An**, as well as other Southern Vietnamese industrial areas. ([Saigon Newport — Tan Cang–Cat Lai Terminal](https://saigonnewport.com.vn/en/port-company/tan-cang-cat-lai-terminal-tccl))</w:t>
      </w:r>
    </w:p>
    <w:p>
      <w:pPr>
        <w:spacing w:before="0" w:after="120" w:line="307" w:lineRule="auto"/>
      </w:pPr>
      <w:r>
        <w:rPr>
          <w:rFonts w:ascii="Arial" w:hAnsi="Arial" w:cs="Arial" w:eastAsia="Arial"/>
          <w:b w:val="0"/>
          <w:i w:val="0"/>
          <w:color w:val="1B2733"/>
          <w:sz w:val="19"/>
        </w:rPr>
        <w:t>A second relevant maritime gateway is **Long An International Port**, currently located in Tay Ninh Province following the same administrative reorganization. The port operator describes itself as an integrated seaport and logistics hub connecting Southern Vietnam with domestic and international shipping networks and explicitly links the port with industrial parks, production areas, logistics centers and transportation infrastructure. ([Long An International Port](https://longanport.com/); [Long An International Port — Logistics Connectivity](https://longanport.com/long-an-international-port-proposes-stronger-logistics-connectivity-from-border-gates-to-seaports/))</w:t>
      </w:r>
    </w:p>
    <w:p>
      <w:pPr>
        <w:spacing w:before="0" w:after="120" w:line="307" w:lineRule="auto"/>
      </w:pPr>
      <w:r>
        <w:rPr>
          <w:rFonts w:ascii="Arial" w:hAnsi="Arial" w:cs="Arial" w:eastAsia="Arial"/>
          <w:b w:val="0"/>
          <w:i w:val="0"/>
          <w:color w:val="1B2733"/>
          <w:sz w:val="19"/>
        </w:rPr>
        <w:t>The resulting ecosystem can therefore be reconstructed as:</w:t>
      </w:r>
    </w:p>
    <w:p>
      <w:pPr>
        <w:spacing w:before="0" w:after="120" w:line="307" w:lineRule="auto"/>
      </w:pPr>
      <w:r>
        <w:rPr>
          <w:rFonts w:ascii="Arial" w:hAnsi="Arial" w:cs="Arial" w:eastAsia="Arial"/>
          <w:b w:val="0"/>
          <w:i w:val="0"/>
          <w:color w:val="1B2733"/>
          <w:sz w:val="19"/>
        </w:rPr>
        <w:t>**International customer requirement → AMANA sourcing / OEM coordination → Nam Sung Aluminium manufacturing facility → Hai Son Industrial Park → regional road and logistics infrastructure → international port gateway → international maritime transportation → foreign market / customer**</w:t>
      </w:r>
    </w:p>
    <w:p>
      <w:pPr>
        <w:spacing w:before="0" w:after="120" w:line="307" w:lineRule="auto"/>
      </w:pPr>
      <w:r>
        <w:rPr>
          <w:rFonts w:ascii="Arial" w:hAnsi="Arial" w:cs="Arial" w:eastAsia="Arial"/>
          <w:b w:val="0"/>
          <w:i w:val="0"/>
          <w:color w:val="1B2733"/>
          <w:sz w:val="19"/>
        </w:rPr>
        <w:t>The available official evidence establishes the principal participants, the manufacturing facility, its industrial-park location and the relevant regional logistics and port infrastructure. It does **not** establish a complete individual export transaction consisting of a named customer, a specific AMANA order, a specific Nam Sung production batch, a particular truck movement, a port gate-in record, a vessel and a foreign consignee.</w:t>
      </w:r>
    </w:p>
    <w:p>
      <w:pPr>
        <w:spacing w:before="0" w:after="120" w:line="307" w:lineRule="auto"/>
      </w:pPr>
      <w:r>
        <w:rPr>
          <w:rFonts w:ascii="Arial" w:hAnsi="Arial" w:cs="Arial" w:eastAsia="Arial"/>
          <w:b w:val="0"/>
          <w:i w:val="0"/>
          <w:color w:val="1B2733"/>
          <w:sz w:val="19"/>
        </w:rPr>
        <w:t>The case therefore reconstructs a **real industrial supply-chain ecosystem and its physical architecture**, rather than claiming a shipment-level reconstruction that the public official record cannot support.</w:t>
      </w:r>
    </w:p>
    <w:p>
      <w:pPr>
        <w:pStyle w:val="Heading1"/>
        <w:keepNext/>
        <w:spacing w:before="280" w:after="60" w:line="252" w:lineRule="auto"/>
        <w:pBdr>
          <w:bottom w:val="single" w:sz="12" w:space="4" w:color="1F4E79"/>
        </w:pBdr>
      </w:pPr>
      <w:r>
        <w:rPr>
          <w:rFonts w:ascii="Arial" w:hAnsi="Arial" w:cs="Arial" w:eastAsia="Arial"/>
          <w:b/>
          <w:color w:val="1F4E79"/>
          <w:sz w:val="30"/>
        </w:rPr>
        <w:t>1. Research Methodology and Source Restriction</w:t>
      </w:r>
    </w:p>
    <w:p>
      <w:pPr>
        <w:spacing w:before="0" w:after="120" w:line="307" w:lineRule="auto"/>
      </w:pPr>
      <w:r>
        <w:rPr>
          <w:rFonts w:ascii="Arial" w:hAnsi="Arial" w:cs="Arial" w:eastAsia="Arial"/>
          <w:b w:val="0"/>
          <w:i w:val="0"/>
          <w:color w:val="1B2733"/>
          <w:sz w:val="19"/>
        </w:rPr>
        <w:t>This assessment was conducted under a deliberate **official and first-party source restriction**.</w:t>
      </w:r>
    </w:p>
    <w:p>
      <w:pPr>
        <w:spacing w:before="0" w:after="120" w:line="307" w:lineRule="auto"/>
      </w:pPr>
      <w:r>
        <w:rPr>
          <w:rFonts w:ascii="Arial" w:hAnsi="Arial" w:cs="Arial" w:eastAsia="Arial"/>
          <w:b w:val="0"/>
          <w:i w:val="0"/>
          <w:color w:val="1B2733"/>
          <w:sz w:val="19"/>
        </w:rPr>
        <w:t>The evidentiary base consists of:</w:t>
      </w:r>
    </w:p>
    <w:p>
      <w:pPr>
        <w:pStyle w:val="ListBullet"/>
        <w:spacing w:before="0" w:after="60" w:line="293" w:lineRule="auto"/>
        <w:ind w:left="351" w:hanging="193"/>
      </w:pPr>
      <w:r>
        <w:rPr>
          <w:rFonts w:ascii="Arial" w:hAnsi="Arial" w:cs="Arial" w:eastAsia="Arial"/>
          <w:color w:val="1B2733"/>
          <w:sz w:val="19"/>
        </w:rPr>
        <w:t>AMANA corporate publications and website;</w:t>
      </w:r>
    </w:p>
    <w:p>
      <w:pPr>
        <w:pStyle w:val="ListBullet"/>
        <w:spacing w:before="0" w:after="60" w:line="293" w:lineRule="auto"/>
        <w:ind w:left="351" w:hanging="193"/>
      </w:pPr>
      <w:r>
        <w:rPr>
          <w:rFonts w:ascii="Arial" w:hAnsi="Arial" w:cs="Arial" w:eastAsia="Arial"/>
          <w:color w:val="1B2733"/>
          <w:sz w:val="19"/>
        </w:rPr>
        <w:t>Nam Sung Aluminium corporate publications and factory documentation;</w:t>
      </w:r>
    </w:p>
    <w:p>
      <w:pPr>
        <w:pStyle w:val="ListBullet"/>
        <w:spacing w:before="0" w:after="60" w:line="293" w:lineRule="auto"/>
        <w:ind w:left="351" w:hanging="193"/>
      </w:pPr>
      <w:r>
        <w:rPr>
          <w:rFonts w:ascii="Arial" w:hAnsi="Arial" w:cs="Arial" w:eastAsia="Arial"/>
          <w:color w:val="1B2733"/>
          <w:sz w:val="19"/>
        </w:rPr>
        <w:t>official port-operator documentation;</w:t>
      </w:r>
    </w:p>
    <w:p>
      <w:pPr>
        <w:pStyle w:val="ListBullet"/>
        <w:spacing w:before="0" w:after="60" w:line="293" w:lineRule="auto"/>
        <w:ind w:left="351" w:hanging="193"/>
      </w:pPr>
      <w:r>
        <w:rPr>
          <w:rFonts w:ascii="Arial" w:hAnsi="Arial" w:cs="Arial" w:eastAsia="Arial"/>
          <w:color w:val="1B2733"/>
          <w:sz w:val="19"/>
        </w:rPr>
        <w:t>official Vietnamese government administrative documentation.</w:t>
      </w:r>
    </w:p>
    <w:p>
      <w:pPr>
        <w:spacing w:before="0" w:after="120" w:line="307" w:lineRule="auto"/>
      </w:pPr>
      <w:r>
        <w:rPr>
          <w:rFonts w:ascii="Arial" w:hAnsi="Arial" w:cs="Arial" w:eastAsia="Arial"/>
          <w:b w:val="0"/>
          <w:i w:val="0"/>
          <w:color w:val="1B2733"/>
          <w:sz w:val="19"/>
        </w:rPr>
        <w:t>Independent commercial databases, media reports, trade-data aggregators and third-party intelligence platforms were intentionally excluded from the evidentiary base.</w:t>
      </w:r>
    </w:p>
    <w:p>
      <w:pPr>
        <w:spacing w:before="0" w:after="120" w:line="307" w:lineRule="auto"/>
      </w:pPr>
      <w:r>
        <w:rPr>
          <w:rFonts w:ascii="Arial" w:hAnsi="Arial" w:cs="Arial" w:eastAsia="Arial"/>
          <w:b w:val="0"/>
          <w:i w:val="0"/>
          <w:color w:val="1B2733"/>
          <w:sz w:val="19"/>
        </w:rPr>
        <w:t>This restriction has a direct analytical consequence: commercial transaction-level information is less observable. Individual bills of lading, consignee data, shipment histories, transport-provider records and vehicle movements are not necessarily publicly disclosed through official corporate sources.</w:t>
      </w:r>
    </w:p>
    <w:p>
      <w:pPr>
        <w:spacing w:before="0" w:after="120" w:line="307" w:lineRule="auto"/>
      </w:pPr>
      <w:r>
        <w:rPr>
          <w:rFonts w:ascii="Arial" w:hAnsi="Arial" w:cs="Arial" w:eastAsia="Arial"/>
          <w:b w:val="0"/>
          <w:i w:val="0"/>
          <w:color w:val="1B2733"/>
          <w:sz w:val="19"/>
        </w:rPr>
        <w:t>Where an element could not be established under the source restriction, it is explicitly treated as **unverified** rather than reconstructed as fact.</w:t>
      </w:r>
    </w:p>
    <w:p>
      <w:pPr>
        <w:pStyle w:val="Heading1"/>
        <w:keepNext/>
        <w:spacing w:before="280" w:after="60" w:line="252" w:lineRule="auto"/>
        <w:pBdr>
          <w:bottom w:val="single" w:sz="12" w:space="4" w:color="1F4E79"/>
        </w:pBdr>
      </w:pPr>
      <w:r>
        <w:rPr>
          <w:rFonts w:ascii="Arial" w:hAnsi="Arial" w:cs="Arial" w:eastAsia="Arial"/>
          <w:b/>
          <w:color w:val="1F4E79"/>
          <w:sz w:val="30"/>
        </w:rPr>
        <w:t>2. AMANA — International Customer and Sourcing Interface</w:t>
      </w:r>
    </w:p>
    <w:p>
      <w:pPr>
        <w:spacing w:before="0" w:after="120" w:line="307" w:lineRule="auto"/>
      </w:pPr>
      <w:r>
        <w:rPr>
          <w:rFonts w:ascii="Arial" w:hAnsi="Arial" w:cs="Arial" w:eastAsia="Arial"/>
          <w:b w:val="0"/>
          <w:i w:val="0"/>
          <w:color w:val="1B2733"/>
          <w:sz w:val="19"/>
        </w:rPr>
        <w:t>AMANA describes itself as a:</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**“Viet Nam-based OEM sourcing and manufacturing management hub”**</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supporting international businesses with production orders outside China. The company states that its service model extends from sourcing and OEM production to factory management, logistics, warehousing and international transportation. ([AMANA](https://supplychainvietnam.vn/))</w:t>
      </w:r>
    </w:p>
    <w:p>
      <w:pPr>
        <w:spacing w:before="0" w:after="120" w:line="307" w:lineRule="auto"/>
      </w:pPr>
      <w:r>
        <w:rPr>
          <w:rFonts w:ascii="Arial" w:hAnsi="Arial" w:cs="Arial" w:eastAsia="Arial"/>
          <w:b w:val="0"/>
          <w:i w:val="0"/>
          <w:color w:val="1B2733"/>
          <w:sz w:val="19"/>
        </w:rPr>
        <w:t>AMANA's published workflow is:</w:t>
      </w:r>
    </w:p>
    <w:p>
      <w:pPr>
        <w:spacing w:before="0" w:after="120" w:line="307" w:lineRule="auto"/>
      </w:pPr>
      <w:r>
        <w:rPr>
          <w:rFonts w:ascii="Arial" w:hAnsi="Arial" w:cs="Arial" w:eastAsia="Arial"/>
          <w:b w:val="0"/>
          <w:i w:val="0"/>
          <w:color w:val="1B2733"/>
          <w:sz w:val="19"/>
        </w:rPr>
        <w:t>**Needs Assessment → Sourcing → Validation → Quality Assurance → Product Delivery.**</w:t>
      </w:r>
    </w:p>
    <w:p>
      <w:pPr>
        <w:spacing w:before="0" w:after="120" w:line="307" w:lineRule="auto"/>
      </w:pPr>
      <w:r>
        <w:rPr>
          <w:rFonts w:ascii="Arial" w:hAnsi="Arial" w:cs="Arial" w:eastAsia="Arial"/>
          <w:b w:val="0"/>
          <w:i w:val="0"/>
          <w:color w:val="1B2733"/>
          <w:sz w:val="19"/>
        </w:rPr>
        <w:t>The company further states that it:</w:t>
      </w:r>
    </w:p>
    <w:p>
      <w:pPr>
        <w:pStyle w:val="ListBullet"/>
        <w:spacing w:before="0" w:after="60" w:line="293" w:lineRule="auto"/>
        <w:ind w:left="351" w:hanging="193"/>
      </w:pPr>
      <w:r>
        <w:rPr>
          <w:rFonts w:ascii="Arial" w:hAnsi="Arial" w:cs="Arial" w:eastAsia="Arial"/>
          <w:color w:val="1B2733"/>
          <w:sz w:val="19"/>
        </w:rPr>
        <w:t>operates a diverse manufacturing and supplier network;</w:t>
      </w:r>
    </w:p>
    <w:p>
      <w:pPr>
        <w:pStyle w:val="ListBullet"/>
        <w:spacing w:before="0" w:after="60" w:line="293" w:lineRule="auto"/>
        <w:ind w:left="351" w:hanging="193"/>
      </w:pPr>
      <w:r>
        <w:rPr>
          <w:rFonts w:ascii="Arial" w:hAnsi="Arial" w:cs="Arial" w:eastAsia="Arial"/>
          <w:color w:val="1B2733"/>
          <w:sz w:val="19"/>
        </w:rPr>
        <w:t>works directly with factories;</w:t>
      </w:r>
    </w:p>
    <w:p>
      <w:pPr>
        <w:pStyle w:val="ListBullet"/>
        <w:spacing w:before="0" w:after="60" w:line="293" w:lineRule="auto"/>
        <w:ind w:left="351" w:hanging="193"/>
      </w:pPr>
      <w:r>
        <w:rPr>
          <w:rFonts w:ascii="Arial" w:hAnsi="Arial" w:cs="Arial" w:eastAsia="Arial"/>
          <w:color w:val="1B2733"/>
          <w:sz w:val="19"/>
        </w:rPr>
        <w:t>provides quality-control support in Vietnam;</w:t>
      </w:r>
    </w:p>
    <w:p>
      <w:pPr>
        <w:pStyle w:val="ListBullet"/>
        <w:spacing w:before="0" w:after="60" w:line="293" w:lineRule="auto"/>
        <w:ind w:left="351" w:hanging="193"/>
      </w:pPr>
      <w:r>
        <w:rPr>
          <w:rFonts w:ascii="Arial" w:hAnsi="Arial" w:cs="Arial" w:eastAsia="Arial"/>
          <w:color w:val="1B2733"/>
          <w:sz w:val="19"/>
        </w:rPr>
        <w:t>provides logistics and supply-chain visibility;</w:t>
      </w:r>
    </w:p>
    <w:p>
      <w:pPr>
        <w:pStyle w:val="ListBullet"/>
        <w:spacing w:before="0" w:after="60" w:line="293" w:lineRule="auto"/>
        <w:ind w:left="351" w:hanging="193"/>
      </w:pPr>
      <w:r>
        <w:rPr>
          <w:rFonts w:ascii="Arial" w:hAnsi="Arial" w:cs="Arial" w:eastAsia="Arial"/>
          <w:color w:val="1B2733"/>
          <w:sz w:val="19"/>
        </w:rPr>
        <w:t>coordinates production and delivery for global customers. ([AMANA](https://supplychainvietnam.vn/))</w:t>
      </w:r>
    </w:p>
    <w:p>
      <w:pPr>
        <w:spacing w:before="0" w:after="120" w:line="307" w:lineRule="auto"/>
      </w:pPr>
      <w:r>
        <w:rPr>
          <w:rFonts w:ascii="Arial" w:hAnsi="Arial" w:cs="Arial" w:eastAsia="Arial"/>
          <w:b w:val="0"/>
          <w:i w:val="0"/>
          <w:color w:val="1B2733"/>
          <w:sz w:val="19"/>
        </w:rPr>
        <w:t>AMANA's published address is:</w:t>
      </w:r>
    </w:p>
    <w:p>
      <w:pPr>
        <w:spacing w:before="0" w:after="120" w:line="307" w:lineRule="auto"/>
      </w:pPr>
      <w:r>
        <w:rPr>
          <w:rFonts w:ascii="Arial" w:hAnsi="Arial" w:cs="Arial" w:eastAsia="Arial"/>
          <w:b w:val="0"/>
          <w:i w:val="0"/>
          <w:color w:val="1B2733"/>
          <w:sz w:val="19"/>
        </w:rPr>
        <w:t>**5th Floor, Quang Minh Building 192–194 Ung Van Khiem Street Thanh My Tay Ward Ho Chi Minh City, Vietnam.** ([AMANA](https://supplychainvietnam.vn/))</w:t>
      </w:r>
    </w:p>
    <w:p>
      <w:pPr>
        <w:spacing w:before="0" w:after="120" w:line="307" w:lineRule="auto"/>
      </w:pPr>
      <w:r>
        <w:rPr>
          <w:rFonts w:ascii="Arial" w:hAnsi="Arial" w:cs="Arial" w:eastAsia="Arial"/>
          <w:b w:val="0"/>
          <w:i w:val="0"/>
          <w:color w:val="1B2733"/>
          <w:sz w:val="19"/>
        </w:rPr>
        <w:t>For this reconstruction, AMANA is therefore positioned as the **customer-facing sourcing and manufacturing-coordination node**.</w:t>
      </w:r>
    </w:p>
    <w:p>
      <w:pPr>
        <w:spacing w:before="0" w:after="120" w:line="307" w:lineRule="auto"/>
      </w:pPr>
      <w:r>
        <w:rPr>
          <w:rFonts w:ascii="Arial" w:hAnsi="Arial" w:cs="Arial" w:eastAsia="Arial"/>
          <w:b w:val="0"/>
          <w:i w:val="0"/>
          <w:color w:val="1B2733"/>
          <w:sz w:val="19"/>
        </w:rPr>
        <w:t>The evidence does not indicate that AMANA itself owns the Nam Sung factory.</w:t>
      </w:r>
    </w:p>
    <w:p>
      <w:pPr>
        <w:pStyle w:val="Heading1"/>
        <w:keepNext/>
        <w:spacing w:before="280" w:after="60" w:line="252" w:lineRule="auto"/>
        <w:pBdr>
          <w:bottom w:val="single" w:sz="12" w:space="4" w:color="1F4E79"/>
        </w:pBdr>
      </w:pPr>
      <w:r>
        <w:rPr>
          <w:rFonts w:ascii="Arial" w:hAnsi="Arial" w:cs="Arial" w:eastAsia="Arial"/>
          <w:b/>
          <w:color w:val="1F4E79"/>
          <w:sz w:val="30"/>
        </w:rPr>
        <w:t>3. Manufacturing Node — Nam Sung Aluminium</w:t>
      </w:r>
    </w:p>
    <w:p>
      <w:pPr>
        <w:spacing w:before="0" w:after="120" w:line="307" w:lineRule="auto"/>
      </w:pPr>
      <w:r>
        <w:rPr>
          <w:rFonts w:ascii="Arial" w:hAnsi="Arial" w:cs="Arial" w:eastAsia="Arial"/>
          <w:b w:val="0"/>
          <w:i w:val="0"/>
          <w:color w:val="1B2733"/>
          <w:sz w:val="19"/>
        </w:rPr>
        <w:t>AMANA identifies **Nam Sung Aluminium** as a manufacturing partner.</w:t>
      </w:r>
    </w:p>
    <w:p>
      <w:pPr>
        <w:spacing w:before="0" w:after="120" w:line="307" w:lineRule="auto"/>
      </w:pPr>
      <w:r>
        <w:rPr>
          <w:rFonts w:ascii="Arial" w:hAnsi="Arial" w:cs="Arial" w:eastAsia="Arial"/>
          <w:b w:val="0"/>
          <w:i w:val="0"/>
          <w:color w:val="1B2733"/>
          <w:sz w:val="19"/>
        </w:rPr>
        <w:t>Its 20 June 2026 publication states: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**“AMANA is proud to collaborate with NAMSUNG Aluminum”**</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and describes the relationship as providing global customers with access to Vietnamese aluminum manufacturing and integrated supply-chain services. The stated scope includes:</w:t>
      </w:r>
    </w:p>
    <w:p>
      <w:pPr>
        <w:spacing w:before="0" w:after="120" w:line="307" w:lineRule="auto"/>
      </w:pPr>
      <w:r>
        <w:rPr>
          <w:rFonts w:ascii="Arial" w:hAnsi="Arial" w:cs="Arial" w:eastAsia="Arial"/>
          <w:b w:val="0"/>
          <w:i w:val="0"/>
          <w:color w:val="1B2733"/>
          <w:sz w:val="19"/>
        </w:rPr>
        <w:t>**sourcing → production management → quality assurance → logistics coordination → global export services.** ([AMANA — AMANA x NAMSUNG](https://supplychainvietnam.vn/amana-x-namsung-connecting-vietnams-leading-aluminum-expertise-to-global-manufacturing/))</w:t>
      </w:r>
    </w:p>
    <w:p>
      <w:pPr>
        <w:spacing w:before="0" w:after="120" w:line="307" w:lineRule="auto"/>
      </w:pPr>
      <w:r>
        <w:rPr>
          <w:rFonts w:ascii="Arial" w:hAnsi="Arial" w:cs="Arial" w:eastAsia="Arial"/>
          <w:b w:val="0"/>
          <w:i w:val="0"/>
          <w:color w:val="1B2733"/>
          <w:sz w:val="19"/>
        </w:rPr>
        <w:t>Nam Sung's own corporate website identifies the Southern manufacturing facility as:</w:t>
      </w:r>
    </w:p>
    <w:p>
      <w:pPr>
        <w:spacing w:before="0" w:after="120" w:line="307" w:lineRule="auto"/>
      </w:pPr>
      <w:r>
        <w:rPr>
          <w:rFonts w:ascii="Arial" w:hAnsi="Arial" w:cs="Arial" w:eastAsia="Arial"/>
          <w:b w:val="0"/>
          <w:i w:val="0"/>
          <w:color w:val="1B2733"/>
          <w:sz w:val="19"/>
        </w:rPr>
        <w:t>**NAM SUNG ALUMINIUM FACTORY — SOUTHERN REGION**</w:t>
      </w:r>
    </w:p>
    <w:p>
      <w:pPr>
        <w:spacing w:before="0" w:after="120" w:line="307" w:lineRule="auto"/>
      </w:pPr>
      <w:r>
        <w:rPr>
          <w:rFonts w:ascii="Arial" w:hAnsi="Arial" w:cs="Arial" w:eastAsia="Arial"/>
          <w:b w:val="0"/>
          <w:i w:val="0"/>
          <w:color w:val="1B2733"/>
          <w:sz w:val="19"/>
        </w:rPr>
        <w:t>**Lot N1-3, Street No. 2, Hai Son Industrial Park (Phase 3+4), Binh Tien 2 Hamlet, Duc Hoa Commune, Tay Ninh Province, Vietnam.** ([Nam Sung Aluminium](https://nhomnamsung.com.vn/about-us))</w:t>
      </w:r>
    </w:p>
    <w:p>
      <w:pPr>
        <w:spacing w:before="0" w:after="120" w:line="307" w:lineRule="auto"/>
      </w:pPr>
      <w:r>
        <w:rPr>
          <w:rFonts w:ascii="Arial" w:hAnsi="Arial" w:cs="Arial" w:eastAsia="Arial"/>
          <w:b w:val="0"/>
          <w:i w:val="0"/>
          <w:color w:val="1B2733"/>
          <w:sz w:val="19"/>
        </w:rPr>
        <w:t>Nam Sung states that the site was established in **May 2014** with:</w:t>
      </w:r>
    </w:p>
    <w:p>
      <w:pPr>
        <w:pStyle w:val="ListBullet"/>
        <w:spacing w:before="0" w:after="60" w:line="293" w:lineRule="auto"/>
        <w:ind w:left="351" w:hanging="193"/>
      </w:pPr>
      <w:r>
        <w:rPr>
          <w:rFonts w:ascii="Arial" w:hAnsi="Arial" w:cs="Arial" w:eastAsia="Arial"/>
          <w:color w:val="1B2733"/>
          <w:sz w:val="19"/>
        </w:rPr>
        <w:t>**US$15 million investment capital**</w:t>
      </w:r>
    </w:p>
    <w:p>
      <w:pPr>
        <w:pStyle w:val="ListBullet"/>
        <w:spacing w:before="0" w:after="60" w:line="293" w:lineRule="auto"/>
        <w:ind w:left="351" w:hanging="193"/>
      </w:pPr>
      <w:r>
        <w:rPr>
          <w:rFonts w:ascii="Arial" w:hAnsi="Arial" w:cs="Arial" w:eastAsia="Arial"/>
          <w:color w:val="1B2733"/>
          <w:sz w:val="19"/>
        </w:rPr>
        <w:t>**45,000 m² area**</w:t>
      </w:r>
    </w:p>
    <w:p>
      <w:pPr>
        <w:spacing w:before="0" w:after="120" w:line="307" w:lineRule="auto"/>
      </w:pPr>
      <w:r>
        <w:rPr>
          <w:rFonts w:ascii="Arial" w:hAnsi="Arial" w:cs="Arial" w:eastAsia="Arial"/>
          <w:b w:val="0"/>
          <w:i w:val="0"/>
          <w:color w:val="1B2733"/>
          <w:sz w:val="19"/>
        </w:rPr>
        <w:t>and that the factory formally commenced operations in **2016**. ([Nam Sung Aluminium](https://nhomnamsung.com.vn/about-us))</w:t>
      </w:r>
    </w:p>
    <w:p>
      <w:pPr>
        <w:spacing w:before="0" w:after="120" w:line="307" w:lineRule="auto"/>
      </w:pPr>
      <w:r>
        <w:rPr>
          <w:rFonts w:ascii="Arial" w:hAnsi="Arial" w:cs="Arial" w:eastAsia="Arial"/>
          <w:b w:val="0"/>
          <w:i w:val="0"/>
          <w:color w:val="1B2733"/>
          <w:sz w:val="19"/>
        </w:rPr>
        <w:t>Nam Sung's company profile further describes manufacturing infrastructure including aluminum billet melting and casting, extrusion and various surface-treatment operations. ([Nam Sung Aluminium — Company Profile](https://nhomnamsung.com.vn/wp-content/uploads/2025/06/2.4.-NS-Aluminium-Profile-16.06.2025.pdf))</w:t>
      </w:r>
    </w:p>
    <w:p>
      <w:pPr>
        <w:spacing w:before="0" w:after="120" w:line="307" w:lineRule="auto"/>
      </w:pPr>
      <w:r>
        <w:rPr>
          <w:rFonts w:ascii="Arial" w:hAnsi="Arial" w:cs="Arial" w:eastAsia="Arial"/>
          <w:b w:val="0"/>
          <w:i w:val="0"/>
          <w:color w:val="1B2733"/>
          <w:sz w:val="19"/>
        </w:rPr>
        <w:t>This establishes the manufacturing node at both the **corporate** and **physical-site** levels.</w:t>
      </w:r>
    </w:p>
    <w:p>
      <w:pPr>
        <w:pStyle w:val="Heading1"/>
        <w:keepNext/>
        <w:spacing w:before="280" w:after="60" w:line="252" w:lineRule="auto"/>
        <w:pBdr>
          <w:bottom w:val="single" w:sz="12" w:space="4" w:color="1F4E79"/>
        </w:pBdr>
      </w:pPr>
      <w:r>
        <w:rPr>
          <w:rFonts w:ascii="Arial" w:hAnsi="Arial" w:cs="Arial" w:eastAsia="Arial"/>
          <w:b/>
          <w:color w:val="1F4E79"/>
          <w:sz w:val="30"/>
        </w:rPr>
        <w:t>4. Factory Localization</w:t>
      </w:r>
    </w:p>
    <w:p>
      <w:pPr>
        <w:spacing w:before="0" w:after="120" w:line="307" w:lineRule="auto"/>
      </w:pPr>
      <w:r>
        <w:rPr>
          <w:rFonts w:ascii="Arial" w:hAnsi="Arial" w:cs="Arial" w:eastAsia="Arial"/>
          <w:b w:val="0"/>
          <w:i w:val="0"/>
          <w:color w:val="1B2733"/>
          <w:sz w:val="19"/>
        </w:rPr>
        <w:t>The plant is specifically tied to:</w:t>
      </w:r>
    </w:p>
    <w:p>
      <w:pPr>
        <w:spacing w:before="0" w:after="120" w:line="307" w:lineRule="auto"/>
      </w:pPr>
      <w:r>
        <w:rPr>
          <w:rFonts w:ascii="Arial" w:hAnsi="Arial" w:cs="Arial" w:eastAsia="Arial"/>
          <w:b w:val="0"/>
          <w:i w:val="0"/>
          <w:color w:val="1B2733"/>
          <w:sz w:val="19"/>
        </w:rPr>
        <w:t>**Lot N1-3** **Road No. 2** **Hai Son Industrial Park, Phase 3+4**</w:t>
      </w:r>
    </w:p>
    <w:p>
      <w:pPr>
        <w:spacing w:before="0" w:after="120" w:line="307" w:lineRule="auto"/>
      </w:pPr>
      <w:r>
        <w:rPr>
          <w:rFonts w:ascii="Arial" w:hAnsi="Arial" w:cs="Arial" w:eastAsia="Arial"/>
          <w:b w:val="0"/>
          <w:i w:val="0"/>
          <w:color w:val="1B2733"/>
          <w:sz w:val="19"/>
        </w:rPr>
        <w:t>This is significant because the investigation does not depend on a city-level identification.</w:t>
      </w:r>
    </w:p>
    <w:p>
      <w:pPr>
        <w:spacing w:before="0" w:after="120" w:line="307" w:lineRule="auto"/>
      </w:pPr>
      <w:r>
        <w:rPr>
          <w:rFonts w:ascii="Arial" w:hAnsi="Arial" w:cs="Arial" w:eastAsia="Arial"/>
          <w:b w:val="0"/>
          <w:i w:val="0"/>
          <w:color w:val="1B2733"/>
          <w:sz w:val="19"/>
        </w:rPr>
        <w:t>The evidence narrows the manufacturing node to a **specific industrial lot and road inside a named industrial park**. ([Nam Sung Aluminium](https://nhomnamsung.com.vn/about-us))</w:t>
      </w:r>
    </w:p>
    <w:p>
      <w:pPr>
        <w:spacing w:before="0" w:after="120" w:line="307" w:lineRule="auto"/>
      </w:pPr>
      <w:r>
        <w:rPr>
          <w:rFonts w:ascii="Arial" w:hAnsi="Arial" w:cs="Arial" w:eastAsia="Arial"/>
          <w:b w:val="0"/>
          <w:i w:val="0"/>
          <w:color w:val="1B2733"/>
          <w:sz w:val="19"/>
        </w:rPr>
        <w:t>Nam Sung's official historical documentation uses the former administrative description **Long An Province**, while its current website uses **Tay Ninh Province**. Nam Sung itself explains that the site was historically in Long An and is now in Tay Ninh. ([Nam Sung Aluminium](https://nhomnamsung.com.vn/about-us))</w:t>
      </w:r>
    </w:p>
    <w:p>
      <w:pPr>
        <w:spacing w:before="0" w:after="120" w:line="307" w:lineRule="auto"/>
      </w:pPr>
      <w:r>
        <w:rPr>
          <w:rFonts w:ascii="Arial" w:hAnsi="Arial" w:cs="Arial" w:eastAsia="Arial"/>
          <w:b w:val="0"/>
          <w:i w:val="0"/>
          <w:color w:val="1B2733"/>
          <w:sz w:val="19"/>
        </w:rPr>
        <w:t>The Government of Vietnam's official 2025 administrative reorganization confirms that the territories of **Long An and Tây Ninh were combined into the new province of Tây Ninh**. ([Government of Vietnam](https://xaydungchinhsach.chinhphu.vn/chi-tiet-34-don-vi-hanh-chinh-cap-tinh-tu-12-6-2025-119250612141845533.htm))</w:t>
      </w:r>
    </w:p>
    <w:p>
      <w:pPr>
        <w:spacing w:before="0" w:after="120" w:line="307" w:lineRule="auto"/>
      </w:pPr>
      <w:r>
        <w:rPr>
          <w:rFonts w:ascii="Arial" w:hAnsi="Arial" w:cs="Arial" w:eastAsia="Arial"/>
          <w:b w:val="0"/>
          <w:i w:val="0"/>
          <w:color w:val="1B2733"/>
          <w:sz w:val="19"/>
        </w:rPr>
        <w:t>The apparent difference between older and current addresses is therefore an **administrative change, not evidence of a factory relocation**.</w:t>
      </w:r>
    </w:p>
    <w:p>
      <w:pPr>
        <w:pStyle w:val="Heading1"/>
        <w:keepNext/>
        <w:spacing w:before="280" w:after="60" w:line="252" w:lineRule="auto"/>
        <w:pBdr>
          <w:bottom w:val="single" w:sz="12" w:space="4" w:color="1F4E79"/>
        </w:pBdr>
      </w:pPr>
      <w:r>
        <w:rPr>
          <w:rFonts w:ascii="Arial" w:hAnsi="Arial" w:cs="Arial" w:eastAsia="Arial"/>
          <w:b/>
          <w:color w:val="1F4E79"/>
          <w:sz w:val="30"/>
        </w:rPr>
        <w:t>5. Industrial-Park Layer — Hai Son Industrial Park</w:t>
      </w:r>
    </w:p>
    <w:p>
      <w:pPr>
        <w:spacing w:before="0" w:after="120" w:line="307" w:lineRule="auto"/>
      </w:pPr>
      <w:r>
        <w:rPr>
          <w:rFonts w:ascii="Arial" w:hAnsi="Arial" w:cs="Arial" w:eastAsia="Arial"/>
          <w:b w:val="0"/>
          <w:i w:val="0"/>
          <w:color w:val="1B2733"/>
          <w:sz w:val="19"/>
        </w:rPr>
        <w:t>The Nam Sung plant is physically located inside **Hai Son Industrial Park, Phase 3+4**.</w:t>
      </w:r>
    </w:p>
    <w:p>
      <w:pPr>
        <w:spacing w:before="0" w:after="120" w:line="307" w:lineRule="auto"/>
      </w:pPr>
      <w:r>
        <w:rPr>
          <w:rFonts w:ascii="Arial" w:hAnsi="Arial" w:cs="Arial" w:eastAsia="Arial"/>
          <w:b w:val="0"/>
          <w:i w:val="0"/>
          <w:color w:val="1B2733"/>
          <w:sz w:val="19"/>
        </w:rPr>
        <w:t>The factory address therefore provides the direct link:</w:t>
      </w:r>
    </w:p>
    <w:p>
      <w:pPr>
        <w:spacing w:before="0" w:after="120" w:line="307" w:lineRule="auto"/>
      </w:pPr>
      <w:r>
        <w:rPr>
          <w:rFonts w:ascii="Arial" w:hAnsi="Arial" w:cs="Arial" w:eastAsia="Arial"/>
          <w:b w:val="0"/>
          <w:i w:val="0"/>
          <w:color w:val="1B2733"/>
          <w:sz w:val="19"/>
        </w:rPr>
        <w:t>**Nam Sung manufacturing site → Road No. 2 → Hai Son Industrial Park**</w:t>
      </w:r>
    </w:p>
    <w:p>
      <w:pPr>
        <w:spacing w:before="0" w:after="120" w:line="307" w:lineRule="auto"/>
      </w:pPr>
      <w:r>
        <w:rPr>
          <w:rFonts w:ascii="Arial" w:hAnsi="Arial" w:cs="Arial" w:eastAsia="Arial"/>
          <w:b w:val="0"/>
          <w:i w:val="0"/>
          <w:color w:val="1B2733"/>
          <w:sz w:val="19"/>
        </w:rPr>
        <w:t>This industrial-park layer is important because it represents the transition from an individual manufacturing facility to the larger infrastructure supporting:</w:t>
      </w:r>
    </w:p>
    <w:p>
      <w:pPr>
        <w:pStyle w:val="ListBullet"/>
        <w:spacing w:before="0" w:after="60" w:line="293" w:lineRule="auto"/>
        <w:ind w:left="351" w:hanging="193"/>
      </w:pPr>
      <w:r>
        <w:rPr>
          <w:rFonts w:ascii="Arial" w:hAnsi="Arial" w:cs="Arial" w:eastAsia="Arial"/>
          <w:color w:val="1B2733"/>
          <w:sz w:val="19"/>
        </w:rPr>
        <w:t>industrial production;</w:t>
      </w:r>
    </w:p>
    <w:p>
      <w:pPr>
        <w:pStyle w:val="ListBullet"/>
        <w:spacing w:before="0" w:after="60" w:line="293" w:lineRule="auto"/>
        <w:ind w:left="351" w:hanging="193"/>
      </w:pPr>
      <w:r>
        <w:rPr>
          <w:rFonts w:ascii="Arial" w:hAnsi="Arial" w:cs="Arial" w:eastAsia="Arial"/>
          <w:color w:val="1B2733"/>
          <w:sz w:val="19"/>
        </w:rPr>
        <w:t>internal vehicle access;</w:t>
      </w:r>
    </w:p>
    <w:p>
      <w:pPr>
        <w:pStyle w:val="ListBullet"/>
        <w:spacing w:before="0" w:after="60" w:line="293" w:lineRule="auto"/>
        <w:ind w:left="351" w:hanging="193"/>
      </w:pPr>
      <w:r>
        <w:rPr>
          <w:rFonts w:ascii="Arial" w:hAnsi="Arial" w:cs="Arial" w:eastAsia="Arial"/>
          <w:color w:val="1B2733"/>
          <w:sz w:val="19"/>
        </w:rPr>
        <w:t>utilities;</w:t>
      </w:r>
    </w:p>
    <w:p>
      <w:pPr>
        <w:pStyle w:val="ListBullet"/>
        <w:spacing w:before="0" w:after="60" w:line="293" w:lineRule="auto"/>
        <w:ind w:left="351" w:hanging="193"/>
      </w:pPr>
      <w:r>
        <w:rPr>
          <w:rFonts w:ascii="Arial" w:hAnsi="Arial" w:cs="Arial" w:eastAsia="Arial"/>
          <w:color w:val="1B2733"/>
          <w:sz w:val="19"/>
        </w:rPr>
        <w:t>industrial land;</w:t>
      </w:r>
    </w:p>
    <w:p>
      <w:pPr>
        <w:pStyle w:val="ListBullet"/>
        <w:spacing w:before="0" w:after="60" w:line="293" w:lineRule="auto"/>
        <w:ind w:left="351" w:hanging="193"/>
      </w:pPr>
      <w:r>
        <w:rPr>
          <w:rFonts w:ascii="Arial" w:hAnsi="Arial" w:cs="Arial" w:eastAsia="Arial"/>
          <w:color w:val="1B2733"/>
          <w:sz w:val="19"/>
        </w:rPr>
        <w:t>connections to regional transportation networks.</w:t>
      </w:r>
    </w:p>
    <w:p>
      <w:pPr>
        <w:spacing w:before="0" w:after="120" w:line="307" w:lineRule="auto"/>
      </w:pPr>
      <w:r>
        <w:rPr>
          <w:rFonts w:ascii="Arial" w:hAnsi="Arial" w:cs="Arial" w:eastAsia="Arial"/>
          <w:b w:val="0"/>
          <w:i w:val="0"/>
          <w:color w:val="1B2733"/>
          <w:sz w:val="19"/>
        </w:rPr>
        <w:t>The case consequently treats Hai Son as the **industrial aggregation layer** between the factory and external logistics infrastructure.</w:t>
      </w:r>
    </w:p>
    <w:p>
      <w:pPr>
        <w:pStyle w:val="Heading1"/>
        <w:keepNext/>
        <w:spacing w:before="280" w:after="60" w:line="252" w:lineRule="auto"/>
        <w:pBdr>
          <w:bottom w:val="single" w:sz="12" w:space="4" w:color="1F4E79"/>
        </w:pBdr>
      </w:pPr>
      <w:r>
        <w:rPr>
          <w:rFonts w:ascii="Arial" w:hAnsi="Arial" w:cs="Arial" w:eastAsia="Arial"/>
          <w:b/>
          <w:color w:val="1F4E79"/>
          <w:sz w:val="30"/>
        </w:rPr>
        <w:t>6. Upstream Supply Layer</w:t>
      </w:r>
    </w:p>
    <w:p>
      <w:pPr>
        <w:spacing w:before="0" w:after="120" w:line="307" w:lineRule="auto"/>
      </w:pPr>
      <w:r>
        <w:rPr>
          <w:rFonts w:ascii="Arial" w:hAnsi="Arial" w:cs="Arial" w:eastAsia="Arial"/>
          <w:b w:val="0"/>
          <w:i w:val="0"/>
          <w:color w:val="1B2733"/>
          <w:sz w:val="19"/>
        </w:rPr>
        <w:t>The manufacturing facility does not represent an entirely closed production system.</w:t>
      </w:r>
    </w:p>
    <w:p>
      <w:pPr>
        <w:spacing w:before="0" w:after="120" w:line="307" w:lineRule="auto"/>
      </w:pPr>
      <w:r>
        <w:rPr>
          <w:rFonts w:ascii="Arial" w:hAnsi="Arial" w:cs="Arial" w:eastAsia="Arial"/>
          <w:b w:val="0"/>
          <w:i w:val="0"/>
          <w:color w:val="1B2733"/>
          <w:sz w:val="19"/>
        </w:rPr>
        <w:t>AMANA's June 2026 publication states that Nam Sung uses **high-quality imported raw materials, including aluminum sourced from Australia**. ([AMANA — AMANA x NAMSUNG](https://supplychainvietnam.vn/amana-x-namsung-connecting-vietnams-leading-aluminum-expertise-to-global-manufacturing/))</w:t>
      </w:r>
    </w:p>
    <w:p>
      <w:pPr>
        <w:spacing w:before="0" w:after="120" w:line="307" w:lineRule="auto"/>
      </w:pPr>
      <w:r>
        <w:rPr>
          <w:rFonts w:ascii="Arial" w:hAnsi="Arial" w:cs="Arial" w:eastAsia="Arial"/>
          <w:b w:val="0"/>
          <w:i w:val="0"/>
          <w:color w:val="1B2733"/>
          <w:sz w:val="19"/>
        </w:rPr>
        <w:t>This establishes an upstream relationship of:</w:t>
      </w:r>
    </w:p>
    <w:p>
      <w:pPr>
        <w:spacing w:before="0" w:after="120" w:line="307" w:lineRule="auto"/>
      </w:pPr>
      <w:r>
        <w:rPr>
          <w:rFonts w:ascii="Arial" w:hAnsi="Arial" w:cs="Arial" w:eastAsia="Arial"/>
          <w:b w:val="0"/>
          <w:i w:val="0"/>
          <w:color w:val="1B2733"/>
          <w:sz w:val="19"/>
        </w:rPr>
        <w:t>**International raw-material source → imported aluminum → Nam Sung manufacturing facility**</w:t>
      </w:r>
    </w:p>
    <w:p>
      <w:pPr>
        <w:spacing w:before="0" w:after="120" w:line="307" w:lineRule="auto"/>
      </w:pPr>
      <w:r>
        <w:rPr>
          <w:rFonts w:ascii="Arial" w:hAnsi="Arial" w:cs="Arial" w:eastAsia="Arial"/>
          <w:b w:val="0"/>
          <w:i w:val="0"/>
          <w:color w:val="1B2733"/>
          <w:sz w:val="19"/>
        </w:rPr>
        <w:t>The available official sources do not identify, within this particular case, a specific Australian supplier, shipment number or port record associated with that material.</w:t>
      </w:r>
    </w:p>
    <w:p>
      <w:pPr>
        <w:spacing w:before="0" w:after="120" w:line="307" w:lineRule="auto"/>
      </w:pPr>
      <w:r>
        <w:rPr>
          <w:rFonts w:ascii="Arial" w:hAnsi="Arial" w:cs="Arial" w:eastAsia="Arial"/>
          <w:b w:val="0"/>
          <w:i w:val="0"/>
          <w:color w:val="1B2733"/>
          <w:sz w:val="19"/>
        </w:rPr>
        <w:t>Therefore the upstream layer is established at the **country/material level**, not at the individual supplier/shipment level.</w:t>
      </w:r>
    </w:p>
    <w:p>
      <w:pPr>
        <w:pStyle w:val="Heading1"/>
        <w:keepNext/>
        <w:spacing w:before="280" w:after="60" w:line="252" w:lineRule="auto"/>
        <w:pBdr>
          <w:bottom w:val="single" w:sz="12" w:space="4" w:color="1F4E79"/>
        </w:pBdr>
      </w:pPr>
      <w:r>
        <w:rPr>
          <w:rFonts w:ascii="Arial" w:hAnsi="Arial" w:cs="Arial" w:eastAsia="Arial"/>
          <w:b/>
          <w:color w:val="1F4E79"/>
          <w:sz w:val="30"/>
        </w:rPr>
        <w:t>7. Factory-to-Logistics Infrastructure</w:t>
      </w:r>
    </w:p>
    <w:p>
      <w:pPr>
        <w:spacing w:before="0" w:after="120" w:line="307" w:lineRule="auto"/>
      </w:pPr>
      <w:r>
        <w:rPr>
          <w:rFonts w:ascii="Arial" w:hAnsi="Arial" w:cs="Arial" w:eastAsia="Arial"/>
          <w:b w:val="0"/>
          <w:i w:val="0"/>
          <w:color w:val="1B2733"/>
          <w:sz w:val="19"/>
        </w:rPr>
        <w:t>The next analytical question is whether the manufacturing facility is physically integrated into a transportation system capable of connecting it with international maritime infrastructure.</w:t>
      </w:r>
    </w:p>
    <w:p>
      <w:pPr>
        <w:spacing w:before="0" w:after="120" w:line="307" w:lineRule="auto"/>
      </w:pPr>
      <w:r>
        <w:rPr>
          <w:rFonts w:ascii="Arial" w:hAnsi="Arial" w:cs="Arial" w:eastAsia="Arial"/>
          <w:b w:val="0"/>
          <w:i w:val="0"/>
          <w:color w:val="1B2733"/>
          <w:sz w:val="19"/>
        </w:rPr>
        <w:t>Nam Sung's factory is located on **Road No. 2 inside Hai Son Industrial Park**, placing the site directly within an established industrial road network.</w:t>
      </w:r>
    </w:p>
    <w:p>
      <w:pPr>
        <w:spacing w:before="0" w:after="120" w:line="307" w:lineRule="auto"/>
      </w:pPr>
      <w:r>
        <w:rPr>
          <w:rFonts w:ascii="Arial" w:hAnsi="Arial" w:cs="Arial" w:eastAsia="Arial"/>
          <w:b w:val="0"/>
          <w:i w:val="0"/>
          <w:color w:val="1B2733"/>
          <w:sz w:val="19"/>
        </w:rPr>
        <w:t>At the downstream end, Saigon Newport states that Tan Cang–Cat Lai is connected to:</w:t>
      </w:r>
    </w:p>
    <w:p>
      <w:pPr>
        <w:pStyle w:val="ListBullet"/>
        <w:spacing w:before="0" w:after="60" w:line="293" w:lineRule="auto"/>
        <w:ind w:left="351" w:hanging="193"/>
      </w:pPr>
      <w:r>
        <w:rPr>
          <w:rFonts w:ascii="Arial" w:hAnsi="Arial" w:cs="Arial" w:eastAsia="Arial"/>
          <w:color w:val="1B2733"/>
          <w:sz w:val="19"/>
        </w:rPr>
        <w:t>National Highway 1;</w:t>
      </w:r>
    </w:p>
    <w:p>
      <w:pPr>
        <w:pStyle w:val="ListBullet"/>
        <w:spacing w:before="0" w:after="60" w:line="293" w:lineRule="auto"/>
        <w:ind w:left="351" w:hanging="193"/>
      </w:pPr>
      <w:r>
        <w:rPr>
          <w:rFonts w:ascii="Arial" w:hAnsi="Arial" w:cs="Arial" w:eastAsia="Arial"/>
          <w:color w:val="1B2733"/>
          <w:sz w:val="19"/>
        </w:rPr>
        <w:t>Inner Ring Highway;</w:t>
      </w:r>
    </w:p>
    <w:p>
      <w:pPr>
        <w:pStyle w:val="ListBullet"/>
        <w:spacing w:before="0" w:after="60" w:line="293" w:lineRule="auto"/>
        <w:ind w:left="351" w:hanging="193"/>
      </w:pPr>
      <w:r>
        <w:rPr>
          <w:rFonts w:ascii="Arial" w:hAnsi="Arial" w:cs="Arial" w:eastAsia="Arial"/>
          <w:color w:val="1B2733"/>
          <w:sz w:val="19"/>
        </w:rPr>
        <w:t>Outer Ring Highway;</w:t>
      </w:r>
    </w:p>
    <w:p>
      <w:pPr>
        <w:pStyle w:val="ListBullet"/>
        <w:spacing w:before="0" w:after="60" w:line="293" w:lineRule="auto"/>
        <w:ind w:left="351" w:hanging="193"/>
      </w:pPr>
      <w:r>
        <w:rPr>
          <w:rFonts w:ascii="Arial" w:hAnsi="Arial" w:cs="Arial" w:eastAsia="Arial"/>
          <w:color w:val="1B2733"/>
          <w:sz w:val="19"/>
        </w:rPr>
        <w:t>HCMC–Long Thanh–Dau Giay Highway;</w:t>
      </w:r>
    </w:p>
    <w:p>
      <w:pPr>
        <w:spacing w:before="0" w:after="120" w:line="307" w:lineRule="auto"/>
      </w:pPr>
      <w:r>
        <w:rPr>
          <w:rFonts w:ascii="Arial" w:hAnsi="Arial" w:cs="Arial" w:eastAsia="Arial"/>
          <w:b w:val="0"/>
          <w:i w:val="0"/>
          <w:color w:val="1B2733"/>
          <w:sz w:val="19"/>
        </w:rPr>
        <w:t>and that these corridors allow cargo to move between Cat Lai and important economic regions including **Long An**. ([Saigon Newport — Tan Cang–Cat Lai](https://saigonnewport.com.vn/en/port-company/tan-cang-cat-lai-terminal-tccl))</w:t>
      </w:r>
    </w:p>
    <w:p>
      <w:pPr>
        <w:spacing w:before="0" w:after="120" w:line="307" w:lineRule="auto"/>
      </w:pPr>
      <w:r>
        <w:rPr>
          <w:rFonts w:ascii="Arial" w:hAnsi="Arial" w:cs="Arial" w:eastAsia="Arial"/>
          <w:b w:val="0"/>
          <w:i w:val="0"/>
          <w:color w:val="1B2733"/>
          <w:sz w:val="19"/>
        </w:rPr>
        <w:t>The physical infrastructure can therefore be reconstructed as:</w:t>
      </w:r>
    </w:p>
    <w:p>
      <w:pPr>
        <w:spacing w:before="0" w:after="120" w:line="307" w:lineRule="auto"/>
      </w:pPr>
      <w:r>
        <w:rPr>
          <w:rFonts w:ascii="Arial" w:hAnsi="Arial" w:cs="Arial" w:eastAsia="Arial"/>
          <w:b w:val="0"/>
          <w:i w:val="0"/>
          <w:color w:val="1B2733"/>
          <w:sz w:val="19"/>
        </w:rPr>
        <w:t>**Nam Sung factory → Hai Son Industrial Park roads → regional Southern Vietnam road network → port-access network → international terminal**</w:t>
      </w:r>
    </w:p>
    <w:p>
      <w:pPr>
        <w:spacing w:before="0" w:after="120" w:line="307" w:lineRule="auto"/>
      </w:pPr>
      <w:r>
        <w:rPr>
          <w:rFonts w:ascii="Arial" w:hAnsi="Arial" w:cs="Arial" w:eastAsia="Arial"/>
          <w:b w:val="0"/>
          <w:i w:val="0"/>
          <w:color w:val="1B2733"/>
          <w:sz w:val="19"/>
        </w:rPr>
        <w:t>This is an **infrastructure reconstruction**.</w:t>
      </w:r>
    </w:p>
    <w:p>
      <w:pPr>
        <w:spacing w:before="0" w:after="120" w:line="307" w:lineRule="auto"/>
      </w:pPr>
      <w:r>
        <w:rPr>
          <w:rFonts w:ascii="Arial" w:hAnsi="Arial" w:cs="Arial" w:eastAsia="Arial"/>
          <w:b w:val="0"/>
          <w:i w:val="0"/>
          <w:color w:val="1B2733"/>
          <w:sz w:val="19"/>
        </w:rPr>
        <w:t>It is not a claim that a particular AMANA shipment was tracked over this route.</w:t>
      </w:r>
    </w:p>
    <w:p>
      <w:pPr>
        <w:pStyle w:val="Heading1"/>
        <w:keepNext/>
        <w:spacing w:before="280" w:after="60" w:line="252" w:lineRule="auto"/>
        <w:pBdr>
          <w:bottom w:val="single" w:sz="12" w:space="4" w:color="1F4E79"/>
        </w:pBdr>
      </w:pPr>
      <w:r>
        <w:rPr>
          <w:rFonts w:ascii="Arial" w:hAnsi="Arial" w:cs="Arial" w:eastAsia="Arial"/>
          <w:b/>
          <w:color w:val="1F4E79"/>
          <w:sz w:val="30"/>
        </w:rPr>
        <w:t>8. Maritime Gateway — Tan Cang–Cat Lai</w:t>
      </w:r>
    </w:p>
    <w:p>
      <w:pPr>
        <w:spacing w:before="0" w:after="120" w:line="307" w:lineRule="auto"/>
      </w:pPr>
      <w:r>
        <w:rPr>
          <w:rFonts w:ascii="Arial" w:hAnsi="Arial" w:cs="Arial" w:eastAsia="Arial"/>
          <w:b w:val="0"/>
          <w:i w:val="0"/>
          <w:color w:val="1B2733"/>
          <w:sz w:val="19"/>
        </w:rPr>
        <w:t>**Tan Cang–Cat Lai Terminal (TCCL)** is the primary port used in this reconstruction.</w:t>
      </w:r>
    </w:p>
    <w:p>
      <w:pPr>
        <w:spacing w:before="0" w:after="120" w:line="307" w:lineRule="auto"/>
      </w:pPr>
      <w:r>
        <w:rPr>
          <w:rFonts w:ascii="Arial" w:hAnsi="Arial" w:cs="Arial" w:eastAsia="Arial"/>
          <w:b w:val="0"/>
          <w:i w:val="0"/>
          <w:color w:val="1B2733"/>
          <w:sz w:val="19"/>
        </w:rPr>
        <w:t>Saigon Newport identifies TCCL as an international container port and reports:</w:t>
      </w:r>
    </w:p>
    <w:p>
      <w:pPr>
        <w:spacing w:before="0" w:after="120" w:line="307" w:lineRule="auto"/>
      </w:pPr>
      <w:r>
        <w:rPr>
          <w:rFonts w:ascii="Arial" w:hAnsi="Arial" w:cs="Arial" w:eastAsia="Arial"/>
          <w:b w:val="0"/>
          <w:i w:val="0"/>
          <w:color w:val="1B2733"/>
          <w:sz w:val="19"/>
        </w:rPr>
        <w:t>**Total area:** 160 ha **Berths:** 9 + 1 barge berth **Berth length:** 2,040 m **Vessel capacity:** up to 45,000 DWT. ([Saigon Newport](https://saigonnewport.com.vn/en/port-company/tan-cang-cat-lai-terminal-tccl))</w:t>
      </w:r>
    </w:p>
    <w:p>
      <w:pPr>
        <w:spacing w:before="0" w:after="120" w:line="307" w:lineRule="auto"/>
      </w:pPr>
      <w:r>
        <w:rPr>
          <w:rFonts w:ascii="Arial" w:hAnsi="Arial" w:cs="Arial" w:eastAsia="Arial"/>
          <w:b w:val="0"/>
          <w:i w:val="0"/>
          <w:color w:val="1B2733"/>
          <w:sz w:val="19"/>
        </w:rPr>
        <w:t>The terminal provides:</w:t>
      </w:r>
    </w:p>
    <w:p>
      <w:pPr>
        <w:pStyle w:val="ListBullet"/>
        <w:spacing w:before="0" w:after="60" w:line="293" w:lineRule="auto"/>
        <w:ind w:left="351" w:hanging="193"/>
      </w:pPr>
      <w:r>
        <w:rPr>
          <w:rFonts w:ascii="Arial" w:hAnsi="Arial" w:cs="Arial" w:eastAsia="Arial"/>
          <w:color w:val="1B2733"/>
          <w:sz w:val="19"/>
        </w:rPr>
        <w:t>port operations;</w:t>
      </w:r>
    </w:p>
    <w:p>
      <w:pPr>
        <w:pStyle w:val="ListBullet"/>
        <w:spacing w:before="0" w:after="60" w:line="293" w:lineRule="auto"/>
        <w:ind w:left="351" w:hanging="193"/>
      </w:pPr>
      <w:r>
        <w:rPr>
          <w:rFonts w:ascii="Arial" w:hAnsi="Arial" w:cs="Arial" w:eastAsia="Arial"/>
          <w:color w:val="1B2733"/>
          <w:sz w:val="19"/>
        </w:rPr>
        <w:t>container handling;</w:t>
      </w:r>
    </w:p>
    <w:p>
      <w:pPr>
        <w:pStyle w:val="ListBullet"/>
        <w:spacing w:before="0" w:after="60" w:line="293" w:lineRule="auto"/>
        <w:ind w:left="351" w:hanging="193"/>
      </w:pPr>
      <w:r>
        <w:rPr>
          <w:rFonts w:ascii="Arial" w:hAnsi="Arial" w:cs="Arial" w:eastAsia="Arial"/>
          <w:color w:val="1B2733"/>
          <w:sz w:val="19"/>
        </w:rPr>
        <w:t>CY / warehouse services;</w:t>
      </w:r>
    </w:p>
    <w:p>
      <w:pPr>
        <w:pStyle w:val="ListBullet"/>
        <w:spacing w:before="0" w:after="60" w:line="293" w:lineRule="auto"/>
        <w:ind w:left="351" w:hanging="193"/>
      </w:pPr>
      <w:r>
        <w:rPr>
          <w:rFonts w:ascii="Arial" w:hAnsi="Arial" w:cs="Arial" w:eastAsia="Arial"/>
          <w:color w:val="1B2733"/>
          <w:sz w:val="19"/>
        </w:rPr>
        <w:t>internal trucking;</w:t>
      </w:r>
    </w:p>
    <w:p>
      <w:pPr>
        <w:pStyle w:val="ListBullet"/>
        <w:spacing w:before="0" w:after="60" w:line="293" w:lineRule="auto"/>
        <w:ind w:left="351" w:hanging="193"/>
      </w:pPr>
      <w:r>
        <w:rPr>
          <w:rFonts w:ascii="Arial" w:hAnsi="Arial" w:cs="Arial" w:eastAsia="Arial"/>
          <w:color w:val="1B2733"/>
          <w:sz w:val="19"/>
        </w:rPr>
        <w:t>container inspection and maintenance;</w:t>
      </w:r>
    </w:p>
    <w:p>
      <w:pPr>
        <w:pStyle w:val="ListBullet"/>
        <w:spacing w:before="0" w:after="60" w:line="293" w:lineRule="auto"/>
        <w:ind w:left="351" w:hanging="193"/>
      </w:pPr>
      <w:r>
        <w:rPr>
          <w:rFonts w:ascii="Arial" w:hAnsi="Arial" w:cs="Arial" w:eastAsia="Arial"/>
          <w:color w:val="1B2733"/>
          <w:sz w:val="19"/>
        </w:rPr>
        <w:t>stuffing / unstuffing;</w:t>
      </w:r>
    </w:p>
    <w:p>
      <w:pPr>
        <w:pStyle w:val="ListBullet"/>
        <w:spacing w:before="0" w:after="60" w:line="293" w:lineRule="auto"/>
        <w:ind w:left="351" w:hanging="193"/>
      </w:pPr>
      <w:r>
        <w:rPr>
          <w:rFonts w:ascii="Arial" w:hAnsi="Arial" w:cs="Arial" w:eastAsia="Arial"/>
          <w:color w:val="1B2733"/>
          <w:sz w:val="19"/>
        </w:rPr>
        <w:t>track-and-trace services. ([Saigon Newport](https://saigonnewport.com.vn/en/port-company/tan-cang-cat-lai-terminal-tccl))</w:t>
      </w:r>
    </w:p>
    <w:p>
      <w:pPr>
        <w:spacing w:before="0" w:after="120" w:line="307" w:lineRule="auto"/>
      </w:pPr>
      <w:r>
        <w:rPr>
          <w:rFonts w:ascii="Arial" w:hAnsi="Arial" w:cs="Arial" w:eastAsia="Arial"/>
          <w:b w:val="0"/>
          <w:i w:val="0"/>
          <w:color w:val="1B2733"/>
          <w:sz w:val="19"/>
        </w:rPr>
        <w:t>Saigon Newport further states that its road connections facilitate cargo circulation between Cat Lai and key economic regions, including Long An. ([Saigon Newport](https://saigonnewport.com.vn/en/port-company/tan-cang-cat-lai-terminal-tccl))</w:t>
      </w:r>
    </w:p>
    <w:p>
      <w:pPr>
        <w:spacing w:before="0" w:after="120" w:line="307" w:lineRule="auto"/>
      </w:pPr>
      <w:r>
        <w:rPr>
          <w:rFonts w:ascii="Arial" w:hAnsi="Arial" w:cs="Arial" w:eastAsia="Arial"/>
          <w:b w:val="0"/>
          <w:i w:val="0"/>
          <w:color w:val="1B2733"/>
          <w:sz w:val="19"/>
        </w:rPr>
        <w:t>This makes Cat Lai a defensible **regional maritime gateway** for the reconstructed supply chain.</w:t>
      </w:r>
    </w:p>
    <w:p>
      <w:pPr>
        <w:spacing w:before="0" w:after="120" w:line="307" w:lineRule="auto"/>
      </w:pPr>
      <w:r>
        <w:rPr>
          <w:rFonts w:ascii="Arial" w:hAnsi="Arial" w:cs="Arial" w:eastAsia="Arial"/>
          <w:b w:val="0"/>
          <w:i w:val="0"/>
          <w:color w:val="1B2733"/>
          <w:sz w:val="19"/>
        </w:rPr>
        <w:t>The official evidence does not establish that Cat Lai handled a particular AMANA-managed Nam Sung export shipment.</w:t>
      </w:r>
    </w:p>
    <w:p>
      <w:pPr>
        <w:pStyle w:val="Heading1"/>
        <w:keepNext/>
        <w:spacing w:before="280" w:after="60" w:line="252" w:lineRule="auto"/>
        <w:pBdr>
          <w:bottom w:val="single" w:sz="12" w:space="4" w:color="1F4E79"/>
        </w:pBdr>
      </w:pPr>
      <w:r>
        <w:rPr>
          <w:rFonts w:ascii="Arial" w:hAnsi="Arial" w:cs="Arial" w:eastAsia="Arial"/>
          <w:b/>
          <w:color w:val="1F4E79"/>
          <w:sz w:val="30"/>
        </w:rPr>
        <w:t>9. Alternative Gateway — Long An International Port</w:t>
      </w:r>
    </w:p>
    <w:p>
      <w:pPr>
        <w:spacing w:before="0" w:after="120" w:line="307" w:lineRule="auto"/>
      </w:pPr>
      <w:r>
        <w:rPr>
          <w:rFonts w:ascii="Arial" w:hAnsi="Arial" w:cs="Arial" w:eastAsia="Arial"/>
          <w:b w:val="0"/>
          <w:i w:val="0"/>
          <w:color w:val="1B2733"/>
          <w:sz w:val="19"/>
        </w:rPr>
        <w:t>Long An International Port provides a second relevant maritime node within the same Southern Vietnam logistics environment.</w:t>
      </w:r>
    </w:p>
    <w:p>
      <w:pPr>
        <w:spacing w:before="0" w:after="120" w:line="307" w:lineRule="auto"/>
      </w:pPr>
      <w:r>
        <w:rPr>
          <w:rFonts w:ascii="Arial" w:hAnsi="Arial" w:cs="Arial" w:eastAsia="Arial"/>
          <w:b w:val="0"/>
          <w:i w:val="0"/>
          <w:color w:val="1B2733"/>
          <w:sz w:val="19"/>
        </w:rPr>
        <w:t>The port describes itself as a modern seaport and logistics hub connecting:</w:t>
      </w:r>
    </w:p>
    <w:p>
      <w:pPr>
        <w:spacing w:before="0" w:after="120" w:line="307" w:lineRule="auto"/>
      </w:pPr>
      <w:r>
        <w:rPr>
          <w:rFonts w:ascii="Arial" w:hAnsi="Arial" w:cs="Arial" w:eastAsia="Arial"/>
          <w:b w:val="0"/>
          <w:i w:val="0"/>
          <w:color w:val="1B2733"/>
          <w:sz w:val="19"/>
        </w:rPr>
        <w:t>**Ho Chi Minh City → Southern Vietnam → Mekong Delta → international shipping networks.** ([Long An International Port](https://longanport.com/))</w:t>
      </w:r>
    </w:p>
    <w:p>
      <w:pPr>
        <w:spacing w:before="0" w:after="120" w:line="307" w:lineRule="auto"/>
      </w:pPr>
      <w:r>
        <w:rPr>
          <w:rFonts w:ascii="Arial" w:hAnsi="Arial" w:cs="Arial" w:eastAsia="Arial"/>
          <w:b w:val="0"/>
          <w:i w:val="0"/>
          <w:color w:val="1B2733"/>
          <w:sz w:val="19"/>
        </w:rPr>
        <w:t>Its current facilities include:</w:t>
      </w:r>
    </w:p>
    <w:p>
      <w:pPr>
        <w:pStyle w:val="ListBullet"/>
        <w:spacing w:before="0" w:after="60" w:line="293" w:lineRule="auto"/>
        <w:ind w:left="351" w:hanging="193"/>
      </w:pPr>
      <w:r>
        <w:rPr>
          <w:rFonts w:ascii="Arial" w:hAnsi="Arial" w:cs="Arial" w:eastAsia="Arial"/>
          <w:color w:val="1B2733"/>
          <w:sz w:val="19"/>
        </w:rPr>
        <w:t>seven operating berths;</w:t>
      </w:r>
    </w:p>
    <w:p>
      <w:pPr>
        <w:pStyle w:val="ListBullet"/>
        <w:spacing w:before="0" w:after="60" w:line="293" w:lineRule="auto"/>
        <w:ind w:left="351" w:hanging="193"/>
      </w:pPr>
      <w:r>
        <w:rPr>
          <w:rFonts w:ascii="Arial" w:hAnsi="Arial" w:cs="Arial" w:eastAsia="Arial"/>
          <w:color w:val="1B2733"/>
          <w:sz w:val="19"/>
        </w:rPr>
        <w:t>approximately 1,670 m continuous berth length;</w:t>
      </w:r>
    </w:p>
    <w:p>
      <w:pPr>
        <w:pStyle w:val="ListBullet"/>
        <w:spacing w:before="0" w:after="60" w:line="293" w:lineRule="auto"/>
        <w:ind w:left="351" w:hanging="193"/>
      </w:pPr>
      <w:r>
        <w:rPr>
          <w:rFonts w:ascii="Arial" w:hAnsi="Arial" w:cs="Arial" w:eastAsia="Arial"/>
          <w:color w:val="1B2733"/>
          <w:sz w:val="19"/>
        </w:rPr>
        <w:t>container handling;</w:t>
      </w:r>
    </w:p>
    <w:p>
      <w:pPr>
        <w:pStyle w:val="ListBullet"/>
        <w:spacing w:before="0" w:after="60" w:line="293" w:lineRule="auto"/>
        <w:ind w:left="351" w:hanging="193"/>
      </w:pPr>
      <w:r>
        <w:rPr>
          <w:rFonts w:ascii="Arial" w:hAnsi="Arial" w:cs="Arial" w:eastAsia="Arial"/>
          <w:color w:val="1B2733"/>
          <w:sz w:val="19"/>
        </w:rPr>
        <w:t>warehouses;</w:t>
      </w:r>
    </w:p>
    <w:p>
      <w:pPr>
        <w:pStyle w:val="ListBullet"/>
        <w:spacing w:before="0" w:after="60" w:line="293" w:lineRule="auto"/>
        <w:ind w:left="351" w:hanging="193"/>
      </w:pPr>
      <w:r>
        <w:rPr>
          <w:rFonts w:ascii="Arial" w:hAnsi="Arial" w:cs="Arial" w:eastAsia="Arial"/>
          <w:color w:val="1B2733"/>
          <w:sz w:val="19"/>
        </w:rPr>
        <w:t>customs brokerage;</w:t>
      </w:r>
    </w:p>
    <w:p>
      <w:pPr>
        <w:pStyle w:val="ListBullet"/>
        <w:spacing w:before="0" w:after="60" w:line="293" w:lineRule="auto"/>
        <w:ind w:left="351" w:hanging="193"/>
      </w:pPr>
      <w:r>
        <w:rPr>
          <w:rFonts w:ascii="Arial" w:hAnsi="Arial" w:cs="Arial" w:eastAsia="Arial"/>
          <w:color w:val="1B2733"/>
          <w:sz w:val="19"/>
        </w:rPr>
        <w:t>barge transportation;</w:t>
      </w:r>
    </w:p>
    <w:p>
      <w:pPr>
        <w:pStyle w:val="ListBullet"/>
        <w:spacing w:before="0" w:after="60" w:line="293" w:lineRule="auto"/>
        <w:ind w:left="351" w:hanging="193"/>
      </w:pPr>
      <w:r>
        <w:rPr>
          <w:rFonts w:ascii="Arial" w:hAnsi="Arial" w:cs="Arial" w:eastAsia="Arial"/>
          <w:color w:val="1B2733"/>
          <w:sz w:val="19"/>
        </w:rPr>
        <w:t>truck transportation;</w:t>
      </w:r>
    </w:p>
    <w:p>
      <w:pPr>
        <w:pStyle w:val="ListBullet"/>
        <w:spacing w:before="0" w:after="60" w:line="293" w:lineRule="auto"/>
        <w:ind w:left="351" w:hanging="193"/>
      </w:pPr>
      <w:r>
        <w:rPr>
          <w:rFonts w:ascii="Arial" w:hAnsi="Arial" w:cs="Arial" w:eastAsia="Arial"/>
          <w:color w:val="1B2733"/>
          <w:sz w:val="19"/>
        </w:rPr>
        <w:t>international freight forwarding. ([Long An International Port — Facilities](https://longanport.com/port-overview/facilities-and-equipment/))</w:t>
      </w:r>
    </w:p>
    <w:p>
      <w:pPr>
        <w:spacing w:before="0" w:after="120" w:line="307" w:lineRule="auto"/>
      </w:pPr>
      <w:r>
        <w:rPr>
          <w:rFonts w:ascii="Arial" w:hAnsi="Arial" w:cs="Arial" w:eastAsia="Arial"/>
          <w:b w:val="0"/>
          <w:i w:val="0"/>
          <w:color w:val="1B2733"/>
          <w:sz w:val="19"/>
        </w:rPr>
        <w:t>The port operator also explicitly describes an integrated regional model connecting:</w:t>
      </w:r>
    </w:p>
    <w:p>
      <w:pPr>
        <w:spacing w:before="0" w:after="120" w:line="307" w:lineRule="auto"/>
      </w:pPr>
      <w:r>
        <w:rPr>
          <w:rFonts w:ascii="Arial" w:hAnsi="Arial" w:cs="Arial" w:eastAsia="Arial"/>
          <w:b w:val="0"/>
          <w:i w:val="0"/>
          <w:color w:val="1B2733"/>
          <w:sz w:val="19"/>
        </w:rPr>
        <w:t>**industrial parks + production areas + logistics centers + transport infrastructure + seaport facilities.** ([Long An International Port](https://longanport.com/long-an-international-port-proposes-stronger-logistics-connectivity-from-border-gates-to-seaports/))</w:t>
      </w:r>
    </w:p>
    <w:p>
      <w:pPr>
        <w:spacing w:before="0" w:after="120" w:line="307" w:lineRule="auto"/>
      </w:pPr>
      <w:r>
        <w:rPr>
          <w:rFonts w:ascii="Arial" w:hAnsi="Arial" w:cs="Arial" w:eastAsia="Arial"/>
          <w:b w:val="0"/>
          <w:i w:val="0"/>
          <w:color w:val="1B2733"/>
          <w:sz w:val="19"/>
        </w:rPr>
        <w:t>AMANA separately documented a **29 June 2026 business visit to Long An International Port**, during which participants were introduced to the port's operations, logistics infrastructure and role in international trade. ([AMANA — AMANA x YBA](https://supplychainvietnam.vn/amana-x-yba-exploring-modern-logistics-infrastructure-strengthening-global-supply-chain-connectivity/))</w:t>
      </w:r>
    </w:p>
    <w:p>
      <w:pPr>
        <w:spacing w:before="0" w:after="120" w:line="307" w:lineRule="auto"/>
      </w:pPr>
      <w:r>
        <w:rPr>
          <w:rFonts w:ascii="Arial" w:hAnsi="Arial" w:cs="Arial" w:eastAsia="Arial"/>
          <w:b w:val="0"/>
          <w:i w:val="0"/>
          <w:color w:val="1B2733"/>
          <w:sz w:val="19"/>
        </w:rPr>
        <w:t>The significance of this evidence is limited but clear:</w:t>
      </w:r>
    </w:p>
    <w:p>
      <w:pPr>
        <w:spacing w:before="0" w:after="120" w:line="307" w:lineRule="auto"/>
      </w:pPr>
      <w:r>
        <w:rPr>
          <w:rFonts w:ascii="Arial" w:hAnsi="Arial" w:cs="Arial" w:eastAsia="Arial"/>
          <w:b w:val="0"/>
          <w:i w:val="0"/>
          <w:color w:val="1B2733"/>
          <w:sz w:val="19"/>
        </w:rPr>
        <w:t>**AMANA has documented engagement with the port infrastructure.**</w:t>
      </w:r>
    </w:p>
    <w:p>
      <w:pPr>
        <w:spacing w:before="0" w:after="120" w:line="307" w:lineRule="auto"/>
      </w:pPr>
      <w:r>
        <w:rPr>
          <w:rFonts w:ascii="Arial" w:hAnsi="Arial" w:cs="Arial" w:eastAsia="Arial"/>
          <w:b w:val="0"/>
          <w:i w:val="0"/>
          <w:color w:val="1B2733"/>
          <w:sz w:val="19"/>
        </w:rPr>
        <w:t>It does **not** prove that AMANA cargo or Nam Sung cargo was shipped through Long An International Port.</w:t>
      </w:r>
    </w:p>
    <w:p>
      <w:pPr>
        <w:pStyle w:val="Heading1"/>
        <w:keepNext/>
        <w:spacing w:before="280" w:after="60" w:line="252" w:lineRule="auto"/>
        <w:pBdr>
          <w:bottom w:val="single" w:sz="12" w:space="4" w:color="1F4E79"/>
        </w:pBdr>
      </w:pPr>
      <w:r>
        <w:rPr>
          <w:rFonts w:ascii="Arial" w:hAnsi="Arial" w:cs="Arial" w:eastAsia="Arial"/>
          <w:b/>
          <w:color w:val="1F4E79"/>
          <w:sz w:val="30"/>
        </w:rPr>
        <w:t>10. International Customer Interface</w:t>
      </w:r>
    </w:p>
    <w:p>
      <w:pPr>
        <w:spacing w:before="0" w:after="120" w:line="307" w:lineRule="auto"/>
      </w:pPr>
      <w:r>
        <w:rPr>
          <w:rFonts w:ascii="Arial" w:hAnsi="Arial" w:cs="Arial" w:eastAsia="Arial"/>
          <w:b w:val="0"/>
          <w:i w:val="0"/>
          <w:color w:val="1B2733"/>
          <w:sz w:val="19"/>
        </w:rPr>
        <w:t>The final element of the chain is the relationship between Vietnamese manufacturing and the overseas customer.</w:t>
      </w:r>
    </w:p>
    <w:p>
      <w:pPr>
        <w:spacing w:before="0" w:after="120" w:line="307" w:lineRule="auto"/>
      </w:pPr>
      <w:r>
        <w:rPr>
          <w:rFonts w:ascii="Arial" w:hAnsi="Arial" w:cs="Arial" w:eastAsia="Arial"/>
          <w:b w:val="0"/>
          <w:i w:val="0"/>
          <w:color w:val="1B2733"/>
          <w:sz w:val="19"/>
        </w:rPr>
        <w:t>AMANA states that its customer base includes international businesses seeking manufacturing outside China and that its platform supports:</w:t>
      </w:r>
    </w:p>
    <w:p>
      <w:pPr>
        <w:pStyle w:val="ListBullet"/>
        <w:spacing w:before="0" w:after="60" w:line="293" w:lineRule="auto"/>
        <w:ind w:left="351" w:hanging="193"/>
      </w:pPr>
      <w:r>
        <w:rPr>
          <w:rFonts w:ascii="Arial" w:hAnsi="Arial" w:cs="Arial" w:eastAsia="Arial"/>
          <w:color w:val="1B2733"/>
          <w:sz w:val="19"/>
        </w:rPr>
        <w:t>sourcing;</w:t>
      </w:r>
    </w:p>
    <w:p>
      <w:pPr>
        <w:pStyle w:val="ListBullet"/>
        <w:spacing w:before="0" w:after="60" w:line="293" w:lineRule="auto"/>
        <w:ind w:left="351" w:hanging="193"/>
      </w:pPr>
      <w:r>
        <w:rPr>
          <w:rFonts w:ascii="Arial" w:hAnsi="Arial" w:cs="Arial" w:eastAsia="Arial"/>
          <w:color w:val="1B2733"/>
          <w:sz w:val="19"/>
        </w:rPr>
        <w:t>production management;</w:t>
      </w:r>
    </w:p>
    <w:p>
      <w:pPr>
        <w:pStyle w:val="ListBullet"/>
        <w:spacing w:before="0" w:after="60" w:line="293" w:lineRule="auto"/>
        <w:ind w:left="351" w:hanging="193"/>
      </w:pPr>
      <w:r>
        <w:rPr>
          <w:rFonts w:ascii="Arial" w:hAnsi="Arial" w:cs="Arial" w:eastAsia="Arial"/>
          <w:color w:val="1B2733"/>
          <w:sz w:val="19"/>
        </w:rPr>
        <w:t>quality assurance;</w:t>
      </w:r>
    </w:p>
    <w:p>
      <w:pPr>
        <w:pStyle w:val="ListBullet"/>
        <w:spacing w:before="0" w:after="60" w:line="293" w:lineRule="auto"/>
        <w:ind w:left="351" w:hanging="193"/>
      </w:pPr>
      <w:r>
        <w:rPr>
          <w:rFonts w:ascii="Arial" w:hAnsi="Arial" w:cs="Arial" w:eastAsia="Arial"/>
          <w:color w:val="1B2733"/>
          <w:sz w:val="19"/>
        </w:rPr>
        <w:t>logistics coordination;</w:t>
      </w:r>
    </w:p>
    <w:p>
      <w:pPr>
        <w:pStyle w:val="ListBullet"/>
        <w:spacing w:before="0" w:after="60" w:line="293" w:lineRule="auto"/>
        <w:ind w:left="351" w:hanging="193"/>
      </w:pPr>
      <w:r>
        <w:rPr>
          <w:rFonts w:ascii="Arial" w:hAnsi="Arial" w:cs="Arial" w:eastAsia="Arial"/>
          <w:color w:val="1B2733"/>
          <w:sz w:val="19"/>
        </w:rPr>
        <w:t>international transportation;</w:t>
      </w:r>
    </w:p>
    <w:p>
      <w:pPr>
        <w:pStyle w:val="ListBullet"/>
        <w:spacing w:before="0" w:after="60" w:line="293" w:lineRule="auto"/>
        <w:ind w:left="351" w:hanging="193"/>
      </w:pPr>
      <w:r>
        <w:rPr>
          <w:rFonts w:ascii="Arial" w:hAnsi="Arial" w:cs="Arial" w:eastAsia="Arial"/>
          <w:color w:val="1B2733"/>
          <w:sz w:val="19"/>
        </w:rPr>
        <w:t>product delivery. ([AMANA](https://supplychainvietnam.vn/))</w:t>
      </w:r>
    </w:p>
    <w:p>
      <w:pPr>
        <w:spacing w:before="0" w:after="120" w:line="307" w:lineRule="auto"/>
      </w:pPr>
      <w:r>
        <w:rPr>
          <w:rFonts w:ascii="Arial" w:hAnsi="Arial" w:cs="Arial" w:eastAsia="Arial"/>
          <w:b w:val="0"/>
          <w:i w:val="0"/>
          <w:color w:val="1B2733"/>
          <w:sz w:val="19"/>
        </w:rPr>
        <w:t>In its Nam Sung partnership announcement, AMANA specifically describes **global export services** as part of the collaboration. ([AMANA — AMANA x NAMSUNG](https://supplychainvietnam.vn/amana-x-namsung-connecting-vietnams-leading-aluminum-expertise-to-global-manufacturing/))</w:t>
      </w:r>
    </w:p>
    <w:p>
      <w:pPr>
        <w:spacing w:before="0" w:after="120" w:line="307" w:lineRule="auto"/>
      </w:pPr>
      <w:r>
        <w:rPr>
          <w:rFonts w:ascii="Arial" w:hAnsi="Arial" w:cs="Arial" w:eastAsia="Arial"/>
          <w:b w:val="0"/>
          <w:i w:val="0"/>
          <w:color w:val="1B2733"/>
          <w:sz w:val="19"/>
        </w:rPr>
        <w:t>This establishes the **commercial/export interface** between the Vietnamese manufacturing node and the international customer market.</w:t>
      </w:r>
    </w:p>
    <w:p>
      <w:pPr>
        <w:spacing w:before="0" w:after="120" w:line="307" w:lineRule="auto"/>
      </w:pPr>
      <w:r>
        <w:rPr>
          <w:rFonts w:ascii="Arial" w:hAnsi="Arial" w:cs="Arial" w:eastAsia="Arial"/>
          <w:b w:val="0"/>
          <w:i w:val="0"/>
          <w:color w:val="1B2733"/>
          <w:sz w:val="19"/>
        </w:rPr>
        <w:t>What cannot be established from the official sources reviewed is a single end-to-end transaction linking:</w:t>
      </w:r>
    </w:p>
    <w:p>
      <w:pPr>
        <w:spacing w:before="0" w:after="120" w:line="307" w:lineRule="auto"/>
      </w:pPr>
      <w:r>
        <w:rPr>
          <w:rFonts w:ascii="Arial" w:hAnsi="Arial" w:cs="Arial" w:eastAsia="Arial"/>
          <w:b w:val="0"/>
          <w:i w:val="0"/>
          <w:color w:val="1B2733"/>
          <w:sz w:val="19"/>
        </w:rPr>
        <w:t>**named overseas customer → specific AMANA order → specific Nam Sung production batch → specific inland transport movement → specific port gate-in → specific vessel → specific overseas consignee.**</w:t>
      </w:r>
    </w:p>
    <w:p>
      <w:pPr>
        <w:spacing w:before="0" w:after="120" w:line="307" w:lineRule="auto"/>
      </w:pPr>
      <w:r>
        <w:rPr>
          <w:rFonts w:ascii="Arial" w:hAnsi="Arial" w:cs="Arial" w:eastAsia="Arial"/>
          <w:b w:val="0"/>
          <w:i w:val="0"/>
          <w:color w:val="1B2733"/>
          <w:sz w:val="19"/>
        </w:rPr>
        <w:t>That information remains unverified.</w:t>
      </w:r>
    </w:p>
    <w:p>
      <w:pPr>
        <w:pStyle w:val="Heading1"/>
        <w:keepNext/>
        <w:spacing w:before="280" w:after="60" w:line="252" w:lineRule="auto"/>
        <w:pBdr>
          <w:bottom w:val="single" w:sz="12" w:space="4" w:color="1F4E79"/>
        </w:pBdr>
      </w:pPr>
      <w:r>
        <w:rPr>
          <w:rFonts w:ascii="Arial" w:hAnsi="Arial" w:cs="Arial" w:eastAsia="Arial"/>
          <w:b/>
          <w:color w:val="1F4E79"/>
          <w:sz w:val="30"/>
        </w:rPr>
        <w:t>11. Final Supply-Chain Reconstruction</w:t>
      </w:r>
    </w:p>
    <w:p>
      <w:pPr>
        <w:spacing w:before="0" w:after="120" w:line="307" w:lineRule="auto"/>
      </w:pPr>
      <w:r>
        <w:rPr>
          <w:rFonts w:ascii="Arial" w:hAnsi="Arial" w:cs="Arial" w:eastAsia="Arial"/>
          <w:b w:val="0"/>
          <w:i w:val="0"/>
          <w:color w:val="1B2733"/>
          <w:sz w:val="19"/>
        </w:rPr>
        <w:t>The reconstructed ecosystem is:</w:t>
      </w:r>
    </w:p>
    <w:p>
      <w:pPr>
        <w:keepNext/>
        <w:spacing w:before="160" w:after="60" w:line="264" w:lineRule="auto"/>
      </w:pPr>
      <w:r>
        <w:rPr>
          <w:rFonts w:ascii="Arial" w:hAnsi="Arial" w:cs="Arial" w:eastAsia="Arial"/>
          <w:b/>
          <w:i w:val="0"/>
          <w:color w:val="1F4E79"/>
          <w:sz w:val="15"/>
        </w:rPr>
        <w:t>Figure 1. 11. Final Supply-Chain Reconstruction — structure as presented in the source case.</w:t>
      </w:r>
    </w:p>
    <w:p>
      <w:pPr>
        <w:keepNext/>
        <w:spacing w:before="0" w:after="60"/>
        <w:jc w:val="center"/>
      </w:pPr>
      <w:r>
        <w:drawing>
          <wp:inline xmlns:a="http://schemas.openxmlformats.org/drawingml/2006/main" xmlns:pic="http://schemas.openxmlformats.org/drawingml/2006/picture">
            <wp:extent cx="5431891" cy="4653320"/>
            <wp:docPr id="1" name="Picture 1"/>
            <wp:cNvGraphicFramePr>
              <a:graphicFrameLocks noChangeAspect="1"/>
            </wp:cNvGraphicFramePr>
            <a:graphic>
              <a:graphicData uri="http://schemas.openxmlformats.org/drawingml/2006/picture">
                <pic:pic>
                  <pic:nvPicPr>
                    <pic:cNvPr id="0" name="diagram_AMANA-001_1.png"/>
                    <pic:cNvPicPr/>
                  </pic:nvPicPr>
                  <pic:blipFill>
                    <a:blip r:embed="rId11"/>
                    <a:stretch>
                      <a:fillRect/>
                    </a:stretch>
                  </pic:blipFill>
                  <pic:spPr>
                    <a:xfrm>
                      <a:off x="0" y="0"/>
                      <a:ext cx="5431891" cy="4653320"/>
                    </a:xfrm>
                    <a:prstGeom prst="rect"/>
                  </pic:spPr>
                </pic:pic>
              </a:graphicData>
            </a:graphic>
          </wp:inline>
        </w:drawing>
      </w:r>
    </w:p>
    <w:p>
      <w:pPr>
        <w:spacing w:before="0" w:after="160" w:line="276" w:lineRule="auto"/>
      </w:pPr>
      <w:r>
        <w:rPr>
          <w:rFonts w:ascii="Arial" w:hAnsi="Arial" w:cs="Arial" w:eastAsia="Arial"/>
          <w:b w:val="0"/>
          <w:i/>
          <w:color w:val="555F6B"/>
          <w:sz w:val="15"/>
        </w:rPr>
        <w:t>Source: structure reproduced verbatim from the source case report. Node and edge relationships are as stated there.</w:t>
      </w:r>
    </w:p>
    <w:p>
      <w:pPr>
        <w:spacing w:before="0" w:after="120" w:line="307" w:lineRule="auto"/>
      </w:pPr>
      <w:r>
        <w:rPr>
          <w:rFonts w:ascii="Arial" w:hAnsi="Arial" w:cs="Arial" w:eastAsia="Arial"/>
          <w:b w:val="0"/>
          <w:i w:val="0"/>
          <w:color w:val="1B2733"/>
          <w:sz w:val="19"/>
        </w:rPr>
        <w:t>The diagram separates two different concepts:</w:t>
      </w:r>
    </w:p>
    <w:p>
      <w:pPr>
        <w:spacing w:before="0" w:after="120" w:line="307" w:lineRule="auto"/>
      </w:pPr>
      <w:r>
        <w:rPr>
          <w:rFonts w:ascii="Arial" w:hAnsi="Arial" w:cs="Arial" w:eastAsia="Arial"/>
          <w:b w:val="0"/>
          <w:i w:val="0"/>
          <w:color w:val="1B2733"/>
          <w:sz w:val="19"/>
        </w:rPr>
        <w:t>**Documented relationships**</w:t>
      </w:r>
    </w:p>
    <w:p>
      <w:pPr>
        <w:spacing w:before="0" w:after="120" w:line="307" w:lineRule="auto"/>
      </w:pPr>
      <w:r>
        <w:rPr>
          <w:rFonts w:ascii="Arial" w:hAnsi="Arial" w:cs="Arial" w:eastAsia="Arial"/>
          <w:b w:val="0"/>
          <w:i w:val="0"/>
          <w:color w:val="1B2733"/>
          <w:sz w:val="19"/>
        </w:rPr>
        <w:t>AMANA → Nam Sung Nam Sung → Hai Son Industrial Park AMANA → stated global export function AMANA → documented engagement with Long An International Port.</w:t>
      </w:r>
    </w:p>
    <w:p>
      <w:pPr>
        <w:spacing w:before="0" w:after="120" w:line="307" w:lineRule="auto"/>
      </w:pPr>
      <w:r>
        <w:rPr>
          <w:rFonts w:ascii="Arial" w:hAnsi="Arial" w:cs="Arial" w:eastAsia="Arial"/>
          <w:b w:val="0"/>
          <w:i w:val="0"/>
          <w:color w:val="1B2733"/>
          <w:sz w:val="19"/>
        </w:rPr>
        <w:t>**Reconstructed infrastructure links**</w:t>
      </w:r>
    </w:p>
    <w:p>
      <w:pPr>
        <w:spacing w:before="0" w:after="120" w:line="307" w:lineRule="auto"/>
      </w:pPr>
      <w:r>
        <w:rPr>
          <w:rFonts w:ascii="Arial" w:hAnsi="Arial" w:cs="Arial" w:eastAsia="Arial"/>
          <w:b w:val="0"/>
          <w:i w:val="0"/>
          <w:color w:val="1B2733"/>
          <w:sz w:val="19"/>
        </w:rPr>
        <w:t>Hai Son → regional roads → Cat Lai Hai Son → regional transport network → Long An International Port Port → international maritime transport → foreign market.</w:t>
      </w:r>
    </w:p>
    <w:p>
      <w:pPr>
        <w:spacing w:before="0" w:after="120" w:line="307" w:lineRule="auto"/>
      </w:pPr>
      <w:r>
        <w:rPr>
          <w:rFonts w:ascii="Arial" w:hAnsi="Arial" w:cs="Arial" w:eastAsia="Arial"/>
          <w:b w:val="0"/>
          <w:i w:val="0"/>
          <w:color w:val="1B2733"/>
          <w:sz w:val="19"/>
        </w:rPr>
        <w:t>The second category reflects **physical and functional infrastructure**, not shipment-specific observation.</w:t>
      </w:r>
    </w:p>
    <w:p>
      <w:pPr>
        <w:pStyle w:val="Heading1"/>
        <w:keepNext/>
        <w:spacing w:before="280" w:after="60" w:line="252" w:lineRule="auto"/>
        <w:pBdr>
          <w:bottom w:val="single" w:sz="12" w:space="4" w:color="1F4E79"/>
        </w:pBdr>
      </w:pPr>
      <w:r>
        <w:rPr>
          <w:rFonts w:ascii="Arial" w:hAnsi="Arial" w:cs="Arial" w:eastAsia="Arial"/>
          <w:b/>
          <w:color w:val="1F4E79"/>
          <w:sz w:val="30"/>
        </w:rPr>
        <w:t>12. Evidence Assessment</w:t>
      </w:r>
    </w:p>
    <w:p>
      <w:pPr>
        <w:keepNext/>
        <w:spacing w:before="160" w:after="80" w:line="264" w:lineRule="auto"/>
      </w:pPr>
      <w:r>
        <w:rPr>
          <w:rFonts w:ascii="Arial" w:hAnsi="Arial" w:cs="Arial" w:eastAsia="Arial"/>
          <w:b/>
          <w:i w:val="0"/>
          <w:color w:val="1F4E79"/>
          <w:sz w:val="15"/>
        </w:rPr>
        <w:t>Table 1. Tabulated data under this section, as set out in the source case.</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6031"/>
        <w:gridCol w:w="3267"/>
      </w:tblGrid>
      <w:tr>
        <w:trPr>
          <w:tblHeader/>
        </w:trPr>
        <w:tc>
          <w:tcPr>
            <w:tcW w:type="dxa" w:w="6031"/>
            <w:shd w:val="clear" w:color="auto" w:fill="1F4E79"/>
          </w:tcPr>
          <w:p>
            <w:pPr>
              <w:spacing w:before="60" w:after="60" w:line="269" w:lineRule="auto"/>
            </w:pPr>
            <w:r>
              <w:rPr>
                <w:rFonts w:ascii="Arial" w:hAnsi="Arial" w:cs="Arial" w:eastAsia="Arial"/>
                <w:b/>
                <w:color w:val="FFFFFF"/>
                <w:sz w:val="18"/>
              </w:rPr>
              <w:t>Supply-chain element</w:t>
            </w:r>
          </w:p>
        </w:tc>
        <w:tc>
          <w:tcPr>
            <w:tcW w:type="dxa" w:w="3267"/>
            <w:shd w:val="clear" w:color="auto" w:fill="1F4E79"/>
          </w:tcPr>
          <w:p>
            <w:pPr>
              <w:spacing w:before="60" w:after="60" w:line="269" w:lineRule="auto"/>
            </w:pPr>
            <w:r>
              <w:rPr>
                <w:rFonts w:ascii="Arial" w:hAnsi="Arial" w:cs="Arial" w:eastAsia="Arial"/>
                <w:b/>
                <w:color w:val="FFFFFF"/>
                <w:sz w:val="18"/>
              </w:rPr>
              <w:t>Assessment</w:t>
            </w:r>
          </w:p>
        </w:tc>
      </w:tr>
      <w:tr>
        <w:tc>
          <w:tcPr>
            <w:tcW w:type="dxa" w:w="6031"/>
          </w:tcPr>
          <w:p>
            <w:pPr>
              <w:spacing w:before="50" w:after="50" w:line="276" w:lineRule="auto"/>
            </w:pPr>
            <w:r>
              <w:rPr>
                <w:rFonts w:ascii="Arial" w:hAnsi="Arial" w:cs="Arial" w:eastAsia="Arial"/>
                <w:b/>
                <w:color w:val="1B2733"/>
                <w:sz w:val="18"/>
              </w:rPr>
              <w:t>AMANA operates as a Vietnam-based OEM sourcing / manufacturing-management hub</w:t>
            </w:r>
          </w:p>
        </w:tc>
        <w:tc>
          <w:tcPr>
            <w:tcW w:type="dxa" w:w="3267"/>
          </w:tcPr>
          <w:p>
            <w:pPr>
              <w:spacing w:before="50" w:after="50" w:line="276" w:lineRule="auto"/>
            </w:pPr>
            <w:r>
              <w:rPr>
                <w:rFonts w:ascii="Arial" w:hAnsi="Arial" w:cs="Arial" w:eastAsia="Arial"/>
                <w:b w:val="0"/>
                <w:color w:val="2B333B"/>
                <w:sz w:val="18"/>
              </w:rPr>
              <w:t>**Confirmed by AMANA's own publication**</w:t>
            </w:r>
          </w:p>
        </w:tc>
      </w:tr>
      <w:tr>
        <w:tc>
          <w:tcPr>
            <w:tcW w:type="dxa" w:w="6031"/>
            <w:shd w:val="clear" w:color="auto" w:fill="F4F6F8"/>
          </w:tcPr>
          <w:p>
            <w:pPr>
              <w:spacing w:before="50" w:after="50" w:line="276" w:lineRule="auto"/>
            </w:pPr>
            <w:r>
              <w:rPr>
                <w:rFonts w:ascii="Arial" w:hAnsi="Arial" w:cs="Arial" w:eastAsia="Arial"/>
                <w:b/>
                <w:color w:val="1B2733"/>
                <w:sz w:val="18"/>
              </w:rPr>
              <w:t>AMANA supports international customers</w:t>
            </w:r>
          </w:p>
        </w:tc>
        <w:tc>
          <w:tcPr>
            <w:tcW w:type="dxa" w:w="3267"/>
            <w:shd w:val="clear" w:color="auto" w:fill="F4F6F8"/>
          </w:tcPr>
          <w:p>
            <w:pPr>
              <w:spacing w:before="50" w:after="50" w:line="276" w:lineRule="auto"/>
            </w:pPr>
            <w:r>
              <w:rPr>
                <w:rFonts w:ascii="Arial" w:hAnsi="Arial" w:cs="Arial" w:eastAsia="Arial"/>
                <w:b w:val="0"/>
                <w:color w:val="2B333B"/>
                <w:sz w:val="18"/>
              </w:rPr>
              <w:t>**Confirmed by AMANA**</w:t>
            </w:r>
          </w:p>
        </w:tc>
      </w:tr>
      <w:tr>
        <w:tc>
          <w:tcPr>
            <w:tcW w:type="dxa" w:w="6031"/>
          </w:tcPr>
          <w:p>
            <w:pPr>
              <w:spacing w:before="50" w:after="50" w:line="276" w:lineRule="auto"/>
            </w:pPr>
            <w:r>
              <w:rPr>
                <w:rFonts w:ascii="Arial" w:hAnsi="Arial" w:cs="Arial" w:eastAsia="Arial"/>
                <w:b/>
                <w:color w:val="1B2733"/>
                <w:sz w:val="18"/>
              </w:rPr>
              <w:t>AMANA connects factories, industrial parks and seaports</w:t>
            </w:r>
          </w:p>
        </w:tc>
        <w:tc>
          <w:tcPr>
            <w:tcW w:type="dxa" w:w="3267"/>
          </w:tcPr>
          <w:p>
            <w:pPr>
              <w:spacing w:before="50" w:after="50" w:line="276" w:lineRule="auto"/>
            </w:pPr>
            <w:r>
              <w:rPr>
                <w:rFonts w:ascii="Arial" w:hAnsi="Arial" w:cs="Arial" w:eastAsia="Arial"/>
                <w:b w:val="0"/>
                <w:color w:val="2B333B"/>
                <w:sz w:val="18"/>
              </w:rPr>
              <w:t>**Confirmed as AMANA's stated operating model**</w:t>
            </w:r>
          </w:p>
        </w:tc>
      </w:tr>
      <w:tr>
        <w:tc>
          <w:tcPr>
            <w:tcW w:type="dxa" w:w="6031"/>
            <w:shd w:val="clear" w:color="auto" w:fill="F4F6F8"/>
          </w:tcPr>
          <w:p>
            <w:pPr>
              <w:spacing w:before="50" w:after="50" w:line="276" w:lineRule="auto"/>
            </w:pPr>
            <w:r>
              <w:rPr>
                <w:rFonts w:ascii="Arial" w:hAnsi="Arial" w:cs="Arial" w:eastAsia="Arial"/>
                <w:b/>
                <w:color w:val="1B2733"/>
                <w:sz w:val="18"/>
              </w:rPr>
              <w:t>AMANA–Nam Sung relationship</w:t>
            </w:r>
          </w:p>
        </w:tc>
        <w:tc>
          <w:tcPr>
            <w:tcW w:type="dxa" w:w="3267"/>
            <w:shd w:val="clear" w:color="auto" w:fill="F4F6F8"/>
          </w:tcPr>
          <w:p>
            <w:pPr>
              <w:spacing w:before="50" w:after="50" w:line="276" w:lineRule="auto"/>
            </w:pPr>
            <w:r>
              <w:rPr>
                <w:rFonts w:ascii="Arial" w:hAnsi="Arial" w:cs="Arial" w:eastAsia="Arial"/>
                <w:b w:val="0"/>
                <w:color w:val="2B333B"/>
                <w:sz w:val="18"/>
              </w:rPr>
              <w:t>**Publicly documented by AMANA**</w:t>
            </w:r>
          </w:p>
        </w:tc>
      </w:tr>
      <w:tr>
        <w:tc>
          <w:tcPr>
            <w:tcW w:type="dxa" w:w="6031"/>
          </w:tcPr>
          <w:p>
            <w:pPr>
              <w:spacing w:before="50" w:after="50" w:line="276" w:lineRule="auto"/>
            </w:pPr>
            <w:r>
              <w:rPr>
                <w:rFonts w:ascii="Arial" w:hAnsi="Arial" w:cs="Arial" w:eastAsia="Arial"/>
                <w:b/>
                <w:color w:val="1B2733"/>
                <w:sz w:val="18"/>
              </w:rPr>
              <w:t>Nam Sung Southern manufacturing facility</w:t>
            </w:r>
          </w:p>
        </w:tc>
        <w:tc>
          <w:tcPr>
            <w:tcW w:type="dxa" w:w="3267"/>
          </w:tcPr>
          <w:p>
            <w:pPr>
              <w:spacing w:before="50" w:after="50" w:line="276" w:lineRule="auto"/>
            </w:pPr>
            <w:r>
              <w:rPr>
                <w:rFonts w:ascii="Arial" w:hAnsi="Arial" w:cs="Arial" w:eastAsia="Arial"/>
                <w:b w:val="0"/>
                <w:color w:val="2B333B"/>
                <w:sz w:val="18"/>
              </w:rPr>
              <w:t>**Confirmed by Nam Sung**</w:t>
            </w:r>
          </w:p>
        </w:tc>
      </w:tr>
      <w:tr>
        <w:tc>
          <w:tcPr>
            <w:tcW w:type="dxa" w:w="6031"/>
            <w:shd w:val="clear" w:color="auto" w:fill="F4F6F8"/>
          </w:tcPr>
          <w:p>
            <w:pPr>
              <w:spacing w:before="50" w:after="50" w:line="276" w:lineRule="auto"/>
            </w:pPr>
            <w:r>
              <w:rPr>
                <w:rFonts w:ascii="Arial" w:hAnsi="Arial" w:cs="Arial" w:eastAsia="Arial"/>
                <w:b/>
                <w:color w:val="1B2733"/>
                <w:sz w:val="18"/>
              </w:rPr>
              <w:t>Exact Nam Sung factory lot</w:t>
            </w:r>
          </w:p>
        </w:tc>
        <w:tc>
          <w:tcPr>
            <w:tcW w:type="dxa" w:w="3267"/>
            <w:shd w:val="clear" w:color="auto" w:fill="F4F6F8"/>
          </w:tcPr>
          <w:p>
            <w:pPr>
              <w:spacing w:before="50" w:after="50" w:line="276" w:lineRule="auto"/>
            </w:pPr>
            <w:r>
              <w:rPr>
                <w:rFonts w:ascii="Arial" w:hAnsi="Arial" w:cs="Arial" w:eastAsia="Arial"/>
                <w:b w:val="0"/>
                <w:color w:val="2B333B"/>
                <w:sz w:val="18"/>
              </w:rPr>
              <w:t>**Confirmed by Nam Sung**</w:t>
            </w:r>
          </w:p>
        </w:tc>
      </w:tr>
      <w:tr>
        <w:tc>
          <w:tcPr>
            <w:tcW w:type="dxa" w:w="6031"/>
          </w:tcPr>
          <w:p>
            <w:pPr>
              <w:spacing w:before="50" w:after="50" w:line="276" w:lineRule="auto"/>
            </w:pPr>
            <w:r>
              <w:rPr>
                <w:rFonts w:ascii="Arial" w:hAnsi="Arial" w:cs="Arial" w:eastAsia="Arial"/>
                <w:b/>
                <w:color w:val="1B2733"/>
                <w:sz w:val="18"/>
              </w:rPr>
              <w:t>Hai Son Industrial Park location</w:t>
            </w:r>
          </w:p>
        </w:tc>
        <w:tc>
          <w:tcPr>
            <w:tcW w:type="dxa" w:w="3267"/>
          </w:tcPr>
          <w:p>
            <w:pPr>
              <w:spacing w:before="50" w:after="50" w:line="276" w:lineRule="auto"/>
            </w:pPr>
            <w:r>
              <w:rPr>
                <w:rFonts w:ascii="Arial" w:hAnsi="Arial" w:cs="Arial" w:eastAsia="Arial"/>
                <w:b w:val="0"/>
                <w:color w:val="2B333B"/>
                <w:sz w:val="18"/>
              </w:rPr>
              <w:t>**Confirmed by Nam Sung**</w:t>
            </w:r>
          </w:p>
        </w:tc>
      </w:tr>
      <w:tr>
        <w:tc>
          <w:tcPr>
            <w:tcW w:type="dxa" w:w="6031"/>
            <w:shd w:val="clear" w:color="auto" w:fill="F4F6F8"/>
          </w:tcPr>
          <w:p>
            <w:pPr>
              <w:spacing w:before="50" w:after="50" w:line="276" w:lineRule="auto"/>
            </w:pPr>
            <w:r>
              <w:rPr>
                <w:rFonts w:ascii="Arial" w:hAnsi="Arial" w:cs="Arial" w:eastAsia="Arial"/>
                <w:b/>
                <w:color w:val="1B2733"/>
                <w:sz w:val="18"/>
              </w:rPr>
              <w:t>Former Long An / current Tay Ninh geography</w:t>
            </w:r>
          </w:p>
        </w:tc>
        <w:tc>
          <w:tcPr>
            <w:tcW w:type="dxa" w:w="3267"/>
            <w:shd w:val="clear" w:color="auto" w:fill="F4F6F8"/>
          </w:tcPr>
          <w:p>
            <w:pPr>
              <w:spacing w:before="50" w:after="50" w:line="276" w:lineRule="auto"/>
            </w:pPr>
            <w:r>
              <w:rPr>
                <w:rFonts w:ascii="Arial" w:hAnsi="Arial" w:cs="Arial" w:eastAsia="Arial"/>
                <w:b w:val="0"/>
                <w:color w:val="2B333B"/>
                <w:sz w:val="18"/>
              </w:rPr>
              <w:t>**Confirmed by Nam Sung + Government of Vietnam**</w:t>
            </w:r>
          </w:p>
        </w:tc>
      </w:tr>
      <w:tr>
        <w:tc>
          <w:tcPr>
            <w:tcW w:type="dxa" w:w="6031"/>
          </w:tcPr>
          <w:p>
            <w:pPr>
              <w:spacing w:before="50" w:after="50" w:line="276" w:lineRule="auto"/>
            </w:pPr>
            <w:r>
              <w:rPr>
                <w:rFonts w:ascii="Arial" w:hAnsi="Arial" w:cs="Arial" w:eastAsia="Arial"/>
                <w:b/>
                <w:color w:val="1B2733"/>
                <w:sz w:val="18"/>
              </w:rPr>
              <w:t>45,000 m² factory</w:t>
            </w:r>
          </w:p>
        </w:tc>
        <w:tc>
          <w:tcPr>
            <w:tcW w:type="dxa" w:w="3267"/>
          </w:tcPr>
          <w:p>
            <w:pPr>
              <w:spacing w:before="50" w:after="50" w:line="276" w:lineRule="auto"/>
            </w:pPr>
            <w:r>
              <w:rPr>
                <w:rFonts w:ascii="Arial" w:hAnsi="Arial" w:cs="Arial" w:eastAsia="Arial"/>
                <w:b w:val="0"/>
                <w:color w:val="2B333B"/>
                <w:sz w:val="18"/>
              </w:rPr>
              <w:t>**Confirmed by Nam Sung**</w:t>
            </w:r>
          </w:p>
        </w:tc>
      </w:tr>
      <w:tr>
        <w:tc>
          <w:tcPr>
            <w:tcW w:type="dxa" w:w="6031"/>
            <w:shd w:val="clear" w:color="auto" w:fill="F4F6F8"/>
          </w:tcPr>
          <w:p>
            <w:pPr>
              <w:spacing w:before="50" w:after="50" w:line="276" w:lineRule="auto"/>
            </w:pPr>
            <w:r>
              <w:rPr>
                <w:rFonts w:ascii="Arial" w:hAnsi="Arial" w:cs="Arial" w:eastAsia="Arial"/>
                <w:b/>
                <w:color w:val="1B2733"/>
                <w:sz w:val="18"/>
              </w:rPr>
              <w:t>Imported aluminum from Australia</w:t>
            </w:r>
          </w:p>
        </w:tc>
        <w:tc>
          <w:tcPr>
            <w:tcW w:type="dxa" w:w="3267"/>
            <w:shd w:val="clear" w:color="auto" w:fill="F4F6F8"/>
          </w:tcPr>
          <w:p>
            <w:pPr>
              <w:spacing w:before="50" w:after="50" w:line="276" w:lineRule="auto"/>
            </w:pPr>
            <w:r>
              <w:rPr>
                <w:rFonts w:ascii="Arial" w:hAnsi="Arial" w:cs="Arial" w:eastAsia="Arial"/>
                <w:b w:val="0"/>
                <w:color w:val="2B333B"/>
                <w:sz w:val="18"/>
              </w:rPr>
              <w:t>**Confirmed by AMANA's Nam Sung publication**</w:t>
            </w:r>
          </w:p>
        </w:tc>
      </w:tr>
      <w:tr>
        <w:tc>
          <w:tcPr>
            <w:tcW w:type="dxa" w:w="6031"/>
          </w:tcPr>
          <w:p>
            <w:pPr>
              <w:spacing w:before="50" w:after="50" w:line="276" w:lineRule="auto"/>
            </w:pPr>
            <w:r>
              <w:rPr>
                <w:rFonts w:ascii="Arial" w:hAnsi="Arial" w:cs="Arial" w:eastAsia="Arial"/>
                <w:b/>
                <w:color w:val="1B2733"/>
                <w:sz w:val="18"/>
              </w:rPr>
              <w:t>Cat Lai international container terminal</w:t>
            </w:r>
          </w:p>
        </w:tc>
        <w:tc>
          <w:tcPr>
            <w:tcW w:type="dxa" w:w="3267"/>
          </w:tcPr>
          <w:p>
            <w:pPr>
              <w:spacing w:before="50" w:after="50" w:line="276" w:lineRule="auto"/>
            </w:pPr>
            <w:r>
              <w:rPr>
                <w:rFonts w:ascii="Arial" w:hAnsi="Arial" w:cs="Arial" w:eastAsia="Arial"/>
                <w:b w:val="0"/>
                <w:color w:val="2B333B"/>
                <w:sz w:val="18"/>
              </w:rPr>
              <w:t>**Confirmed by Saigon Newport**</w:t>
            </w:r>
          </w:p>
        </w:tc>
      </w:tr>
      <w:tr>
        <w:tc>
          <w:tcPr>
            <w:tcW w:type="dxa" w:w="6031"/>
            <w:shd w:val="clear" w:color="auto" w:fill="F4F6F8"/>
          </w:tcPr>
          <w:p>
            <w:pPr>
              <w:spacing w:before="50" w:after="50" w:line="276" w:lineRule="auto"/>
            </w:pPr>
            <w:r>
              <w:rPr>
                <w:rFonts w:ascii="Arial" w:hAnsi="Arial" w:cs="Arial" w:eastAsia="Arial"/>
                <w:b/>
                <w:color w:val="1B2733"/>
                <w:sz w:val="18"/>
              </w:rPr>
              <w:t>Cat Lai connection to Long An / Southern industrial regions</w:t>
            </w:r>
          </w:p>
        </w:tc>
        <w:tc>
          <w:tcPr>
            <w:tcW w:type="dxa" w:w="3267"/>
            <w:shd w:val="clear" w:color="auto" w:fill="F4F6F8"/>
          </w:tcPr>
          <w:p>
            <w:pPr>
              <w:spacing w:before="50" w:after="50" w:line="276" w:lineRule="auto"/>
            </w:pPr>
            <w:r>
              <w:rPr>
                <w:rFonts w:ascii="Arial" w:hAnsi="Arial" w:cs="Arial" w:eastAsia="Arial"/>
                <w:b w:val="0"/>
                <w:color w:val="2B333B"/>
                <w:sz w:val="18"/>
              </w:rPr>
              <w:t>**Confirmed by Saigon Newport**</w:t>
            </w:r>
          </w:p>
        </w:tc>
      </w:tr>
      <w:tr>
        <w:tc>
          <w:tcPr>
            <w:tcW w:type="dxa" w:w="6031"/>
          </w:tcPr>
          <w:p>
            <w:pPr>
              <w:spacing w:before="50" w:after="50" w:line="276" w:lineRule="auto"/>
            </w:pPr>
            <w:r>
              <w:rPr>
                <w:rFonts w:ascii="Arial" w:hAnsi="Arial" w:cs="Arial" w:eastAsia="Arial"/>
                <w:b/>
                <w:color w:val="1B2733"/>
                <w:sz w:val="18"/>
              </w:rPr>
              <w:t>Long An International Port as logistics / maritime gateway</w:t>
            </w:r>
          </w:p>
        </w:tc>
        <w:tc>
          <w:tcPr>
            <w:tcW w:type="dxa" w:w="3267"/>
          </w:tcPr>
          <w:p>
            <w:pPr>
              <w:spacing w:before="50" w:after="50" w:line="276" w:lineRule="auto"/>
            </w:pPr>
            <w:r>
              <w:rPr>
                <w:rFonts w:ascii="Arial" w:hAnsi="Arial" w:cs="Arial" w:eastAsia="Arial"/>
                <w:b w:val="0"/>
                <w:color w:val="2B333B"/>
                <w:sz w:val="18"/>
              </w:rPr>
              <w:t>**Confirmed by port operator**</w:t>
            </w:r>
          </w:p>
        </w:tc>
      </w:tr>
      <w:tr>
        <w:tc>
          <w:tcPr>
            <w:tcW w:type="dxa" w:w="6031"/>
            <w:shd w:val="clear" w:color="auto" w:fill="F4F6F8"/>
          </w:tcPr>
          <w:p>
            <w:pPr>
              <w:spacing w:before="50" w:after="50" w:line="276" w:lineRule="auto"/>
            </w:pPr>
            <w:r>
              <w:rPr>
                <w:rFonts w:ascii="Arial" w:hAnsi="Arial" w:cs="Arial" w:eastAsia="Arial"/>
                <w:b/>
                <w:color w:val="1B2733"/>
                <w:sz w:val="18"/>
              </w:rPr>
              <w:t>AMANA documented visit to Long An International Port</w:t>
            </w:r>
          </w:p>
        </w:tc>
        <w:tc>
          <w:tcPr>
            <w:tcW w:type="dxa" w:w="3267"/>
            <w:shd w:val="clear" w:color="auto" w:fill="F4F6F8"/>
          </w:tcPr>
          <w:p>
            <w:pPr>
              <w:spacing w:before="50" w:after="50" w:line="276" w:lineRule="auto"/>
            </w:pPr>
            <w:r>
              <w:rPr>
                <w:rFonts w:ascii="Arial" w:hAnsi="Arial" w:cs="Arial" w:eastAsia="Arial"/>
                <w:b w:val="0"/>
                <w:color w:val="2B333B"/>
                <w:sz w:val="18"/>
              </w:rPr>
              <w:t>**Confirmed by AMANA**</w:t>
            </w:r>
          </w:p>
        </w:tc>
      </w:tr>
      <w:tr>
        <w:tc>
          <w:tcPr>
            <w:tcW w:type="dxa" w:w="6031"/>
          </w:tcPr>
          <w:p>
            <w:pPr>
              <w:spacing w:before="50" w:after="50" w:line="276" w:lineRule="auto"/>
            </w:pPr>
            <w:r>
              <w:rPr>
                <w:rFonts w:ascii="Arial" w:hAnsi="Arial" w:cs="Arial" w:eastAsia="Arial"/>
                <w:b/>
                <w:color w:val="1B2733"/>
                <w:sz w:val="18"/>
              </w:rPr>
              <w:t>Specific AMANA shipment through Cat Lai</w:t>
            </w:r>
          </w:p>
        </w:tc>
        <w:tc>
          <w:tcPr>
            <w:tcW w:type="dxa" w:w="3267"/>
          </w:tcPr>
          <w:p>
            <w:pPr>
              <w:spacing w:before="50" w:after="50" w:line="276" w:lineRule="auto"/>
            </w:pPr>
            <w:r>
              <w:rPr>
                <w:rFonts w:ascii="Arial" w:hAnsi="Arial" w:cs="Arial" w:eastAsia="Arial"/>
                <w:b w:val="0"/>
                <w:color w:val="2B333B"/>
                <w:sz w:val="18"/>
              </w:rPr>
              <w:t>**Not established**</w:t>
            </w:r>
          </w:p>
        </w:tc>
      </w:tr>
      <w:tr>
        <w:tc>
          <w:tcPr>
            <w:tcW w:type="dxa" w:w="6031"/>
            <w:shd w:val="clear" w:color="auto" w:fill="F4F6F8"/>
          </w:tcPr>
          <w:p>
            <w:pPr>
              <w:spacing w:before="50" w:after="50" w:line="276" w:lineRule="auto"/>
            </w:pPr>
            <w:r>
              <w:rPr>
                <w:rFonts w:ascii="Arial" w:hAnsi="Arial" w:cs="Arial" w:eastAsia="Arial"/>
                <w:b/>
                <w:color w:val="1B2733"/>
                <w:sz w:val="18"/>
              </w:rPr>
              <w:t>Specific AMANA shipment through Long An International Port</w:t>
            </w:r>
          </w:p>
        </w:tc>
        <w:tc>
          <w:tcPr>
            <w:tcW w:type="dxa" w:w="3267"/>
            <w:shd w:val="clear" w:color="auto" w:fill="F4F6F8"/>
          </w:tcPr>
          <w:p>
            <w:pPr>
              <w:spacing w:before="50" w:after="50" w:line="276" w:lineRule="auto"/>
            </w:pPr>
            <w:r>
              <w:rPr>
                <w:rFonts w:ascii="Arial" w:hAnsi="Arial" w:cs="Arial" w:eastAsia="Arial"/>
                <w:b w:val="0"/>
                <w:color w:val="2B333B"/>
                <w:sz w:val="18"/>
              </w:rPr>
              <w:t>**Not established**</w:t>
            </w:r>
          </w:p>
        </w:tc>
      </w:tr>
      <w:tr>
        <w:tc>
          <w:tcPr>
            <w:tcW w:type="dxa" w:w="6031"/>
          </w:tcPr>
          <w:p>
            <w:pPr>
              <w:spacing w:before="50" w:after="50" w:line="276" w:lineRule="auto"/>
            </w:pPr>
            <w:r>
              <w:rPr>
                <w:rFonts w:ascii="Arial" w:hAnsi="Arial" w:cs="Arial" w:eastAsia="Arial"/>
                <w:b/>
                <w:color w:val="1B2733"/>
                <w:sz w:val="18"/>
              </w:rPr>
              <w:t>Specific overseas customer</w:t>
            </w:r>
          </w:p>
        </w:tc>
        <w:tc>
          <w:tcPr>
            <w:tcW w:type="dxa" w:w="3267"/>
          </w:tcPr>
          <w:p>
            <w:pPr>
              <w:spacing w:before="50" w:after="50" w:line="276" w:lineRule="auto"/>
            </w:pPr>
            <w:r>
              <w:rPr>
                <w:rFonts w:ascii="Arial" w:hAnsi="Arial" w:cs="Arial" w:eastAsia="Arial"/>
                <w:b w:val="0"/>
                <w:color w:val="2B333B"/>
                <w:sz w:val="18"/>
              </w:rPr>
              <w:t>**Not established**</w:t>
            </w:r>
          </w:p>
        </w:tc>
      </w:tr>
      <w:tr>
        <w:tc>
          <w:tcPr>
            <w:tcW w:type="dxa" w:w="6031"/>
            <w:shd w:val="clear" w:color="auto" w:fill="F4F6F8"/>
          </w:tcPr>
          <w:p>
            <w:pPr>
              <w:spacing w:before="50" w:after="50" w:line="276" w:lineRule="auto"/>
            </w:pPr>
            <w:r>
              <w:rPr>
                <w:rFonts w:ascii="Arial" w:hAnsi="Arial" w:cs="Arial" w:eastAsia="Arial"/>
                <w:b/>
                <w:color w:val="1B2733"/>
                <w:sz w:val="18"/>
              </w:rPr>
              <w:t>Specific vessel / bill of lading / consignee</w:t>
            </w:r>
          </w:p>
        </w:tc>
        <w:tc>
          <w:tcPr>
            <w:tcW w:type="dxa" w:w="3267"/>
            <w:shd w:val="clear" w:color="auto" w:fill="F4F6F8"/>
          </w:tcPr>
          <w:p>
            <w:pPr>
              <w:spacing w:before="50" w:after="50" w:line="276" w:lineRule="auto"/>
            </w:pPr>
            <w:r>
              <w:rPr>
                <w:rFonts w:ascii="Arial" w:hAnsi="Arial" w:cs="Arial" w:eastAsia="Arial"/>
                <w:b w:val="0"/>
                <w:color w:val="2B333B"/>
                <w:sz w:val="18"/>
              </w:rPr>
              <w:t>**Not established**</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13. Defensive Writing and Information Gaps</w:t>
      </w:r>
    </w:p>
    <w:p>
      <w:pPr>
        <w:spacing w:before="0" w:after="120" w:line="307" w:lineRule="auto"/>
      </w:pPr>
      <w:r>
        <w:rPr>
          <w:rFonts w:ascii="Arial" w:hAnsi="Arial" w:cs="Arial" w:eastAsia="Arial"/>
          <w:b w:val="0"/>
          <w:i w:val="0"/>
          <w:color w:val="1B2733"/>
          <w:sz w:val="19"/>
        </w:rPr>
        <w:t>The evidence should not be interpreted more broadly than it allows.</w:t>
      </w:r>
    </w:p>
    <w:p>
      <w:pPr>
        <w:pStyle w:val="Heading2"/>
        <w:keepNext/>
        <w:spacing w:before="220" w:after="60" w:line="252" w:lineRule="auto"/>
      </w:pPr>
      <w:r>
        <w:rPr>
          <w:rFonts w:ascii="Arial" w:hAnsi="Arial" w:cs="Arial" w:eastAsia="Arial"/>
          <w:b/>
          <w:color w:val="1B2733"/>
          <w:sz w:val="22"/>
        </w:rPr>
        <w:t>AMANA is not demonstrated to own the manufacturing facility</w:t>
      </w:r>
    </w:p>
    <w:p>
      <w:pPr>
        <w:spacing w:before="0" w:after="120" w:line="307" w:lineRule="auto"/>
      </w:pPr>
      <w:r>
        <w:rPr>
          <w:rFonts w:ascii="Arial" w:hAnsi="Arial" w:cs="Arial" w:eastAsia="Arial"/>
          <w:b w:val="0"/>
          <w:i w:val="0"/>
          <w:color w:val="1B2733"/>
          <w:sz w:val="19"/>
        </w:rPr>
        <w:t>AMANA identifies Nam Sung as a manufacturing partner. No official source reviewed establishes AMANA ownership of Nam Sung's factory.</w:t>
      </w:r>
    </w:p>
    <w:p>
      <w:pPr>
        <w:spacing w:before="0" w:after="120" w:line="307" w:lineRule="auto"/>
      </w:pPr>
      <w:r>
        <w:rPr>
          <w:rFonts w:ascii="Arial" w:hAnsi="Arial" w:cs="Arial" w:eastAsia="Arial"/>
          <w:b w:val="0"/>
          <w:i w:val="0"/>
          <w:color w:val="1B2733"/>
          <w:sz w:val="19"/>
        </w:rPr>
        <w:t>The appropriate terminology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**manufacturing partner**</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rather than:</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**AMANA-owned factory**</w:t>
            </w:r>
          </w:p>
        </w:tc>
      </w:tr>
    </w:tbl>
    <w:p>
      <w:pPr>
        <w:spacing w:before="0" w:after="80" w:line="307" w:lineRule="auto"/>
      </w:pPr>
      <w:r>
        <w:rPr>
          <w:rFonts w:ascii="Arial" w:hAnsi="Arial" w:cs="Arial" w:eastAsia="Arial"/>
          <w:b w:val="0"/>
          <w:i w:val="0"/>
          <w:color w:val="1B2733"/>
          <w:sz w:val="19"/>
        </w:rPr>
      </w:r>
    </w:p>
    <w:p>
      <w:pPr>
        <w:pStyle w:val="Heading2"/>
        <w:keepNext/>
        <w:spacing w:before="220" w:after="60" w:line="252" w:lineRule="auto"/>
      </w:pPr>
      <w:r>
        <w:rPr>
          <w:rFonts w:ascii="Arial" w:hAnsi="Arial" w:cs="Arial" w:eastAsia="Arial"/>
          <w:b/>
          <w:color w:val="1B2733"/>
          <w:sz w:val="22"/>
        </w:rPr>
        <w:t>The port route is reconstructed, not shipment-verified</w:t>
      </w:r>
    </w:p>
    <w:p>
      <w:pPr>
        <w:spacing w:before="0" w:after="120" w:line="307" w:lineRule="auto"/>
      </w:pPr>
      <w:r>
        <w:rPr>
          <w:rFonts w:ascii="Arial" w:hAnsi="Arial" w:cs="Arial" w:eastAsia="Arial"/>
          <w:b w:val="0"/>
          <w:i w:val="0"/>
          <w:color w:val="1B2733"/>
          <w:sz w:val="19"/>
        </w:rPr>
        <w:t>The road and port infrastructure establish that the factory belongs to a region physically connected to major maritime gateways.</w:t>
      </w:r>
    </w:p>
    <w:p>
      <w:pPr>
        <w:spacing w:before="0" w:after="120" w:line="307" w:lineRule="auto"/>
      </w:pPr>
      <w:r>
        <w:rPr>
          <w:rFonts w:ascii="Arial" w:hAnsi="Arial" w:cs="Arial" w:eastAsia="Arial"/>
          <w:b w:val="0"/>
          <w:i w:val="0"/>
          <w:color w:val="1B2733"/>
          <w:sz w:val="19"/>
        </w:rPr>
        <w:t>They do not establish that an individual AMANA order followed one specific road route.</w:t>
      </w:r>
    </w:p>
    <w:p>
      <w:pPr>
        <w:spacing w:before="0" w:after="120" w:line="307" w:lineRule="auto"/>
      </w:pPr>
      <w:r>
        <w:rPr>
          <w:rFonts w:ascii="Arial" w:hAnsi="Arial" w:cs="Arial" w:eastAsia="Arial"/>
          <w:b w:val="0"/>
          <w:i w:val="0"/>
          <w:color w:val="1B2733"/>
          <w:sz w:val="19"/>
        </w:rPr>
        <w:t>The appropriate terminology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**physically plausible / reconstructed logistics pathway**</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rather than:</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**verified shipment route**</w:t>
            </w:r>
          </w:p>
        </w:tc>
      </w:tr>
    </w:tbl>
    <w:p>
      <w:pPr>
        <w:spacing w:before="0" w:after="80" w:line="307" w:lineRule="auto"/>
      </w:pPr>
      <w:r>
        <w:rPr>
          <w:rFonts w:ascii="Arial" w:hAnsi="Arial" w:cs="Arial" w:eastAsia="Arial"/>
          <w:b w:val="0"/>
          <w:i w:val="0"/>
          <w:color w:val="1B2733"/>
          <w:sz w:val="19"/>
        </w:rPr>
      </w:r>
    </w:p>
    <w:p>
      <w:pPr>
        <w:pStyle w:val="Heading2"/>
        <w:keepNext/>
        <w:spacing w:before="220" w:after="60" w:line="252" w:lineRule="auto"/>
      </w:pPr>
      <w:r>
        <w:rPr>
          <w:rFonts w:ascii="Arial" w:hAnsi="Arial" w:cs="Arial" w:eastAsia="Arial"/>
          <w:b/>
          <w:color w:val="1B2733"/>
          <w:sz w:val="22"/>
        </w:rPr>
        <w:t>Long An International Port should not be treated as the mandatory export gateway</w:t>
      </w:r>
    </w:p>
    <w:p>
      <w:pPr>
        <w:spacing w:before="0" w:after="120" w:line="307" w:lineRule="auto"/>
      </w:pPr>
      <w:r>
        <w:rPr>
          <w:rFonts w:ascii="Arial" w:hAnsi="Arial" w:cs="Arial" w:eastAsia="Arial"/>
          <w:b w:val="0"/>
          <w:i w:val="0"/>
          <w:color w:val="1B2733"/>
          <w:sz w:val="19"/>
        </w:rPr>
        <w:t>AMANA's documented visit to Long An International Port demonstrates company engagement with the logistics infrastructure. The port itself is clearly part of the regional export ecosystem.</w:t>
      </w:r>
    </w:p>
    <w:p>
      <w:pPr>
        <w:spacing w:before="0" w:after="120" w:line="307" w:lineRule="auto"/>
      </w:pPr>
      <w:r>
        <w:rPr>
          <w:rFonts w:ascii="Arial" w:hAnsi="Arial" w:cs="Arial" w:eastAsia="Arial"/>
          <w:b w:val="0"/>
          <w:i w:val="0"/>
          <w:color w:val="1B2733"/>
          <w:sz w:val="19"/>
        </w:rPr>
        <w:t>No official source reviewed establishes that every AMANA order or every Nam Sung order is handled through Long An International Port.</w:t>
      </w:r>
    </w:p>
    <w:p>
      <w:pPr>
        <w:pStyle w:val="Heading2"/>
        <w:keepNext/>
        <w:spacing w:before="220" w:after="60" w:line="252" w:lineRule="auto"/>
      </w:pPr>
      <w:r>
        <w:rPr>
          <w:rFonts w:ascii="Arial" w:hAnsi="Arial" w:cs="Arial" w:eastAsia="Arial"/>
          <w:b/>
          <w:color w:val="1B2733"/>
          <w:sz w:val="22"/>
        </w:rPr>
        <w:t>No specific foreign customer was identified</w:t>
      </w:r>
    </w:p>
    <w:p>
      <w:pPr>
        <w:spacing w:before="0" w:after="120" w:line="307" w:lineRule="auto"/>
      </w:pPr>
      <w:r>
        <w:rPr>
          <w:rFonts w:ascii="Arial" w:hAnsi="Arial" w:cs="Arial" w:eastAsia="Arial"/>
          <w:b w:val="0"/>
          <w:i w:val="0"/>
          <w:color w:val="1B2733"/>
          <w:sz w:val="19"/>
        </w:rPr>
        <w:t>AMANA publicly describes an international customer base but does not disclose a sufficiently detailed customer-to-shipment chain in the reviewed official sources.</w:t>
      </w:r>
    </w:p>
    <w:p>
      <w:pPr>
        <w:spacing w:before="0" w:after="120" w:line="307" w:lineRule="auto"/>
      </w:pPr>
      <w:r>
        <w:rPr>
          <w:rFonts w:ascii="Arial" w:hAnsi="Arial" w:cs="Arial" w:eastAsia="Arial"/>
          <w:b w:val="0"/>
          <w:i w:val="0"/>
          <w:color w:val="1B2733"/>
          <w:sz w:val="19"/>
        </w:rPr>
        <w:t>This prevents the final section from being elevated from an **ecosystem reconstruction** to a **transaction reconstruction**.</w:t>
      </w:r>
    </w:p>
    <w:p>
      <w:pPr>
        <w:pStyle w:val="Heading1"/>
        <w:keepNext/>
        <w:spacing w:before="280" w:after="60" w:line="252" w:lineRule="auto"/>
        <w:pBdr>
          <w:bottom w:val="single" w:sz="12" w:space="4" w:color="1F4E79"/>
        </w:pBdr>
      </w:pPr>
      <w:r>
        <w:rPr>
          <w:rFonts w:ascii="Arial" w:hAnsi="Arial" w:cs="Arial" w:eastAsia="Arial"/>
          <w:b/>
          <w:color w:val="1F4E79"/>
          <w:sz w:val="30"/>
        </w:rPr>
        <w:t>Final Analytical Conclusion</w:t>
      </w:r>
    </w:p>
    <w:p>
      <w:pPr>
        <w:spacing w:before="0" w:after="120" w:line="307" w:lineRule="auto"/>
      </w:pPr>
      <w:r>
        <w:rPr>
          <w:rFonts w:ascii="Arial" w:hAnsi="Arial" w:cs="Arial" w:eastAsia="Arial"/>
          <w:b w:val="0"/>
          <w:i w:val="0"/>
          <w:color w:val="1B2733"/>
          <w:sz w:val="19"/>
        </w:rPr>
        <w:t>The official-source evidence is sufficient to reconstruct a **real Southern Vietnamese industrial supply-chain ecosystem around AMANA's sourcing and manufacturing-management model**.</w:t>
      </w:r>
    </w:p>
    <w:p>
      <w:pPr>
        <w:spacing w:before="0" w:after="120" w:line="307" w:lineRule="auto"/>
      </w:pPr>
      <w:r>
        <w:rPr>
          <w:rFonts w:ascii="Arial" w:hAnsi="Arial" w:cs="Arial" w:eastAsia="Arial"/>
          <w:b w:val="0"/>
          <w:i w:val="0"/>
          <w:color w:val="1B2733"/>
          <w:sz w:val="19"/>
        </w:rPr>
        <w:t>The most defensible chain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**International customer requirement → AMANA → Nam Sung Aluminium → Hai Son Industrial Park → Southern Vietnam logistics infrastructure → international port gateway → international maritime transportation.**</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AMANA's own publications establish its role as a Vietnam-based OEM sourcing and manufacturing-management hub and explicitly identify Nam Sung Aluminium as a manufacturing partner. ([AMANA](https://supplychainvietnam.vn/); [AMANA — AMANA x NAMSUNG](https://supplychainvietnam.vn/amana-x-namsung-connecting-vietnams-leading-aluminum-expertise-to-global-manufacturing/))</w:t>
      </w:r>
    </w:p>
    <w:p>
      <w:pPr>
        <w:spacing w:before="0" w:after="120" w:line="307" w:lineRule="auto"/>
      </w:pPr>
      <w:r>
        <w:rPr>
          <w:rFonts w:ascii="Arial" w:hAnsi="Arial" w:cs="Arial" w:eastAsia="Arial"/>
          <w:b w:val="0"/>
          <w:i w:val="0"/>
          <w:color w:val="1B2733"/>
          <w:sz w:val="19"/>
        </w:rPr>
        <w:t>Nam Sung's official corporate material localizes the manufacturing node to **Lot N1-3, Road No. 2, Hai Son Industrial Park (Phase 3+4)** and identifies the Southern facility as a **45,000 m²** production site. ([Nam Sung Aluminium](https://nhomnamsung.com.vn/about-us))</w:t>
      </w:r>
    </w:p>
    <w:p>
      <w:pPr>
        <w:spacing w:before="0" w:after="120" w:line="307" w:lineRule="auto"/>
      </w:pPr>
      <w:r>
        <w:rPr>
          <w:rFonts w:ascii="Arial" w:hAnsi="Arial" w:cs="Arial" w:eastAsia="Arial"/>
          <w:b w:val="0"/>
          <w:i w:val="0"/>
          <w:color w:val="1B2733"/>
          <w:sz w:val="19"/>
        </w:rPr>
        <w:t>The industrial-park location connects the factory to the Southern Vietnam transportation system, while Saigon Newport's official documentation establishes Cat Lai as a major international container terminal with explicit road connectivity toward Long An and other Southern economic regions. ([Saigon Newport](https://saigonnewport.com.vn/en/port-company/tan-cang-cat-lai-terminal-tccl))</w:t>
      </w:r>
    </w:p>
    <w:p>
      <w:pPr>
        <w:spacing w:before="0" w:after="120" w:line="307" w:lineRule="auto"/>
      </w:pPr>
      <w:r>
        <w:rPr>
          <w:rFonts w:ascii="Arial" w:hAnsi="Arial" w:cs="Arial" w:eastAsia="Arial"/>
          <w:b w:val="0"/>
          <w:i w:val="0"/>
          <w:color w:val="1B2733"/>
          <w:sz w:val="19"/>
        </w:rPr>
        <w:t>Long An International Port provides an additional regional maritime and logistics gateway and explicitly describes the integration of industrial parks, production areas, logistics centers, transport infrastructure and seaports into one regional cargo chain. ([Long An International Port](https://longanport.com/long-an-international-port-proposes-stronger-logistics-connectivity-from-border-gates-to-seaports/))</w:t>
      </w:r>
    </w:p>
    <w:p>
      <w:pPr>
        <w:spacing w:before="0" w:after="120" w:line="307" w:lineRule="auto"/>
      </w:pPr>
      <w:r>
        <w:rPr>
          <w:rFonts w:ascii="Arial" w:hAnsi="Arial" w:cs="Arial" w:eastAsia="Arial"/>
          <w:b w:val="0"/>
          <w:i w:val="0"/>
          <w:color w:val="1B2733"/>
          <w:sz w:val="19"/>
        </w:rPr>
        <w:t>The resulting intelligence finding is therefore: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**AMANA can be placed at the international customer-facing and manufacturing-coordination layer of a physically identifiable Southern Vietnamese industrial ecosystem. Nam Sung Aluminium provides a specific manufacturing facility within Hai Son Industrial Park, while Southern Vietnam's road and seaport infrastructure provides the downstream logistics architecture necessary to connect that production base with international maritime trade.**</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At the same time: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**The official public record does not establish a complete shipment-specific chain from a named international customer through AMANA and Nam Sung to a particular vessel and foreign consignee.**</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The case should therefore be characterized as a **supply-chain ecosystem reconstruction**, not as an individual shipment reconstruction.</w:t>
      </w:r>
    </w:p>
    <w:p>
      <w:pPr>
        <w:pStyle w:val="Heading1"/>
        <w:keepNext/>
        <w:spacing w:before="280" w:after="60" w:line="252" w:lineRule="auto"/>
        <w:pBdr>
          <w:bottom w:val="single" w:sz="12" w:space="4" w:color="1F4E79"/>
        </w:pBdr>
      </w:pPr>
      <w:r>
        <w:rPr>
          <w:rFonts w:ascii="Arial" w:hAnsi="Arial" w:cs="Arial" w:eastAsia="Arial"/>
          <w:b/>
          <w:color w:val="1F4E79"/>
          <w:sz w:val="30"/>
        </w:rPr>
        <w:t>Sources</w:t>
      </w:r>
    </w:p>
    <w:p>
      <w:pPr>
        <w:pStyle w:val="Heading1"/>
        <w:keepNext/>
        <w:spacing w:before="280" w:after="60" w:line="252" w:lineRule="auto"/>
        <w:pBdr>
          <w:bottom w:val="single" w:sz="12" w:space="4" w:color="1F4E79"/>
        </w:pBdr>
      </w:pPr>
      <w:r>
        <w:rPr>
          <w:rFonts w:ascii="Arial" w:hAnsi="Arial" w:cs="Arial" w:eastAsia="Arial"/>
          <w:b/>
          <w:color w:val="1F4E79"/>
          <w:sz w:val="30"/>
        </w:rPr>
        <w:t>AMANA — First-Party</w:t>
      </w:r>
    </w:p>
    <w:p>
      <w:pPr>
        <w:pStyle w:val="ListBullet"/>
        <w:spacing w:before="0" w:after="60" w:line="293" w:lineRule="auto"/>
        <w:ind w:left="351" w:hanging="193"/>
      </w:pPr>
      <w:r>
        <w:rPr>
          <w:rFonts w:ascii="Arial" w:hAnsi="Arial" w:cs="Arial" w:eastAsia="Arial"/>
          <w:color w:val="1B2733"/>
          <w:sz w:val="19"/>
        </w:rPr>
        <w:t>1. **AMANA — Supply Chain Vietnam.** OEM sourcing, manufacturing management, factory network, logistics, warehousing and international transportation model.</w:t>
      </w:r>
    </w:p>
    <w:p>
      <w:pPr>
        <w:spacing w:before="0" w:after="120" w:line="307" w:lineRule="auto"/>
      </w:pPr>
      <w:r>
        <w:rPr>
          <w:rFonts w:ascii="Arial" w:hAnsi="Arial" w:cs="Arial" w:eastAsia="Arial"/>
          <w:b w:val="0"/>
          <w:i w:val="0"/>
          <w:color w:val="1B2733"/>
          <w:sz w:val="19"/>
        </w:rPr>
        <w:t>https://supplychainvietnam.vn/</w:t>
      </w:r>
    </w:p>
    <w:p>
      <w:pPr>
        <w:pStyle w:val="ListBullet"/>
        <w:spacing w:before="0" w:after="60" w:line="293" w:lineRule="auto"/>
        <w:ind w:left="351" w:hanging="193"/>
      </w:pPr>
      <w:r>
        <w:rPr>
          <w:rFonts w:ascii="Arial" w:hAnsi="Arial" w:cs="Arial" w:eastAsia="Arial"/>
          <w:color w:val="1B2733"/>
          <w:sz w:val="19"/>
        </w:rPr>
        <w:t>2. **AMANA — AMANA x NAMSUNG | Connecting Vietnam's Leading Aluminum Expertise to Global Manufacturing.** Public identification of Nam Sung as manufacturing partner and description of the AMANA–Nam Sung supply-chain model.</w:t>
      </w:r>
    </w:p>
    <w:p>
      <w:pPr>
        <w:spacing w:before="0" w:after="120" w:line="307" w:lineRule="auto"/>
      </w:pPr>
      <w:r>
        <w:rPr>
          <w:rFonts w:ascii="Arial" w:hAnsi="Arial" w:cs="Arial" w:eastAsia="Arial"/>
          <w:b w:val="0"/>
          <w:i w:val="0"/>
          <w:color w:val="1B2733"/>
          <w:sz w:val="19"/>
        </w:rPr>
        <w:t>https://supplychainvietnam.vn/amana-x-namsung-connecting-vietnams-leading-aluminum-expertise-to-global-manufacturing/</w:t>
      </w:r>
    </w:p>
    <w:p>
      <w:pPr>
        <w:pStyle w:val="ListBullet"/>
        <w:spacing w:before="0" w:after="60" w:line="293" w:lineRule="auto"/>
        <w:ind w:left="351" w:hanging="193"/>
      </w:pPr>
      <w:r>
        <w:rPr>
          <w:rFonts w:ascii="Arial" w:hAnsi="Arial" w:cs="Arial" w:eastAsia="Arial"/>
          <w:color w:val="1B2733"/>
          <w:sz w:val="19"/>
        </w:rPr>
        <w:t>3. **AMANA — AMANA x YBA: Exploring Modern Logistics Infrastructure.** Documentation of AMANA's visit to Long An International Port.</w:t>
      </w:r>
    </w:p>
    <w:p>
      <w:pPr>
        <w:spacing w:before="0" w:after="120" w:line="307" w:lineRule="auto"/>
      </w:pPr>
      <w:r>
        <w:rPr>
          <w:rFonts w:ascii="Arial" w:hAnsi="Arial" w:cs="Arial" w:eastAsia="Arial"/>
          <w:b w:val="0"/>
          <w:i w:val="0"/>
          <w:color w:val="1B2733"/>
          <w:sz w:val="19"/>
        </w:rPr>
        <w:t>https://supplychainvietnam.vn/amana-x-yba-exploring-modern-logistics-infrastructure-strengthening-global-supply-chain-connectivity/</w:t>
      </w:r>
    </w:p>
    <w:p>
      <w:pPr>
        <w:pStyle w:val="Heading1"/>
        <w:keepNext/>
        <w:spacing w:before="280" w:after="60" w:line="252" w:lineRule="auto"/>
        <w:pBdr>
          <w:bottom w:val="single" w:sz="12" w:space="4" w:color="1F4E79"/>
        </w:pBdr>
      </w:pPr>
      <w:r>
        <w:rPr>
          <w:rFonts w:ascii="Arial" w:hAnsi="Arial" w:cs="Arial" w:eastAsia="Arial"/>
          <w:b/>
          <w:color w:val="1F4E79"/>
          <w:sz w:val="30"/>
        </w:rPr>
        <w:t>Nam Sung Aluminium — First-Party</w:t>
      </w:r>
    </w:p>
    <w:p>
      <w:pPr>
        <w:pStyle w:val="ListBullet"/>
        <w:spacing w:before="0" w:after="60" w:line="293" w:lineRule="auto"/>
        <w:ind w:left="351" w:hanging="193"/>
      </w:pPr>
      <w:r>
        <w:rPr>
          <w:rFonts w:ascii="Arial" w:hAnsi="Arial" w:cs="Arial" w:eastAsia="Arial"/>
          <w:color w:val="1B2733"/>
          <w:sz w:val="19"/>
        </w:rPr>
        <w:t>4. **Nam Sung Aluminium — About Us.** Southern factory location, area, establishment date, historical geography and manufacturing overview.</w:t>
      </w:r>
    </w:p>
    <w:p>
      <w:pPr>
        <w:spacing w:before="0" w:after="120" w:line="307" w:lineRule="auto"/>
      </w:pPr>
      <w:r>
        <w:rPr>
          <w:rFonts w:ascii="Arial" w:hAnsi="Arial" w:cs="Arial" w:eastAsia="Arial"/>
          <w:b w:val="0"/>
          <w:i w:val="0"/>
          <w:color w:val="1B2733"/>
          <w:sz w:val="19"/>
        </w:rPr>
        <w:t>https://nhomnamsung.com.vn/about-us</w:t>
      </w:r>
    </w:p>
    <w:p>
      <w:pPr>
        <w:pStyle w:val="ListBullet"/>
        <w:spacing w:before="0" w:after="60" w:line="293" w:lineRule="auto"/>
        <w:ind w:left="351" w:hanging="193"/>
      </w:pPr>
      <w:r>
        <w:rPr>
          <w:rFonts w:ascii="Arial" w:hAnsi="Arial" w:cs="Arial" w:eastAsia="Arial"/>
          <w:color w:val="1B2733"/>
          <w:sz w:val="19"/>
        </w:rPr>
        <w:t>5. **Nam Sung Aluminium — Company Profile.** Historical factory documentation and manufacturing capabilities.</w:t>
      </w:r>
    </w:p>
    <w:p>
      <w:pPr>
        <w:spacing w:before="0" w:after="120" w:line="307" w:lineRule="auto"/>
      </w:pPr>
      <w:r>
        <w:rPr>
          <w:rFonts w:ascii="Arial" w:hAnsi="Arial" w:cs="Arial" w:eastAsia="Arial"/>
          <w:b w:val="0"/>
          <w:i w:val="0"/>
          <w:color w:val="1B2733"/>
          <w:sz w:val="19"/>
        </w:rPr>
        <w:t>https://nhomnamsung.com.vn/wp-content/uploads/2025/06/2.4.-NS-Aluminium-Profile-16.06.2025.pdf</w:t>
      </w:r>
    </w:p>
    <w:p>
      <w:pPr>
        <w:pStyle w:val="Heading1"/>
        <w:keepNext/>
        <w:spacing w:before="280" w:after="60" w:line="252" w:lineRule="auto"/>
        <w:pBdr>
          <w:bottom w:val="single" w:sz="12" w:space="4" w:color="1F4E79"/>
        </w:pBdr>
      </w:pPr>
      <w:r>
        <w:rPr>
          <w:rFonts w:ascii="Arial" w:hAnsi="Arial" w:cs="Arial" w:eastAsia="Arial"/>
          <w:b/>
          <w:color w:val="1F4E79"/>
          <w:sz w:val="30"/>
        </w:rPr>
        <w:t>Port Operators — First-Party</w:t>
      </w:r>
    </w:p>
    <w:p>
      <w:pPr>
        <w:pStyle w:val="ListBullet"/>
        <w:spacing w:before="0" w:after="60" w:line="293" w:lineRule="auto"/>
        <w:ind w:left="351" w:hanging="193"/>
      </w:pPr>
      <w:r>
        <w:rPr>
          <w:rFonts w:ascii="Arial" w:hAnsi="Arial" w:cs="Arial" w:eastAsia="Arial"/>
          <w:color w:val="1B2733"/>
          <w:sz w:val="19"/>
        </w:rPr>
        <w:t>6. **Saigon Newport Corporation — Tan Cang–Cat Lai Terminal.** Port infrastructure, capacity, services and road connectivity to Long An and other Southern economic regions.</w:t>
      </w:r>
    </w:p>
    <w:p>
      <w:pPr>
        <w:spacing w:before="0" w:after="120" w:line="307" w:lineRule="auto"/>
      </w:pPr>
      <w:r>
        <w:rPr>
          <w:rFonts w:ascii="Arial" w:hAnsi="Arial" w:cs="Arial" w:eastAsia="Arial"/>
          <w:b w:val="0"/>
          <w:i w:val="0"/>
          <w:color w:val="1B2733"/>
          <w:sz w:val="19"/>
        </w:rPr>
        <w:t>https://saigonnewport.com.vn/en/port-company/tan-cang-cat-lai-terminal-tccl</w:t>
      </w:r>
    </w:p>
    <w:p>
      <w:pPr>
        <w:pStyle w:val="ListBullet"/>
        <w:spacing w:before="0" w:after="60" w:line="293" w:lineRule="auto"/>
        <w:ind w:left="351" w:hanging="193"/>
      </w:pPr>
      <w:r>
        <w:rPr>
          <w:rFonts w:ascii="Arial" w:hAnsi="Arial" w:cs="Arial" w:eastAsia="Arial"/>
          <w:color w:val="1B2733"/>
          <w:sz w:val="19"/>
        </w:rPr>
        <w:t>7. **Long An International Port — Facilities and Equipment.** Port infrastructure, logistics services and handling capabilities.</w:t>
      </w:r>
    </w:p>
    <w:p>
      <w:pPr>
        <w:spacing w:before="0" w:after="120" w:line="307" w:lineRule="auto"/>
      </w:pPr>
      <w:r>
        <w:rPr>
          <w:rFonts w:ascii="Arial" w:hAnsi="Arial" w:cs="Arial" w:eastAsia="Arial"/>
          <w:b w:val="0"/>
          <w:i w:val="0"/>
          <w:color w:val="1B2733"/>
          <w:sz w:val="19"/>
        </w:rPr>
        <w:t>https://longanport.com/port-overview/facilities-and-equipment/</w:t>
      </w:r>
    </w:p>
    <w:p>
      <w:pPr>
        <w:pStyle w:val="ListBullet"/>
        <w:spacing w:before="0" w:after="60" w:line="293" w:lineRule="auto"/>
        <w:ind w:left="351" w:hanging="193"/>
      </w:pPr>
      <w:r>
        <w:rPr>
          <w:rFonts w:ascii="Arial" w:hAnsi="Arial" w:cs="Arial" w:eastAsia="Arial"/>
          <w:color w:val="1B2733"/>
          <w:sz w:val="19"/>
        </w:rPr>
        <w:t>8. **Long An International Port — Port Layout and Location.** Current location and regional logistics connectivity.</w:t>
      </w:r>
    </w:p>
    <w:p>
      <w:pPr>
        <w:spacing w:before="0" w:after="120" w:line="307" w:lineRule="auto"/>
      </w:pPr>
      <w:r>
        <w:rPr>
          <w:rFonts w:ascii="Arial" w:hAnsi="Arial" w:cs="Arial" w:eastAsia="Arial"/>
          <w:b w:val="0"/>
          <w:i w:val="0"/>
          <w:color w:val="1B2733"/>
          <w:sz w:val="19"/>
        </w:rPr>
        <w:t>https://longanport.com/port-overview/port-layout-and-location/</w:t>
      </w:r>
    </w:p>
    <w:p>
      <w:pPr>
        <w:pStyle w:val="ListBullet"/>
        <w:spacing w:before="0" w:after="60" w:line="293" w:lineRule="auto"/>
        <w:ind w:left="351" w:hanging="193"/>
      </w:pPr>
      <w:r>
        <w:rPr>
          <w:rFonts w:ascii="Arial" w:hAnsi="Arial" w:cs="Arial" w:eastAsia="Arial"/>
          <w:color w:val="1B2733"/>
          <w:sz w:val="19"/>
        </w:rPr>
        <w:t>9. **Long An International Port — Stronger Logistics Connectivity from Border Gates to Seaports.** Integrated industrial–logistics–transport–seaport model and current regional connectivity.</w:t>
      </w:r>
    </w:p>
    <w:p>
      <w:pPr>
        <w:spacing w:before="0" w:after="120" w:line="307" w:lineRule="auto"/>
      </w:pPr>
      <w:r>
        <w:rPr>
          <w:rFonts w:ascii="Arial" w:hAnsi="Arial" w:cs="Arial" w:eastAsia="Arial"/>
          <w:b w:val="0"/>
          <w:i w:val="0"/>
          <w:color w:val="1B2733"/>
          <w:sz w:val="19"/>
        </w:rPr>
        <w:t>https://longanport.com/long-an-international-port-proposes-stronger-logistics-connectivity-from-border-gates-to-seaports/</w:t>
      </w:r>
    </w:p>
    <w:p>
      <w:pPr>
        <w:pStyle w:val="Heading1"/>
        <w:keepNext/>
        <w:spacing w:before="280" w:after="60" w:line="252" w:lineRule="auto"/>
        <w:pBdr>
          <w:bottom w:val="single" w:sz="12" w:space="4" w:color="1F4E79"/>
        </w:pBdr>
      </w:pPr>
      <w:r>
        <w:rPr>
          <w:rFonts w:ascii="Arial" w:hAnsi="Arial" w:cs="Arial" w:eastAsia="Arial"/>
          <w:b/>
          <w:color w:val="1F4E79"/>
          <w:sz w:val="30"/>
        </w:rPr>
        <w:t>Government of Vietnam</w:t>
      </w:r>
    </w:p>
    <w:p>
      <w:pPr>
        <w:pStyle w:val="ListBullet"/>
        <w:spacing w:before="0" w:after="60" w:line="293" w:lineRule="auto"/>
        <w:ind w:left="351" w:hanging="193"/>
      </w:pPr>
      <w:r>
        <w:rPr>
          <w:rFonts w:ascii="Arial" w:hAnsi="Arial" w:cs="Arial" w:eastAsia="Arial"/>
          <w:color w:val="1B2733"/>
          <w:sz w:val="19"/>
        </w:rPr>
        <w:t>10. **Government of Vietnam — Provincial Administrative Reorganization, 2025.** Official confirmation of the merger of Long An and Tây Ninh into the new Tây Ninh Province.</w:t>
      </w:r>
    </w:p>
    <w:p>
      <w:pPr>
        <w:spacing w:before="0" w:after="120" w:line="307" w:lineRule="auto"/>
      </w:pPr>
      <w:r>
        <w:rPr>
          <w:rFonts w:ascii="Arial" w:hAnsi="Arial" w:cs="Arial" w:eastAsia="Arial"/>
          <w:b w:val="0"/>
          <w:i w:val="0"/>
          <w:color w:val="1B2733"/>
          <w:sz w:val="19"/>
        </w:rPr>
        <w:t>https://xaydungchinhsach.chinhphu.vn/chi-tiet-34-don-vi-hanh-chinh-cap-tinh-tu-12-6-2025-119250612141845533.htm</w:t>
      </w:r>
    </w:p>
    <w:p>
      <w:pPr>
        <w:pStyle w:val="Heading1"/>
        <w:keepNext/>
        <w:spacing w:before="280" w:after="60" w:line="252" w:lineRule="auto"/>
        <w:pBdr>
          <w:bottom w:val="single" w:sz="12" w:space="4" w:color="1F4E79"/>
        </w:pBdr>
      </w:pPr>
      <w:r>
        <w:rPr>
          <w:rFonts w:ascii="Arial" w:hAnsi="Arial" w:cs="Arial" w:eastAsia="Arial"/>
          <w:b/>
          <w:color w:val="1F4E79"/>
          <w:sz w:val="30"/>
        </w:rPr>
        <w:t>Research Limitation</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**This assessment was conducted exclusively using publicly available official and first-party sources, in accordance with the client's source restriction. Independent commercial databases, media reporting, trade-data aggregators and third-party intelligence platforms were intentionally excluded from the evidentiary base.** **This methodological restriction limits independent verification of certain transaction-level elements, particularly individual shipments, transport providers, vessel movements and foreign consignee relationships. Where these elements could not be established from official sources, they have been explicitly identified as unverified rather than inferred as fact.** **The resulting reconstruction should therefore be understood as an infrastructure and supply-chain ecosystem assessment rather than a shipment-level investigation.**</w:t>
            </w:r>
          </w:p>
        </w:tc>
      </w:tr>
    </w:tbl>
    <w:p>
      <w:pPr>
        <w:spacing w:before="0" w:after="80" w:line="307" w:lineRule="auto"/>
      </w:pPr>
      <w:r>
        <w:rPr>
          <w:rFonts w:ascii="Arial" w:hAnsi="Arial" w:cs="Arial" w:eastAsia="Arial"/>
          <w:b w:val="0"/>
          <w:i w:val="0"/>
          <w:color w:val="1B2733"/>
          <w:sz w:val="19"/>
        </w:rPr>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AMANA — Vietnam Industrial Supply-Chain Ecosystem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