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spacing w:before="0" w:after="280" w:line="264" w:lineRule="auto"/>
      </w:pPr>
      <w:r>
        <w:rPr>
          <w:rFonts w:ascii="Arial" w:hAnsi="Arial" w:eastAsia="Arial"/>
          <w:b/>
          <w:i w:val="0"/>
          <w:color w:val="1F4E79"/>
          <w:sz w:val="18"/>
        </w:rPr>
        <w:t>GEOINT / OSINT INTEGRATED ANALYSIS</w:t>
      </w:r>
    </w:p>
    <w:p>
      <w:pPr>
        <w:spacing w:before="0" w:after="80" w:line="245" w:lineRule="auto"/>
      </w:pPr>
      <w:r>
        <w:rPr>
          <w:rFonts w:ascii="Arial" w:hAnsi="Arial" w:eastAsia="Arial"/>
          <w:b/>
          <w:i w:val="0"/>
          <w:color w:val="1B2733"/>
          <w:sz w:val="54"/>
        </w:rPr>
        <w:t>Integrated Assessment of Industrial Facilities</w:t>
      </w:r>
    </w:p>
    <w:p>
      <w:pPr>
        <w:spacing w:before="0" w:after="160" w:line="254" w:lineRule="auto"/>
      </w:pPr>
      <w:r>
        <w:rPr>
          <w:rFonts w:ascii="Arial" w:hAnsi="Arial" w:eastAsia="Arial"/>
          <w:b w:val="0"/>
          <w:i w:val="0"/>
          <w:color w:val="1F4E79"/>
          <w:sz w:val="34"/>
        </w:rPr>
        <w:t>Radio Plant and JSC NPP Rubin</w:t>
      </w:r>
    </w:p>
    <w:p>
      <w:pPr>
        <w:spacing w:before="0" w:after="320" w:line="264" w:lineRule="auto"/>
      </w:pPr>
      <w:r>
        <w:rPr>
          <w:rFonts w:ascii="Arial" w:hAnsi="Arial" w:eastAsia="Arial"/>
          <w:b w:val="0"/>
          <w:i w:val="0"/>
          <w:color w:val="555F6B"/>
          <w:sz w:val="22"/>
        </w:rPr>
        <w:t>Penza, Russian Federation</w:t>
      </w:r>
    </w:p>
    <w:p>
      <w:pPr>
        <w:spacing w:before="0" w:after="20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49"/>
        <w:gridCol w:w="4649"/>
      </w:tblGrid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4E79"/>
                <w:sz w:val="17"/>
              </w:rPr>
              <w:t>Project Title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/>
                <w:color w:val="1B2733"/>
                <w:sz w:val="18"/>
              </w:rPr>
              <w:t>Integrated Assessment of Industrial Facility: Ownership, Operational Profile, and Defense Relevance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4E79"/>
                <w:sz w:val="17"/>
              </w:rPr>
              <w:t>Location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/>
                <w:color w:val="1B2733"/>
                <w:sz w:val="18"/>
              </w:rPr>
              <w:t>Radio Plant – 53.2269, 45.0063  ·  NPP Rubin – Baudukova St., 2, Penza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4E79"/>
                <w:sz w:val="17"/>
              </w:rPr>
              <w:t>Assessment Type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/>
                <w:color w:val="1B2733"/>
                <w:sz w:val="18"/>
              </w:rPr>
              <w:t>GEOINT / OSINT Integrated Analysis</w:t>
            </w:r>
          </w:p>
        </w:tc>
      </w:tr>
      <w:tr>
        <w:tc>
          <w:tcPr>
            <w:tcW w:type="dxa" w:w="2232"/>
            <w:shd w:val="clear" w:color="auto" w:fill="EEF3F8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4E79"/>
                <w:sz w:val="17"/>
              </w:rPr>
              <w:t>Sources</w:t>
            </w:r>
          </w:p>
        </w:tc>
        <w:tc>
          <w:tcPr>
            <w:tcW w:type="dxa" w:w="7066"/>
          </w:tcPr>
          <w:p>
            <w:pPr>
              <w:spacing w:before="60" w:after="60" w:line="288" w:lineRule="auto"/>
            </w:pPr>
            <w:r>
              <w:rPr>
                <w:rFonts w:ascii="Arial" w:hAnsi="Arial"/>
                <w:color w:val="1B2733"/>
                <w:sz w:val="18"/>
              </w:rPr>
              <w:t>Commercial satellite imagery (Google Earth), corporate registries, government procurement data, sanctions databases, open media reporting.</w:t>
            </w:r>
          </w:p>
        </w:tc>
      </w:tr>
    </w:tbl>
    <w:p>
      <w:pPr>
        <w:spacing w:before="0" w:after="36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spacing w:before="0" w:after="0" w:line="312" w:lineRule="auto"/>
      </w:pPr>
      <w:r>
        <w:rPr>
          <w:rFonts w:ascii="Arial" w:hAnsi="Arial" w:eastAsia="Arial"/>
          <w:b w:val="0"/>
          <w:i/>
          <w:color w:val="555F6B"/>
          <w:sz w:val="17"/>
        </w:rPr>
        <w:t>This assessment draws on the source material identified above. No external research, verification, or supplementation of the source case has been performed in preparing this report; all findings, confidence levels, and limitations are those stated in the source.</w:t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Executive Summary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Two adjacent industrial facilities located on Baudukova Street in Penza were assessed using integrated GEOINT and OSINT methods: the Penza Radio Plant and JSC NPP Rubin.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The analysis indicates that the Radio Plant functions as a large-scale electronics manufacturing facility operating under state control within the Rostec structure and supplying military command, control, and communication systems.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The adjacent NPP Rubin site demonstrates characteristics consistent with integration, storage, and staging of mobile military systems.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Key Indicators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State ownership within Rostec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Declared defense-oriented production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Confirmed government and defense procurement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Inclusion in multiple international sanctions regimes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Persistent presence of military vehicles at the Rubin site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Large workforce and active logistics operations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Open-source reporting of a UAV strike targeting the Radio Plant in July 2025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1. Per-facility assessment with stated confidence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49"/>
        <w:gridCol w:w="4649"/>
      </w:tblGrid>
      <w:tr>
        <w:trPr>
          <w:tblHeader w:val="true"/>
        </w:trPr>
        <w:tc>
          <w:tcPr>
            <w:tcW w:type="dxa" w:w="2975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Assessed facility</w:t>
            </w:r>
          </w:p>
        </w:tc>
        <w:tc>
          <w:tcPr>
            <w:tcW w:type="dxa" w:w="6323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97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Radio Plant</w:t>
            </w:r>
          </w:p>
        </w:tc>
        <w:tc>
          <w:tcPr>
            <w:tcW w:type="dxa" w:w="632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High confidence – military-oriented production facility</w:t>
            </w:r>
          </w:p>
        </w:tc>
      </w:tr>
      <w:tr>
        <w:tc>
          <w:tcPr>
            <w:tcW w:type="dxa" w:w="2975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NPP Rubin</w:t>
            </w:r>
          </w:p>
        </w:tc>
        <w:tc>
          <w:tcPr>
            <w:tcW w:type="dxa" w:w="632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High confidence – military integration and support facility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r>
        <w:br w:type="page"/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1. Area Overview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The assessed facilities are located within an established industrial zone in northern Penza.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The Radio Plant and NPP Rubin occupy separate secured compounds positioned directly opposite each other along Baudukova Street, with an approximate separation distance of ~20 meters between perimeter boundaries.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Both sites are enclosed by perimeter fencing (~5 m height) with controlled access points and surveillance systems.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Their physical proximity, shared logistics characteristics, and complementary functional profiles suggest operational linkage.</w:t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Radio Plant and NPP Rubin compounds, Penza — annotated overhead imagery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86145" cy="4154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oun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6145" cy="415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Both assessed compounds positioned directly opposite each other along Baudukova Street, consistent with the ~20 m perimeter separation stated in the source.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External Infrastructure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2. External infrastructure relative to the assessed compounds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49"/>
        <w:gridCol w:w="4649"/>
      </w:tblGrid>
      <w:tr>
        <w:trPr>
          <w:tblHeader w:val="true"/>
        </w:trPr>
        <w:tc>
          <w:tcPr>
            <w:tcW w:type="dxa" w:w="3905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393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Stated distance / note</w:t>
            </w:r>
          </w:p>
        </w:tc>
      </w:tr>
      <w:tr>
        <w:tc>
          <w:tcPr>
            <w:tcW w:type="dxa" w:w="390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Rail logistics hub</w:t>
            </w:r>
          </w:p>
        </w:tc>
        <w:tc>
          <w:tcPr>
            <w:tcW w:type="dxa" w:w="539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~2 km north</w:t>
            </w:r>
          </w:p>
        </w:tc>
      </w:tr>
      <w:tr>
        <w:tc>
          <w:tcPr>
            <w:tcW w:type="dxa" w:w="3905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Large electrical substation</w:t>
            </w:r>
          </w:p>
        </w:tc>
        <w:tc>
          <w:tcPr>
            <w:tcW w:type="dxa" w:w="539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 km distance (visual confirmation limited)</w:t>
            </w:r>
          </w:p>
        </w:tc>
      </w:tr>
      <w:tr>
        <w:tc>
          <w:tcPr>
            <w:tcW w:type="dxa" w:w="390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City CHP plant</w:t>
            </w:r>
          </w:p>
        </w:tc>
        <w:tc>
          <w:tcPr>
            <w:tcW w:type="dxa" w:w="539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~3–4 km distance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Direct road access connects the facilities to the regional transport network and the rail hub.</w:t>
      </w:r>
    </w:p>
    <w:p>
      <w:r>
        <w:br w:type="page"/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2. Radio Plant — Physical Infrastructure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pPr>
              <w:spacing w:before="20" w:after="0" w:line="288" w:lineRule="auto"/>
            </w:pPr>
            <w:r/>
            <w:r>
              <w:rPr>
                <w:rFonts w:ascii="Arial" w:hAnsi="Arial"/>
                <w:b w:val="0"/>
                <w:color w:val="1B2733"/>
                <w:sz w:val="19"/>
              </w:rPr>
              <w:t>Total site area: approximately 170,000 m².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Penza Radio Plant — overhead imagery, 53.2269, 45.0063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95722" cy="4733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adi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5722" cy="473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Site footprint of approximately 170,000 m². Labelled structures in the source imagery: main office building, manufacturing 1–3, logistics hub, secondary office building, warehouse 1.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3. Radio Plant structural inventory (consolidated from sections 2.1–2.5)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2046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837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 (m²)</w:t>
            </w:r>
          </w:p>
        </w:tc>
        <w:tc>
          <w:tcPr>
            <w:tcW w:type="dxa" w:w="1023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Floors</w:t>
            </w:r>
          </w:p>
        </w:tc>
        <w:tc>
          <w:tcPr>
            <w:tcW w:type="dxa" w:w="651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Height</w:t>
            </w:r>
          </w:p>
        </w:tc>
        <w:tc>
          <w:tcPr>
            <w:tcW w:type="dxa" w:w="4742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Observed characteristics</w:t>
            </w:r>
          </w:p>
        </w:tc>
      </w:tr>
      <w:tr>
        <w:tc>
          <w:tcPr>
            <w:tcW w:type="dxa" w:w="2046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Main office</w:t>
            </w:r>
          </w:p>
        </w:tc>
        <w:tc>
          <w:tcPr>
            <w:tcW w:type="dxa" w:w="837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~6,700</w:t>
            </w:r>
          </w:p>
        </w:tc>
        <w:tc>
          <w:tcPr>
            <w:tcW w:type="dxa" w:w="102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3</w:t>
            </w:r>
          </w:p>
        </w:tc>
        <w:tc>
          <w:tcPr>
            <w:tcW w:type="dxa" w:w="65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~15 m</w:t>
            </w:r>
          </w:p>
        </w:tc>
        <w:tc>
          <w:tcPr>
            <w:tcW w:type="dxa" w:w="474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</w:tr>
      <w:tr>
        <w:tc>
          <w:tcPr>
            <w:tcW w:type="dxa" w:w="204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Secondary office</w:t>
            </w:r>
          </w:p>
        </w:tc>
        <w:tc>
          <w:tcPr>
            <w:tcW w:type="dxa" w:w="837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~1,700</w:t>
            </w:r>
          </w:p>
        </w:tc>
        <w:tc>
          <w:tcPr>
            <w:tcW w:type="dxa" w:w="102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2 (estimated)</w:t>
            </w:r>
          </w:p>
        </w:tc>
        <w:tc>
          <w:tcPr>
            <w:tcW w:type="dxa" w:w="65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Low confidence</w:t>
            </w:r>
          </w:p>
        </w:tc>
      </w:tr>
      <w:tr>
        <w:tc>
          <w:tcPr>
            <w:tcW w:type="dxa" w:w="2046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Manufacturing Building 1</w:t>
            </w:r>
          </w:p>
        </w:tc>
        <w:tc>
          <w:tcPr>
            <w:tcW w:type="dxa" w:w="837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~12,000</w:t>
            </w:r>
          </w:p>
        </w:tc>
        <w:tc>
          <w:tcPr>
            <w:tcW w:type="dxa" w:w="102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Connected to Building 2 via overhead pipeline; no visible heavy-industry indicators</w:t>
            </w:r>
          </w:p>
        </w:tc>
      </w:tr>
      <w:tr>
        <w:tc>
          <w:tcPr>
            <w:tcW w:type="dxa" w:w="204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Manufacturing Building 2</w:t>
            </w:r>
          </w:p>
        </w:tc>
        <w:tc>
          <w:tcPr>
            <w:tcW w:type="dxa" w:w="837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~12,000</w:t>
            </w:r>
          </w:p>
        </w:tc>
        <w:tc>
          <w:tcPr>
            <w:tcW w:type="dxa" w:w="102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Complex roof geometry; multiple ventilation units; roof contamination patterns consistent with active use</w:t>
            </w:r>
          </w:p>
        </w:tc>
      </w:tr>
      <w:tr>
        <w:tc>
          <w:tcPr>
            <w:tcW w:type="dxa" w:w="2046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Manufacturing Building 3</w:t>
            </w:r>
          </w:p>
        </w:tc>
        <w:tc>
          <w:tcPr>
            <w:tcW w:type="dxa" w:w="837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~4,000</w:t>
            </w:r>
          </w:p>
        </w:tc>
        <w:tc>
          <w:tcPr>
            <w:tcW w:type="dxa" w:w="102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~15 m</w:t>
            </w:r>
          </w:p>
        </w:tc>
        <w:tc>
          <w:tcPr>
            <w:tcW w:type="dxa" w:w="474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Extensive glazing; approximately 20 rooftop ventilation units (~1 m diameter)</w:t>
            </w:r>
          </w:p>
        </w:tc>
      </w:tr>
      <w:tr>
        <w:tc>
          <w:tcPr>
            <w:tcW w:type="dxa" w:w="204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Primary warehouse</w:t>
            </w:r>
          </w:p>
        </w:tc>
        <w:tc>
          <w:tcPr>
            <w:tcW w:type="dxa" w:w="837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~12,000</w:t>
            </w:r>
          </w:p>
        </w:tc>
        <w:tc>
          <w:tcPr>
            <w:tcW w:type="dxa" w:w="102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</w:tr>
      <w:tr>
        <w:tc>
          <w:tcPr>
            <w:tcW w:type="dxa" w:w="2046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Logistics area</w:t>
            </w:r>
          </w:p>
        </w:tc>
        <w:tc>
          <w:tcPr>
            <w:tcW w:type="dxa" w:w="837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~8,000</w:t>
            </w:r>
          </w:p>
        </w:tc>
        <w:tc>
          <w:tcPr>
            <w:tcW w:type="dxa" w:w="102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</w:tr>
      <w:tr>
        <w:tc>
          <w:tcPr>
            <w:tcW w:type="dxa" w:w="204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On-site electrical substation</w:t>
            </w:r>
          </w:p>
        </w:tc>
        <w:tc>
          <w:tcPr>
            <w:tcW w:type="dxa" w:w="837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~750</w:t>
            </w:r>
          </w:p>
        </w:tc>
        <w:tc>
          <w:tcPr>
            <w:tcW w:type="dxa" w:w="102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2.1  Administrative Buildings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Observed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Main office: ~6,700 m², three floors, ~15 m height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Secondary office: ~1,700 m², estimated two floors (low confidence)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The administrative scale is consistent with a large industrial workforce.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2.2  Manufacturing Facilities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Manufacturing Building 1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Area: ~12,000 m²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Connected to Building 2 via overhead pipeline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No visible heavy-industry indicators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Manufacturing Building 2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Area: ~12,000 m²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Complex roof geometry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Multiple ventilation units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Roof contamination patterns consistent with active use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Open-source information indicates assembly-related operations.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Manufacturing Building 3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Area: ~4,000 m²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Height: ~15 m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Extensive glazing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Approximately 20 rooftop ventilation units (~1 m diameter)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The structural characteristics and ventilation density are consistent with controlled-environment electronics or precision assembly operations.</w:t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Radio Plant building footprint by structure, as stated in the source.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45187" cy="3048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dio_stru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5187" cy="304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All values are the source's approximate areas; no value has been estimated or derived.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2.3  Workforce Indicators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Observed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Approximately 370 passenger vehicles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Full parking occupancy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No employee buses or organized transport observed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The observed parking capacity suggests a workforce likely exceeding 1,000 personnel (analytical estimate).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Two controlled entry points are located on the north and east sides.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2.4  Storage and Logistics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Primary warehouse: ~12,000 m²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Logistics area: ~8,000 m²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Approximately 27 heavy cargo vehicles observed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Vehicles change position across imagery dates, indicating active logistics turnover.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Vehicle type and configuration are consistent with industrial or military logistics (medium confidence).</w:t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Observed vehicle and equipment counts at both compounds.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27103" cy="2656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ehicl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103" cy="2656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The Rubin military-vehicle figure is shown as the source's stated 10–20 range; the Radio Plant figures are single observed counts.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2.5  Power Infrastructure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On-site electrical substation (~750 m²)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External grid infrastructure within 1 km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City CHP plant located within 3–4 km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Power infrastructure supports continuous medium-to-high intensity industrial operations.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2.6  Security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Observed or confirmed via open imagery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Perimeter fencing (~5 m)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Dual-layer barbed wire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Two controlled access points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Checkpoint structures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Extensive external CCTV coverage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Security level is consistent with controlled-access industrial or defense-related facilities.</w:t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3. NPP Rubin — Physical Infrastructure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pPr>
              <w:spacing w:before="20" w:after="0" w:line="288" w:lineRule="auto"/>
            </w:pPr>
            <w:r/>
            <w:r>
              <w:rPr>
                <w:rFonts w:ascii="Arial" w:hAnsi="Arial"/>
                <w:b w:val="0"/>
                <w:color w:val="1B2733"/>
                <w:sz w:val="19"/>
              </w:rPr>
              <w:t>Total site area: approximately 23,000 m².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3.1  Administrative Building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Area: ~5,500 m²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Five floors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Height: ~18 m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3.2  Storage and Technical Structures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Five warehouse-type buildings (330–620 m² each) with large vehicle-access doors.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One structure includes: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Additional upper floors (likely administrative or technical use)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Rooftop ventilation units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3.3  Military Equipment Presence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Observed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Approximately 10–20 military vehicles per imagery date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Presence documented across multiple years (since at least 2017)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Equipment types (medium confidence):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Military logistics trucks (KamAZ-type)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Armored wheeled vehicles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Tracked platforms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Possible specialized command or electronic systems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Vehicles are positioned near warehouse and garage structures and arranged in organized patterns.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Persistent presence and infrastructure compatibility indicate long-term operational use rather than temporary storage.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3.4  Access and Security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Main controlled entry near administrative building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Additional vehicle gates at warehouse structures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Perimeter fencing (~5 m) with barbed wire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External imagery indicates strict access control and surveillance</w:t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JSC NPP Rubin, Baudukova St., 2, Penza — overhead imagery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7326" cy="48864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ubi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7326" cy="488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Site footprint of approximately 23,000 m², opposite the Radio Plant across Baudukova Street. Labelled structures in the source imagery: office building Rubin, logistics hub 2, warehouses 2–5.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4. NPP Rubin structural inventory (consolidated from sections 3.1–3.2)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2046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837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 (m²)</w:t>
            </w:r>
          </w:p>
        </w:tc>
        <w:tc>
          <w:tcPr>
            <w:tcW w:type="dxa" w:w="1023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Floors</w:t>
            </w:r>
          </w:p>
        </w:tc>
        <w:tc>
          <w:tcPr>
            <w:tcW w:type="dxa" w:w="651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Height</w:t>
            </w:r>
          </w:p>
        </w:tc>
        <w:tc>
          <w:tcPr>
            <w:tcW w:type="dxa" w:w="4742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Observed characteristics</w:t>
            </w:r>
          </w:p>
        </w:tc>
      </w:tr>
      <w:tr>
        <w:tc>
          <w:tcPr>
            <w:tcW w:type="dxa" w:w="2046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Administrative building</w:t>
            </w:r>
          </w:p>
        </w:tc>
        <w:tc>
          <w:tcPr>
            <w:tcW w:type="dxa" w:w="837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~5,500</w:t>
            </w:r>
          </w:p>
        </w:tc>
        <w:tc>
          <w:tcPr>
            <w:tcW w:type="dxa" w:w="102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5</w:t>
            </w:r>
          </w:p>
        </w:tc>
        <w:tc>
          <w:tcPr>
            <w:tcW w:type="dxa" w:w="65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~18 m</w:t>
            </w:r>
          </w:p>
        </w:tc>
        <w:tc>
          <w:tcPr>
            <w:tcW w:type="dxa" w:w="474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</w:tr>
      <w:tr>
        <w:tc>
          <w:tcPr>
            <w:tcW w:type="dxa" w:w="2046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Warehouse-type buildings ×5</w:t>
            </w:r>
          </w:p>
        </w:tc>
        <w:tc>
          <w:tcPr>
            <w:tcW w:type="dxa" w:w="837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330–620 each</w:t>
            </w:r>
          </w:p>
        </w:tc>
        <w:tc>
          <w:tcPr>
            <w:tcW w:type="dxa" w:w="102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65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—</w:t>
            </w:r>
          </w:p>
        </w:tc>
        <w:tc>
          <w:tcPr>
            <w:tcW w:type="dxa" w:w="474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Large vehicle-access doors; one structure includes additional upper floors (likely administrative or technical use) and rooftop ventilation units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r>
        <w:br w:type="page"/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4. Logistics and External Connectivity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Observed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Direct road connectivity between the two facilities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Similar dark-green military-type trucks present at both sites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Rail logistics hub located ~2 km north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Direct road access from both facilities to the rail terminal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Infrastructure configuration is consistent with staging and shipment of heavy or specialized equipment.</w:t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5. Ownership and Control (OSINT)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Radio Plant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State-controlled entity within Rostec (Ruselectronics)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Activity classification includes weapons and military equipment production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Government contracts with defense-related organizations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Sanctioned by multiple jurisdictions (US, EU, Canada, Japan, Switzerland, New Zealand, Ukraine)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Declared production includes: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Fire control systems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Military communication equipment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Command and control electronics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Navigation and stabilization systems</w:t>
      </w:r>
    </w:p>
    <w:p>
      <w:pPr>
        <w:pStyle w:val="Heading2"/>
        <w:keepNext/>
        <w:spacing w:before="220" w:after="60" w:line="252" w:lineRule="auto"/>
      </w:pPr>
      <w:r>
        <w:rPr>
          <w:rFonts w:ascii="Arial" w:hAnsi="Arial" w:eastAsia="Arial"/>
          <w:b/>
          <w:color w:val="1B2733"/>
          <w:sz w:val="22"/>
        </w:rPr>
        <w:t>NPP Rubin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Joint-stock company within Rostec structure (Concern Vega)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Specializes in mobile command systems, secure communications, and automated control systems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Confirmed Ministry of Defense contracts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Included in multiple sanctions lists</w:t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Ownership, control and functional relationship of the two assessed entities.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45187" cy="32879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ownershi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187" cy="328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Relationships shown are those stated in section 5 and section 7 of the source; the physical link is the ~20 m perimeter separation stated in section 1.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5. Ownership, contracting and sanctions comparison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60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719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Radio Plant</w:t>
            </w:r>
          </w:p>
        </w:tc>
        <w:tc>
          <w:tcPr>
            <w:tcW w:type="dxa" w:w="3719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NPP Rubin</w:t>
            </w:r>
          </w:p>
        </w:tc>
      </w:tr>
      <w:tr>
        <w:tc>
          <w:tcPr>
            <w:tcW w:type="dxa" w:w="1860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Ownership / control</w:t>
            </w:r>
          </w:p>
        </w:tc>
        <w:tc>
          <w:tcPr>
            <w:tcW w:type="dxa" w:w="3719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State-controlled entity within Rostec (Ruselectronics)</w:t>
            </w:r>
          </w:p>
        </w:tc>
        <w:tc>
          <w:tcPr>
            <w:tcW w:type="dxa" w:w="3719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Joint-stock company within Rostec structure (Concern Vega)</w:t>
            </w:r>
          </w:p>
        </w:tc>
      </w:tr>
      <w:tr>
        <w:tc>
          <w:tcPr>
            <w:tcW w:type="dxa" w:w="1860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Activity classification</w:t>
            </w:r>
          </w:p>
        </w:tc>
        <w:tc>
          <w:tcPr>
            <w:tcW w:type="dxa" w:w="3719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Activity classification includes weapons and military equipment production</w:t>
            </w:r>
          </w:p>
        </w:tc>
        <w:tc>
          <w:tcPr>
            <w:tcW w:type="dxa" w:w="3719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Specializes in mobile command systems, secure communications, and automated control systems</w:t>
            </w:r>
          </w:p>
        </w:tc>
      </w:tr>
      <w:tr>
        <w:tc>
          <w:tcPr>
            <w:tcW w:type="dxa" w:w="1860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Government contracts</w:t>
            </w:r>
          </w:p>
        </w:tc>
        <w:tc>
          <w:tcPr>
            <w:tcW w:type="dxa" w:w="3719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Government contracts with defense-related organizations</w:t>
            </w:r>
          </w:p>
        </w:tc>
        <w:tc>
          <w:tcPr>
            <w:tcW w:type="dxa" w:w="3719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Confirmed Ministry of Defense contracts</w:t>
            </w:r>
          </w:p>
        </w:tc>
      </w:tr>
      <w:tr>
        <w:tc>
          <w:tcPr>
            <w:tcW w:type="dxa" w:w="1860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Sanctions status</w:t>
            </w:r>
          </w:p>
        </w:tc>
        <w:tc>
          <w:tcPr>
            <w:tcW w:type="dxa" w:w="3719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Sanctioned by multiple jurisdictions (US, EU, Canada, Japan, Switzerland, New Zealand, Ukraine)</w:t>
            </w:r>
          </w:p>
        </w:tc>
        <w:tc>
          <w:tcPr>
            <w:tcW w:type="dxa" w:w="3719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Included in multiple sanctions lists</w:t>
            </w:r>
          </w:p>
        </w:tc>
      </w:tr>
      <w:tr>
        <w:tc>
          <w:tcPr>
            <w:tcW w:type="dxa" w:w="1860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Site area</w:t>
            </w:r>
          </w:p>
        </w:tc>
        <w:tc>
          <w:tcPr>
            <w:tcW w:type="dxa" w:w="3719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Approximately 170,000 m²</w:t>
            </w:r>
          </w:p>
        </w:tc>
        <w:tc>
          <w:tcPr>
            <w:tcW w:type="dxa" w:w="3719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Approximately 23,000 m²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r>
        <w:br w:type="page"/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6. Activity and Targeting Indicators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Operational indicators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Large workforce presence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Active heavy-vehicle logistics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Persistent military equipment at Rubin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Targeting indicator: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Open-source reporting indicates that the Radio Plant was struck by UAVs on 31 July 2025, with multiple impact events reported.</w:t>
      </w:r>
    </w:p>
    <w:p>
      <w:pPr>
        <w:spacing w:before="60" w:after="20" w:line="264" w:lineRule="auto"/>
      </w:pPr>
      <w:r>
        <w:rPr>
          <w:rFonts w:ascii="Arial" w:hAnsi="Arial" w:eastAsia="Arial"/>
          <w:b/>
          <w:i/>
          <w:color w:val="1F4E79"/>
          <w:sz w:val="16"/>
        </w:rPr>
        <w:t>Assessment</w:t>
      </w:r>
    </w:p>
    <w:p>
      <w:pPr>
        <w:keepNext/>
        <w:spacing w:before="0" w:after="120" w:line="307" w:lineRule="auto"/>
      </w:pPr>
      <w:r>
        <w:rPr>
          <w:rFonts w:ascii="Arial" w:hAnsi="Arial" w:eastAsia="Arial"/>
          <w:b w:val="0"/>
          <w:i/>
          <w:color w:val="1B2733"/>
          <w:sz w:val="19"/>
        </w:rPr>
        <w:t>While based on open-source reporting and not confirmed by post-strike imagery, the targeting is consistent with facilities assessed as military-industrial assets.</w:t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Chronology of dated events stated in the source.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8060" cy="2397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060" cy="239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Only dates explicitly given in the source are plotted; the source provides no other date anchors.</w:t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7. Functional Integration Assessment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Observed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Physical proximity (~20 m separation)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Shared logistics characteristics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Similar military-type transport vehicles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Complementary production and integration profiles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Assessment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Most likely functions as a primary manufacturing site for electronic subsystems.</w:t>
      </w:r>
    </w:p>
    <w:p>
      <w:pPr>
        <w:spacing w:before="0" w:after="12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  <w:t>Most likely functions as a facility for: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Integration of mobile military systems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Storage and staging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Preparation for shipment via rail</w:t>
      </w:r>
    </w:p>
    <w:p>
      <w:r>
        <w:br w:type="page"/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8. Risk Assessment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6. Risk assessment by category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49"/>
        <w:gridCol w:w="4649"/>
      </w:tblGrid>
      <w:tr>
        <w:trPr>
          <w:tblHeader w:val="true"/>
        </w:trPr>
        <w:tc>
          <w:tcPr>
            <w:tcW w:type="dxa" w:w="5765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533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576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Defense involvement</w:t>
            </w:r>
          </w:p>
        </w:tc>
        <w:tc>
          <w:tcPr>
            <w:tcW w:type="dxa" w:w="353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High</w:t>
            </w:r>
          </w:p>
        </w:tc>
      </w:tr>
      <w:tr>
        <w:tc>
          <w:tcPr>
            <w:tcW w:type="dxa" w:w="5765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Civilian production indicators</w:t>
            </w:r>
          </w:p>
        </w:tc>
        <w:tc>
          <w:tcPr>
            <w:tcW w:type="dxa" w:w="353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Limited</w:t>
            </w:r>
          </w:p>
        </w:tc>
      </w:tr>
      <w:tr>
        <w:tc>
          <w:tcPr>
            <w:tcW w:type="dxa" w:w="576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Military specialization</w:t>
            </w:r>
          </w:p>
        </w:tc>
        <w:tc>
          <w:tcPr>
            <w:tcW w:type="dxa" w:w="353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High</w:t>
            </w:r>
          </w:p>
        </w:tc>
      </w:tr>
      <w:tr>
        <w:tc>
          <w:tcPr>
            <w:tcW w:type="dxa" w:w="5765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Sanctions exposure</w:t>
            </w:r>
          </w:p>
        </w:tc>
        <w:tc>
          <w:tcPr>
            <w:tcW w:type="dxa" w:w="3533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High</w:t>
            </w:r>
          </w:p>
        </w:tc>
      </w:tr>
      <w:tr>
        <w:tc>
          <w:tcPr>
            <w:tcW w:type="dxa" w:w="576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Supply chain / compliance risk</w:t>
            </w:r>
          </w:p>
        </w:tc>
        <w:tc>
          <w:tcPr>
            <w:tcW w:type="dxa" w:w="3533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Critical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keepNext/>
        <w:spacing w:before="160" w:after="6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Risk profile by category.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7637" cy="20008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isk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637" cy="200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/>
          <w:color w:val="555F6B"/>
          <w:sz w:val="15"/>
        </w:rPr>
        <w:t>Bar length is proportional to the ordinal rating stated in the source (Limited / High / Critical); it carries no additional quantitative meaning.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r/>
            <w:r>
              <w:rPr>
                <w:rFonts w:ascii="Arial" w:hAnsi="Arial"/>
                <w:b/>
                <w:caps/>
                <w:color w:val="1F4E79"/>
                <w:sz w:val="15"/>
              </w:rPr>
              <w:t>Overall Operational Risk Level</w:t>
            </w:r>
          </w:p>
          <w:p>
            <w:pPr>
              <w:spacing w:before="20" w:after="0" w:line="288" w:lineRule="auto"/>
            </w:pPr>
            <w:r>
              <w:rPr>
                <w:rFonts w:ascii="Arial" w:hAnsi="Arial"/>
                <w:b/>
                <w:color w:val="1B2733"/>
                <w:sz w:val="19"/>
              </w:rPr>
              <w:t>Overall Operational Risk Level: High – Military-Oriented Industrial Facilities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r>
        <w:br w:type="page"/>
      </w:r>
    </w:p>
    <w:p>
      <w:pPr>
        <w:pStyle w:val="Heading1"/>
        <w:keepNext/>
        <w:spacing w:before="280" w:after="40" w:line="252" w:lineRule="auto"/>
        <w:pBdr>
          <w:bottom w:val="single" w:sz="12" w:space="4" w:color="1F4E79"/>
        </w:pBdr>
      </w:pPr>
      <w:r>
        <w:rPr>
          <w:rFonts w:ascii="Arial" w:hAnsi="Arial" w:eastAsia="Arial"/>
          <w:b/>
          <w:color w:val="1F4E79"/>
          <w:sz w:val="30"/>
        </w:rPr>
        <w:t>9. Confidence Assessment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1F4E79"/>
          <w:insideV w:val="single" w:sz="4" w:color="1F4E79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pPr>
              <w:spacing w:before="20" w:after="0" w:line="288" w:lineRule="auto"/>
            </w:pPr>
            <w:r/>
            <w:r>
              <w:rPr>
                <w:rFonts w:ascii="Arial" w:hAnsi="Arial"/>
                <w:b w:val="0"/>
                <w:color w:val="1B2733"/>
                <w:sz w:val="19"/>
              </w:rPr>
              <w:t>Overall Confidence: High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Supporting factors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Strong GEOINT–OSINT consistency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State ownership within Rostec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Confirmed defense procurement and product profiles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Persistent military equipment presence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Large workforce and active logistics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Inclusion in multiple sanctions regimes</w:t>
      </w:r>
    </w:p>
    <w:p>
      <w:pPr>
        <w:pStyle w:val="Heading3"/>
        <w:keepNext/>
        <w:spacing w:before="160" w:after="40" w:line="252" w:lineRule="auto"/>
      </w:pPr>
      <w:r>
        <w:rPr>
          <w:rFonts w:ascii="Arial" w:hAnsi="Arial" w:eastAsia="Arial"/>
          <w:b/>
          <w:color w:val="1F4E79"/>
          <w:sz w:val="19"/>
        </w:rPr>
        <w:t>Limitations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Medium confidence in detailed equipment identification from satellite imagery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Limited post-strike satellite coverage</w:t>
      </w:r>
    </w:p>
    <w:p>
      <w:pPr>
        <w:pStyle w:val="ListBullet"/>
        <w:spacing w:before="0" w:after="60" w:line="293" w:lineRule="auto"/>
        <w:ind w:left="351" w:hanging="193"/>
      </w:pPr>
      <w:r>
        <w:rPr>
          <w:rFonts w:ascii="Arial" w:hAnsi="Arial" w:eastAsia="Arial"/>
          <w:color w:val="1B2733"/>
          <w:sz w:val="19"/>
        </w:rPr>
        <w:t>Some infrastructure interpretations based on indirect indicators</w:t>
      </w:r>
    </w:p>
    <w:p>
      <w:pPr>
        <w:keepNext/>
        <w:spacing w:before="160" w:after="80" w:line="264" w:lineRule="auto"/>
      </w:pPr>
      <w:r>
        <w:rPr>
          <w:rFonts w:ascii="Arial" w:hAnsi="Arial" w:eastAsia="Arial"/>
          <w:b/>
          <w:i w:val="0"/>
          <w:color w:val="1F4E79"/>
          <w:sz w:val="15"/>
        </w:rPr>
        <w:t>Table 7. Stated confidence qualifiers and limitations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7CDD4"/>
          <w:left w:val="single" w:sz="4" w:color="C7CDD4"/>
          <w:bottom w:val="single" w:sz="4" w:color="C7CDD4"/>
          <w:right w:val="single" w:sz="4" w:color="C7CDD4"/>
          <w:insideH w:val="single" w:sz="4" w:color="C7CDD4"/>
          <w:insideV w:val="single" w:sz="4" w:color="C7CDD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161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Evidence strand</w:t>
            </w:r>
          </w:p>
        </w:tc>
        <w:tc>
          <w:tcPr>
            <w:tcW w:type="dxa" w:w="2232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905"/>
            <w:shd w:val="clear" w:color="auto" w:fill="1F4E79"/>
          </w:tcPr>
          <w:p>
            <w:pPr>
              <w:spacing w:before="60" w:after="60" w:line="26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Stated limitation / qualifier</w:t>
            </w:r>
          </w:p>
        </w:tc>
      </w:tr>
      <w:tr>
        <w:tc>
          <w:tcPr>
            <w:tcW w:type="dxa" w:w="316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Detailed equipment identification</w:t>
            </w:r>
          </w:p>
        </w:tc>
        <w:tc>
          <w:tcPr>
            <w:tcW w:type="dxa" w:w="223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Medium confidence</w:t>
            </w:r>
          </w:p>
        </w:tc>
        <w:tc>
          <w:tcPr>
            <w:tcW w:type="dxa" w:w="390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Medium confidence in detailed equipment identification from satellite imagery</w:t>
            </w:r>
          </w:p>
        </w:tc>
      </w:tr>
      <w:tr>
        <w:tc>
          <w:tcPr>
            <w:tcW w:type="dxa" w:w="3161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Post-strike assessment</w:t>
            </w:r>
          </w:p>
        </w:tc>
        <w:tc>
          <w:tcPr>
            <w:tcW w:type="dxa" w:w="2232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Unconfirmed</w:t>
            </w:r>
          </w:p>
        </w:tc>
        <w:tc>
          <w:tcPr>
            <w:tcW w:type="dxa" w:w="3905"/>
            <w:shd w:val="clear" w:color="auto" w:fill="F4F6F8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Limited post-strike satellite coverage</w:t>
            </w:r>
          </w:p>
        </w:tc>
      </w:tr>
      <w:tr>
        <w:tc>
          <w:tcPr>
            <w:tcW w:type="dxa" w:w="3161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/>
                <w:color w:val="1B2733"/>
                <w:sz w:val="18"/>
              </w:rPr>
              <w:t>Infrastructure interpretation</w:t>
            </w:r>
          </w:p>
        </w:tc>
        <w:tc>
          <w:tcPr>
            <w:tcW w:type="dxa" w:w="2232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Indirect indicators</w:t>
            </w:r>
          </w:p>
        </w:tc>
        <w:tc>
          <w:tcPr>
            <w:tcW w:type="dxa" w:w="3905"/>
          </w:tcPr>
          <w:p>
            <w:pPr>
              <w:spacing w:before="50" w:after="50" w:line="276" w:lineRule="auto"/>
            </w:pPr>
            <w:r>
              <w:rPr>
                <w:rFonts w:ascii="Arial" w:hAnsi="Arial"/>
                <w:b w:val="0"/>
                <w:color w:val="2B333B"/>
                <w:sz w:val="18"/>
              </w:rPr>
              <w:t>Some infrastructure interpretations based on indirect indicators</w:t>
            </w:r>
          </w:p>
        </w:tc>
      </w:tr>
    </w:tbl>
    <w:p>
      <w:pPr>
        <w:spacing w:before="0" w:after="80" w:line="307" w:lineRule="auto"/>
      </w:pPr>
      <w:r>
        <w:rPr>
          <w:rFonts w:ascii="Arial" w:hAnsi="Arial" w:eastAsia="Arial"/>
          <w:b w:val="0"/>
          <w:i w:val="0"/>
          <w:color w:val="1B2733"/>
          <w:sz w:val="19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68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F6B"/>
        <w:sz w:val="15"/>
      </w:rPr>
      <w:t xml:space="preserve">Page </w:t>
    </w:r>
    <w:r>
      <w:rPr>
        <w:rFonts w:ascii="Arial" w:hAnsi="Arial"/>
        <w:color w:val="555F6B"/>
        <w:sz w:val="15"/>
      </w:rPr>
      <w:fldChar w:fldCharType="begin"/>
      <w:instrText xml:space="preserve"> PAGE </w:instrText>
      <w:fldChar w:fldCharType="end"/>
    </w:r>
    <w:r>
      <w:rPr>
        <w:rFonts w:ascii="Arial" w:hAnsi="Arial"/>
        <w:color w:val="555F6B"/>
        <w:sz w:val="15"/>
      </w:rPr>
      <w:t xml:space="preserve"> of </w:t>
    </w:r>
    <w:r>
      <w:rPr>
        <w:rFonts w:ascii="Arial" w:hAnsi="Arial"/>
        <w:color w:val="555F6B"/>
        <w:sz w:val="15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C7CDD4"/>
      </w:pBdr>
    </w:pPr>
    <w:r>
      <w:rPr>
        <w:rFonts w:ascii="Arial" w:hAnsi="Arial"/>
        <w:color w:val="555F6B"/>
        <w:sz w:val="15"/>
      </w:rPr>
      <w:t>Penza Industrial Cluster — Radio Plant and JSC NPP Rubin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Arial"/>
      <w:color w:val="1B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B27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