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CUSTOMER &amp; PROCUREMENT INTELLIGENCE</w:t>
      </w:r>
    </w:p>
    <w:p>
      <w:pPr>
        <w:spacing w:before="0" w:after="80" w:line="245" w:lineRule="auto"/>
      </w:pPr>
      <w:r>
        <w:rPr>
          <w:rFonts w:ascii="Arial" w:hAnsi="Arial" w:cs="Arial" w:eastAsia="Arial"/>
          <w:b/>
          <w:i w:val="0"/>
          <w:color w:val="1B2733"/>
          <w:sz w:val="54"/>
        </w:rPr>
        <w:t>株式会社福島製作所 (Fukushima Seisakusho Co., Ltd.)</w:t>
      </w:r>
    </w:p>
    <w:p>
      <w:pPr>
        <w:spacing w:before="0" w:after="160" w:line="254" w:lineRule="auto"/>
      </w:pPr>
      <w:r>
        <w:rPr>
          <w:rFonts w:ascii="Arial" w:hAnsi="Arial" w:cs="Arial" w:eastAsia="Arial"/>
          <w:b w:val="0"/>
          <w:i w:val="0"/>
          <w:color w:val="1F4E79"/>
          <w:sz w:val="34"/>
        </w:rPr>
        <w:t>Reconstructing the Downstream Ecosystem of Fukushima Seisakusho</w:t>
      </w:r>
    </w:p>
    <w:p>
      <w:pPr>
        <w:spacing w:before="0" w:after="320" w:line="264" w:lineRule="auto"/>
      </w:pPr>
      <w:r>
        <w:rPr>
          <w:rFonts w:ascii="Arial" w:hAnsi="Arial" w:cs="Arial" w:eastAsia="Arial"/>
          <w:b w:val="0"/>
          <w:i w:val="0"/>
          <w:color w:val="555F6B"/>
          <w:sz w:val="22"/>
        </w:rPr>
        <w:t>Japan, with international commercial-marine exposure</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w:t>
            </w:r>
          </w:p>
        </w:tc>
        <w:tc>
          <w:tcPr>
            <w:tcW w:type="dxa" w:w="7066"/>
          </w:tcPr>
          <w:p>
            <w:pPr>
              <w:spacing w:before="60" w:after="60" w:line="288" w:lineRule="auto"/>
            </w:pPr>
            <w:r>
              <w:rPr>
                <w:rFonts w:ascii="Arial" w:hAnsi="Arial" w:cs="Arial" w:eastAsia="Arial"/>
                <w:color w:val="1B2733"/>
                <w:sz w:val="18"/>
              </w:rPr>
              <w:t>株式会社福島製作所 (Fukushima Seisakusho Co., Ltd.)</w:t>
            </w:r>
          </w:p>
        </w:tc>
      </w:tr>
      <w:tr>
        <w:tc>
          <w:tcPr>
            <w:tcW w:type="dxa" w:w="2232"/>
            <w:shd w:val="clear" w:color="auto" w:fill="EEF3F8"/>
          </w:tcPr>
          <w:p>
            <w:pPr>
              <w:spacing w:before="60" w:after="60"/>
            </w:pPr>
            <w:r>
              <w:rPr>
                <w:rFonts w:ascii="Arial" w:hAnsi="Arial" w:cs="Arial" w:eastAsia="Arial"/>
                <w:b/>
                <w:color w:val="1F4E79"/>
                <w:sz w:val="17"/>
              </w:rPr>
              <w:t>Investigation type</w:t>
            </w:r>
          </w:p>
        </w:tc>
        <w:tc>
          <w:tcPr>
            <w:tcW w:type="dxa" w:w="7066"/>
          </w:tcPr>
          <w:p>
            <w:pPr>
              <w:spacing w:before="60" w:after="60" w:line="288" w:lineRule="auto"/>
            </w:pPr>
            <w:r>
              <w:rPr>
                <w:rFonts w:ascii="Arial" w:hAnsi="Arial" w:cs="Arial" w:eastAsia="Arial"/>
                <w:color w:val="1B2733"/>
                <w:sz w:val="18"/>
              </w:rPr>
              <w:t>Customer Intelligence / Procurement Intelligence / Commercial OSINT</w:t>
            </w:r>
          </w:p>
        </w:tc>
      </w:tr>
      <w:tr>
        <w:tc>
          <w:tcPr>
            <w:tcW w:type="dxa" w:w="2232"/>
            <w:shd w:val="clear" w:color="auto" w:fill="EEF3F8"/>
          </w:tcPr>
          <w:p>
            <w:pPr>
              <w:spacing w:before="60" w:after="60"/>
            </w:pPr>
            <w:r>
              <w:rPr>
                <w:rFonts w:ascii="Arial" w:hAnsi="Arial" w:cs="Arial" w:eastAsia="Arial"/>
                <w:b/>
                <w:color w:val="1F4E79"/>
                <w:sz w:val="17"/>
              </w:rPr>
              <w:t>Geographic focus</w:t>
            </w:r>
          </w:p>
        </w:tc>
        <w:tc>
          <w:tcPr>
            <w:tcW w:type="dxa" w:w="7066"/>
          </w:tcPr>
          <w:p>
            <w:pPr>
              <w:spacing w:before="60" w:after="60" w:line="288" w:lineRule="auto"/>
            </w:pPr>
            <w:r>
              <w:rPr>
                <w:rFonts w:ascii="Arial" w:hAnsi="Arial" w:cs="Arial" w:eastAsia="Arial"/>
                <w:color w:val="1B2733"/>
                <w:sz w:val="18"/>
              </w:rPr>
              <w:t>Japan, with international commercial-marine exposure</w:t>
            </w:r>
          </w:p>
        </w:tc>
      </w:tr>
      <w:tr>
        <w:tc>
          <w:tcPr>
            <w:tcW w:type="dxa" w:w="2232"/>
            <w:shd w:val="clear" w:color="auto" w:fill="EEF3F8"/>
          </w:tcPr>
          <w:p>
            <w:pPr>
              <w:spacing w:before="60" w:after="60"/>
            </w:pPr>
            <w:r>
              <w:rPr>
                <w:rFonts w:ascii="Arial" w:hAnsi="Arial" w:cs="Arial" w:eastAsia="Arial"/>
                <w:b/>
                <w:color w:val="1F4E79"/>
                <w:sz w:val="17"/>
              </w:rPr>
              <w:t>Primary research period</w:t>
            </w:r>
          </w:p>
        </w:tc>
        <w:tc>
          <w:tcPr>
            <w:tcW w:type="dxa" w:w="7066"/>
          </w:tcPr>
          <w:p>
            <w:pPr>
              <w:spacing w:before="60" w:after="60" w:line="288" w:lineRule="auto"/>
            </w:pPr>
            <w:r>
              <w:rPr>
                <w:rFonts w:ascii="Arial" w:hAnsi="Arial" w:cs="Arial" w:eastAsia="Arial"/>
                <w:color w:val="1B2733"/>
                <w:sz w:val="18"/>
              </w:rPr>
              <w:t>Historical records through September 2026</w:t>
            </w:r>
          </w:p>
        </w:tc>
      </w:tr>
      <w:tr>
        <w:tc>
          <w:tcPr>
            <w:tcW w:type="dxa" w:w="2232"/>
            <w:shd w:val="clear" w:color="auto" w:fill="EEF3F8"/>
          </w:tcPr>
          <w:p>
            <w:pPr>
              <w:spacing w:before="60" w:after="60"/>
            </w:pPr>
            <w:r>
              <w:rPr>
                <w:rFonts w:ascii="Arial" w:hAnsi="Arial" w:cs="Arial" w:eastAsia="Arial"/>
                <w:b/>
                <w:color w:val="1F4E79"/>
                <w:sz w:val="17"/>
              </w:rPr>
              <w:t>Evidence standard</w:t>
            </w:r>
          </w:p>
        </w:tc>
        <w:tc>
          <w:tcPr>
            <w:tcW w:type="dxa" w:w="7066"/>
          </w:tcPr>
          <w:p>
            <w:pPr>
              <w:spacing w:before="60" w:after="60" w:line="288" w:lineRule="auto"/>
            </w:pPr>
            <w:r>
              <w:rPr>
                <w:rFonts w:ascii="Arial" w:hAnsi="Arial" w:cs="Arial" w:eastAsia="Arial"/>
                <w:color w:val="1B2733"/>
                <w:sz w:val="18"/>
              </w:rPr>
              <w:t>Public Japanese-language sources, priority to primary corporate material</w:t>
            </w:r>
          </w:p>
        </w:tc>
      </w:tr>
    </w:tbl>
    <w:p>
      <w:pPr>
        <w:spacing w:before="0" w:after="2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Subject:株式会社福島製作所- Fukushima Seisakusho Co., Ltd. Investigation type: Customer Intelligence / Procurement Intelligence / Commercial OSINT Geographic focus: Japan, with international commercial-marine exposure Primary research period: Historical records through September 2026 Evidence standard: Public Japanese-language sources, with priority given to primary corporate, government and procurement records</w:t>
      </w:r>
    </w:p>
    <w:p>
      <w:pPr>
        <w:pStyle w:val="Heading1"/>
        <w:keepNext/>
        <w:spacing w:before="280" w:after="60" w:line="252" w:lineRule="auto"/>
        <w:pBdr>
          <w:bottom w:val="single" w:sz="12" w:space="4" w:color="1F4E79"/>
        </w:pBdr>
      </w:pPr>
      <w:r>
        <w:rPr>
          <w:rFonts w:ascii="Arial" w:hAnsi="Arial" w:cs="Arial" w:eastAsia="Arial"/>
          <w:b/>
          <w:color w:val="1F4E79"/>
          <w:sz w:val="30"/>
        </w:rPr>
        <w:t>1. Executive Summary</w:t>
      </w:r>
    </w:p>
    <w:p>
      <w:pPr>
        <w:spacing w:before="0" w:after="120" w:line="307" w:lineRule="auto"/>
      </w:pPr>
      <w:r>
        <w:rPr>
          <w:rFonts w:ascii="Arial" w:hAnsi="Arial" w:cs="Arial" w:eastAsia="Arial"/>
          <w:b w:val="0"/>
          <w:i w:val="0"/>
          <w:color w:val="1B2733"/>
          <w:sz w:val="19"/>
        </w:rPr>
        <w:t>This investigation examines how much of the downstream commercial ecosystem of Fukushima Seisakusho Co., Ltd. (株式会社福島製作所) can be reconstructed from public Japanese sources. The objective was deliberately narrower than producing a conventional customer list: Which downstream customers, industries and applications can be independently identified for Fukushima Seisakusho, and what evidence supports each relationship? The investigation therefore separates four different levels of evidence: 1. Confirmed relationship</w:t>
      </w:r>
    </w:p>
    <w:p>
      <w:pPr>
        <w:pStyle w:val="ListBullet"/>
        <w:spacing w:before="0" w:after="60" w:line="293" w:lineRule="auto"/>
        <w:ind w:left="351" w:hanging="193"/>
      </w:pPr>
      <w:r>
        <w:rPr>
          <w:rFonts w:ascii="Arial" w:hAnsi="Arial" w:cs="Arial" w:eastAsia="Arial"/>
          <w:color w:val="1B2733"/>
          <w:sz w:val="19"/>
        </w:rPr>
        <w:t>a government procurement record, company disclosure, or other primary source directly identifies Fukushima as a supplier/contractor. 2.</w:t>
      </w:r>
    </w:p>
    <w:p>
      <w:pPr>
        <w:spacing w:before="0" w:after="120" w:line="307" w:lineRule="auto"/>
      </w:pPr>
      <w:r>
        <w:rPr>
          <w:rFonts w:ascii="Arial" w:hAnsi="Arial" w:cs="Arial" w:eastAsia="Arial"/>
          <w:b w:val="0"/>
          <w:i w:val="0"/>
          <w:color w:val="1B2733"/>
          <w:sz w:val="19"/>
        </w:rPr>
        <w:t>Strong relationship</w:t>
      </w:r>
    </w:p>
    <w:p>
      <w:pPr>
        <w:pStyle w:val="ListBullet"/>
        <w:spacing w:before="0" w:after="60" w:line="293" w:lineRule="auto"/>
        <w:ind w:left="351" w:hanging="193"/>
      </w:pPr>
      <w:r>
        <w:rPr>
          <w:rFonts w:ascii="Arial" w:hAnsi="Arial" w:cs="Arial" w:eastAsia="Arial"/>
          <w:color w:val="1B2733"/>
          <w:sz w:val="19"/>
        </w:rPr>
        <w:t>the relationship is explicitly disclosed by the company or supported by multiple independent sources, but the exact transaction or end-user is not always visible. 3.</w:t>
      </w:r>
    </w:p>
    <w:p>
      <w:pPr>
        <w:spacing w:before="0" w:after="120" w:line="307" w:lineRule="auto"/>
      </w:pPr>
      <w:r>
        <w:rPr>
          <w:rFonts w:ascii="Arial" w:hAnsi="Arial" w:cs="Arial" w:eastAsia="Arial"/>
          <w:b w:val="0"/>
          <w:i w:val="0"/>
          <w:color w:val="1B2733"/>
          <w:sz w:val="19"/>
        </w:rPr>
        <w:t>Probable / project-level relationship</w:t>
      </w:r>
    </w:p>
    <w:p>
      <w:pPr>
        <w:pStyle w:val="ListBullet"/>
        <w:spacing w:before="0" w:after="60" w:line="293" w:lineRule="auto"/>
        <w:ind w:left="351" w:hanging="193"/>
      </w:pPr>
      <w:r>
        <w:rPr>
          <w:rFonts w:ascii="Arial" w:hAnsi="Arial" w:cs="Arial" w:eastAsia="Arial"/>
          <w:color w:val="1B2733"/>
          <w:sz w:val="19"/>
        </w:rPr>
        <w:t>several independent pieces of evidence connect Fukushima's equipment to a customer or project, but the commercial relationship is not completely documented. 4.</w:t>
      </w:r>
    </w:p>
    <w:p>
      <w:pPr>
        <w:spacing w:before="0" w:after="120" w:line="307" w:lineRule="auto"/>
      </w:pPr>
      <w:r>
        <w:rPr>
          <w:rFonts w:ascii="Arial" w:hAnsi="Arial" w:cs="Arial" w:eastAsia="Arial"/>
          <w:b w:val="0"/>
          <w:i w:val="0"/>
          <w:color w:val="1B2733"/>
          <w:sz w:val="19"/>
        </w:rPr>
        <w:t>Lead only</w:t>
      </w:r>
    </w:p>
    <w:p>
      <w:pPr>
        <w:pStyle w:val="ListBullet"/>
        <w:spacing w:before="0" w:after="60" w:line="293" w:lineRule="auto"/>
        <w:ind w:left="351" w:hanging="193"/>
      </w:pPr>
      <w:r>
        <w:rPr>
          <w:rFonts w:ascii="Arial" w:hAnsi="Arial" w:cs="Arial" w:eastAsia="Arial"/>
          <w:color w:val="1B2733"/>
          <w:sz w:val="19"/>
        </w:rPr>
        <w:t>the product is technically applicable to the customer's industry, but no evidence was found establishing a supplier/customer relationship. The research found that a</w:t>
      </w:r>
    </w:p>
    <w:p>
      <w:pPr>
        <w:spacing w:before="0" w:after="120" w:line="307" w:lineRule="auto"/>
      </w:pPr>
      <w:r>
        <w:rPr>
          <w:rFonts w:ascii="Arial" w:hAnsi="Arial" w:cs="Arial" w:eastAsia="Arial"/>
          <w:b w:val="0"/>
          <w:i w:val="0"/>
          <w:color w:val="1B2733"/>
          <w:sz w:val="19"/>
        </w:rPr>
        <w:t>substantial part of Fukushima's downstream network can be reconstructed without relying on application assumptions . The strongest evidence exists in two areas:</w:t>
      </w:r>
    </w:p>
    <w:p>
      <w:pPr>
        <w:pStyle w:val="ListBullet"/>
        <w:spacing w:before="0" w:after="60" w:line="293" w:lineRule="auto"/>
        <w:ind w:left="351" w:hanging="193"/>
      </w:pPr>
      <w:r>
        <w:rPr>
          <w:rFonts w:ascii="Arial" w:hAnsi="Arial" w:cs="Arial" w:eastAsia="Arial"/>
          <w:color w:val="1B2733"/>
          <w:sz w:val="19"/>
        </w:rPr>
        <w:t>municipal waste-treatment infrastructure , particularly grab buckets and their aftermarket;</w:t>
      </w:r>
    </w:p>
    <w:p>
      <w:pPr>
        <w:pStyle w:val="ListBullet"/>
        <w:spacing w:before="0" w:after="60" w:line="293" w:lineRule="auto"/>
        <w:ind w:left="351" w:hanging="193"/>
      </w:pPr>
      <w:r>
        <w:rPr>
          <w:rFonts w:ascii="Arial" w:hAnsi="Arial" w:cs="Arial" w:eastAsia="Arial"/>
          <w:color w:val="1B2733"/>
          <w:sz w:val="19"/>
        </w:rPr>
        <w:t>Japanese naval procurement , particularly deck cranes, anchor-windlass systems and associated hydraulic/electrical components. A third layer exists in</w:t>
      </w:r>
    </w:p>
    <w:p>
      <w:pPr>
        <w:spacing w:before="0" w:after="120" w:line="307" w:lineRule="auto"/>
      </w:pPr>
      <w:r>
        <w:rPr>
          <w:rFonts w:ascii="Arial" w:hAnsi="Arial" w:cs="Arial" w:eastAsia="Arial"/>
          <w:b w:val="0"/>
          <w:i w:val="0"/>
          <w:color w:val="1B2733"/>
          <w:sz w:val="19"/>
        </w:rPr>
        <w:t>commercial marine machinery , where Fukushima itself publicly identifies major shipbuilding customers including Japan Marine United, Mitsubishi Shipbuilding and Mitsui E&amp;S. However, the public evidence is considerably weaker when moving from shipbuilder-level relationships to individual vessel owners or operators. The investigation also identifies a recurring commercial pattern: Fukushima does not merely sell industrial equipment; it builds an installed base that generates recurring demand for inspection, repair, replacement parts, overhaul and modernization. This is particularly visible in municipal procurement records. Several Japanese municipalities explicitly state that Fukushima-manufactured equipment is proprietary or manufacturer-specific and therefore requires specialized knowledge for maintenance. Numazu City, for example, states that its waste-crane bucket was designed and manufactured by Fukushima using proprietary technology and that Fukushima's technical capability is required for inspection and maintenance. The result is therefore better represented as an installed-base ecosystem than as a simple list of customers.</w:t>
      </w:r>
    </w:p>
    <w:p>
      <w:pPr>
        <w:pStyle w:val="Heading1"/>
        <w:keepNext/>
        <w:spacing w:before="280" w:after="60" w:line="252" w:lineRule="auto"/>
        <w:pBdr>
          <w:bottom w:val="single" w:sz="12" w:space="4" w:color="1F4E79"/>
        </w:pBdr>
      </w:pPr>
      <w:r>
        <w:rPr>
          <w:rFonts w:ascii="Arial" w:hAnsi="Arial" w:cs="Arial" w:eastAsia="Arial"/>
          <w:b/>
          <w:color w:val="1F4E79"/>
          <w:sz w:val="30"/>
        </w:rPr>
        <w:t>2. Company Profile and Corporate</w:t>
      </w:r>
    </w:p>
    <w:p>
      <w:pPr>
        <w:pStyle w:val="Heading1"/>
        <w:keepNext/>
        <w:spacing w:before="280" w:after="60" w:line="252" w:lineRule="auto"/>
        <w:pBdr>
          <w:bottom w:val="single" w:sz="12" w:space="4" w:color="1F4E79"/>
        </w:pBdr>
      </w:pPr>
      <w:r>
        <w:rPr>
          <w:rFonts w:ascii="Arial" w:hAnsi="Arial" w:cs="Arial" w:eastAsia="Arial"/>
          <w:b/>
          <w:color w:val="1F4E79"/>
          <w:sz w:val="30"/>
        </w:rPr>
        <w:t>Context</w:t>
      </w:r>
    </w:p>
    <w:p>
      <w:pPr>
        <w:spacing w:before="0" w:after="120" w:line="307" w:lineRule="auto"/>
      </w:pPr>
      <w:r>
        <w:rPr>
          <w:rFonts w:ascii="Arial" w:hAnsi="Arial" w:cs="Arial" w:eastAsia="Arial"/>
          <w:b w:val="0"/>
          <w:i w:val="0"/>
          <w:color w:val="1B2733"/>
          <w:sz w:val="19"/>
        </w:rPr>
        <w:t>Fukushima Seisakusho was founded in 1920 and incorporated in 1953. The company is headquartered in Fukushima City, Fukushima Prefecture. Its current corporate disclosure identifies:</w:t>
      </w:r>
    </w:p>
    <w:p>
      <w:pPr>
        <w:pStyle w:val="ListBullet"/>
        <w:spacing w:before="0" w:after="60" w:line="293" w:lineRule="auto"/>
        <w:ind w:left="351" w:hanging="193"/>
      </w:pPr>
      <w:r>
        <w:rPr>
          <w:rFonts w:ascii="Arial" w:hAnsi="Arial" w:cs="Arial" w:eastAsia="Arial"/>
          <w:color w:val="1B2733"/>
          <w:sz w:val="19"/>
        </w:rPr>
        <w:t>capital of approximately ¥490 million;</w:t>
      </w:r>
    </w:p>
    <w:p>
      <w:pPr>
        <w:pStyle w:val="ListBullet"/>
        <w:spacing w:before="0" w:after="60" w:line="293" w:lineRule="auto"/>
        <w:ind w:left="351" w:hanging="193"/>
      </w:pPr>
      <w:r>
        <w:rPr>
          <w:rFonts w:ascii="Arial" w:hAnsi="Arial" w:cs="Arial" w:eastAsia="Arial"/>
          <w:color w:val="1B2733"/>
          <w:sz w:val="19"/>
        </w:rPr>
        <w:t>approximately 180 employees;</w:t>
      </w:r>
    </w:p>
    <w:p>
      <w:pPr>
        <w:pStyle w:val="ListBullet"/>
        <w:spacing w:before="0" w:after="60" w:line="293" w:lineRule="auto"/>
        <w:ind w:left="351" w:hanging="193"/>
      </w:pPr>
      <w:r>
        <w:rPr>
          <w:rFonts w:ascii="Arial" w:hAnsi="Arial" w:cs="Arial" w:eastAsia="Arial"/>
          <w:color w:val="1B2733"/>
          <w:sz w:val="19"/>
        </w:rPr>
        <w:t>UBE Machinery Corporation as shareholder;</w:t>
      </w:r>
    </w:p>
    <w:p>
      <w:pPr>
        <w:pStyle w:val="ListBullet"/>
        <w:spacing w:before="0" w:after="60" w:line="293" w:lineRule="auto"/>
        <w:ind w:left="351" w:hanging="193"/>
      </w:pPr>
      <w:r>
        <w:rPr>
          <w:rFonts w:ascii="Arial" w:hAnsi="Arial" w:cs="Arial" w:eastAsia="Arial"/>
          <w:color w:val="1B2733"/>
          <w:sz w:val="19"/>
        </w:rPr>
        <w:t>President and Representative Director Tsukasa Hattori (服部司) ;</w:t>
      </w:r>
    </w:p>
    <w:p>
      <w:pPr>
        <w:pStyle w:val="ListBullet"/>
        <w:spacing w:before="0" w:after="60" w:line="293" w:lineRule="auto"/>
        <w:ind w:left="351" w:hanging="193"/>
      </w:pPr>
      <w:r>
        <w:rPr>
          <w:rFonts w:ascii="Arial" w:hAnsi="Arial" w:cs="Arial" w:eastAsia="Arial"/>
          <w:color w:val="1B2733"/>
          <w:sz w:val="19"/>
        </w:rPr>
        <w:t>products and services covering grab buckets, deck machinery, towing/anchor-handling winches, marine hydraulic components, hydropower equipment and machining. The FY2026 recruitment disclosure reports:</w:t>
      </w:r>
    </w:p>
    <w:p>
      <w:pPr>
        <w:pStyle w:val="ListBullet"/>
        <w:spacing w:before="0" w:after="60" w:line="293" w:lineRule="auto"/>
        <w:ind w:left="351" w:hanging="193"/>
      </w:pPr>
      <w:r>
        <w:rPr>
          <w:rFonts w:ascii="Arial" w:hAnsi="Arial" w:cs="Arial" w:eastAsia="Arial"/>
          <w:color w:val="1B2733"/>
          <w:sz w:val="19"/>
        </w:rPr>
        <w:t>172 employees as of March 2026;</w:t>
      </w:r>
    </w:p>
    <w:p>
      <w:pPr>
        <w:pStyle w:val="ListBullet"/>
        <w:spacing w:before="0" w:after="60" w:line="293" w:lineRule="auto"/>
        <w:ind w:left="351" w:hanging="193"/>
      </w:pPr>
      <w:r>
        <w:rPr>
          <w:rFonts w:ascii="Arial" w:hAnsi="Arial" w:cs="Arial" w:eastAsia="Arial"/>
          <w:color w:val="1B2733"/>
          <w:sz w:val="19"/>
        </w:rPr>
        <w:t>¥4.0 billion revenue for FY2026;</w:t>
      </w:r>
    </w:p>
    <w:p>
      <w:pPr>
        <w:pStyle w:val="ListBullet"/>
        <w:spacing w:before="0" w:after="60" w:line="293" w:lineRule="auto"/>
        <w:ind w:left="351" w:hanging="193"/>
      </w:pPr>
      <w:r>
        <w:rPr>
          <w:rFonts w:ascii="Arial" w:hAnsi="Arial" w:cs="Arial" w:eastAsia="Arial"/>
          <w:color w:val="1B2733"/>
          <w:sz w:val="19"/>
        </w:rPr>
        <w:t>UBE Machinery Corporation holding 100% of the shares. The company's product portfolio is particularly relevant to downstream intelligence because it spans several industrial environments rather than one narrowly defined market: Main product categories</w:t>
      </w:r>
    </w:p>
    <w:p>
      <w:pPr>
        <w:spacing w:before="0" w:after="120" w:line="307" w:lineRule="auto"/>
      </w:pPr>
      <w:r>
        <w:rPr>
          <w:rFonts w:ascii="Arial" w:hAnsi="Arial" w:cs="Arial" w:eastAsia="Arial"/>
          <w:b w:val="0"/>
          <w:i w:val="0"/>
          <w:color w:val="1B2733"/>
          <w:sz w:val="19"/>
        </w:rPr>
        <w:t>Grab buckets</w:t>
      </w:r>
    </w:p>
    <w:p>
      <w:pPr>
        <w:pStyle w:val="ListBullet"/>
        <w:spacing w:before="0" w:after="60" w:line="293" w:lineRule="auto"/>
        <w:ind w:left="351" w:hanging="193"/>
      </w:pPr>
      <w:r>
        <w:rPr>
          <w:rFonts w:ascii="Arial" w:hAnsi="Arial" w:cs="Arial" w:eastAsia="Arial"/>
          <w:color w:val="1B2733"/>
          <w:sz w:val="19"/>
        </w:rPr>
        <w:t>electric-hydraulic grab buckets;</w:t>
      </w:r>
    </w:p>
    <w:p>
      <w:pPr>
        <w:pStyle w:val="ListBullet"/>
        <w:spacing w:before="0" w:after="60" w:line="293" w:lineRule="auto"/>
        <w:ind w:left="351" w:hanging="193"/>
      </w:pPr>
      <w:r>
        <w:rPr>
          <w:rFonts w:ascii="Arial" w:hAnsi="Arial" w:cs="Arial" w:eastAsia="Arial"/>
          <w:color w:val="1B2733"/>
          <w:sz w:val="19"/>
        </w:rPr>
        <w:t>diesel-hydraulic grab buckets;</w:t>
      </w:r>
    </w:p>
    <w:p>
      <w:pPr>
        <w:pStyle w:val="ListBullet"/>
        <w:spacing w:before="0" w:after="60" w:line="293" w:lineRule="auto"/>
        <w:ind w:left="351" w:hanging="193"/>
      </w:pPr>
      <w:r>
        <w:rPr>
          <w:rFonts w:ascii="Arial" w:hAnsi="Arial" w:cs="Arial" w:eastAsia="Arial"/>
          <w:color w:val="1B2733"/>
          <w:sz w:val="19"/>
        </w:rPr>
        <w:t>bulk-material handling buckets;</w:t>
      </w:r>
    </w:p>
    <w:p>
      <w:pPr>
        <w:pStyle w:val="ListBullet"/>
        <w:spacing w:before="0" w:after="60" w:line="293" w:lineRule="auto"/>
        <w:ind w:left="351" w:hanging="193"/>
      </w:pPr>
      <w:r>
        <w:rPr>
          <w:rFonts w:ascii="Arial" w:hAnsi="Arial" w:cs="Arial" w:eastAsia="Arial"/>
          <w:color w:val="1B2733"/>
          <w:sz w:val="19"/>
        </w:rPr>
        <w:t>municipal waste-handling buckets. Marine machinery</w:t>
      </w:r>
    </w:p>
    <w:p>
      <w:pPr>
        <w:pStyle w:val="ListBullet"/>
        <w:spacing w:before="0" w:after="60" w:line="293" w:lineRule="auto"/>
        <w:ind w:left="351" w:hanging="193"/>
      </w:pPr>
      <w:r>
        <w:rPr>
          <w:rFonts w:ascii="Arial" w:hAnsi="Arial" w:cs="Arial" w:eastAsia="Arial"/>
          <w:color w:val="1B2733"/>
          <w:sz w:val="19"/>
        </w:rPr>
        <w:t>anchor windlasses;</w:t>
      </w:r>
    </w:p>
    <w:p>
      <w:pPr>
        <w:pStyle w:val="ListBullet"/>
        <w:spacing w:before="0" w:after="60" w:line="293" w:lineRule="auto"/>
        <w:ind w:left="351" w:hanging="193"/>
      </w:pPr>
      <w:r>
        <w:rPr>
          <w:rFonts w:ascii="Arial" w:hAnsi="Arial" w:cs="Arial" w:eastAsia="Arial"/>
          <w:color w:val="1B2733"/>
          <w:sz w:val="19"/>
        </w:rPr>
        <w:t>mooring machinery;</w:t>
      </w:r>
    </w:p>
    <w:p>
      <w:pPr>
        <w:pStyle w:val="ListBullet"/>
        <w:spacing w:before="0" w:after="60" w:line="293" w:lineRule="auto"/>
        <w:ind w:left="351" w:hanging="193"/>
      </w:pPr>
      <w:r>
        <w:rPr>
          <w:rFonts w:ascii="Arial" w:hAnsi="Arial" w:cs="Arial" w:eastAsia="Arial"/>
          <w:color w:val="1B2733"/>
          <w:sz w:val="19"/>
        </w:rPr>
        <w:t>cargo-handling machinery;</w:t>
      </w:r>
    </w:p>
    <w:p>
      <w:pPr>
        <w:pStyle w:val="ListBullet"/>
        <w:spacing w:before="0" w:after="60" w:line="293" w:lineRule="auto"/>
        <w:ind w:left="351" w:hanging="193"/>
      </w:pPr>
      <w:r>
        <w:rPr>
          <w:rFonts w:ascii="Arial" w:hAnsi="Arial" w:cs="Arial" w:eastAsia="Arial"/>
          <w:color w:val="1B2733"/>
          <w:sz w:val="19"/>
        </w:rPr>
        <w:t>deck cranes;</w:t>
      </w:r>
    </w:p>
    <w:p>
      <w:pPr>
        <w:pStyle w:val="ListBullet"/>
        <w:spacing w:before="0" w:after="60" w:line="293" w:lineRule="auto"/>
        <w:ind w:left="351" w:hanging="193"/>
      </w:pPr>
      <w:r>
        <w:rPr>
          <w:rFonts w:ascii="Arial" w:hAnsi="Arial" w:cs="Arial" w:eastAsia="Arial"/>
          <w:color w:val="1B2733"/>
          <w:sz w:val="19"/>
        </w:rPr>
        <w:t>towing and anchor-handling winches;</w:t>
      </w:r>
    </w:p>
    <w:p>
      <w:pPr>
        <w:pStyle w:val="ListBullet"/>
        <w:spacing w:before="0" w:after="60" w:line="293" w:lineRule="auto"/>
        <w:ind w:left="351" w:hanging="193"/>
      </w:pPr>
      <w:r>
        <w:rPr>
          <w:rFonts w:ascii="Arial" w:hAnsi="Arial" w:cs="Arial" w:eastAsia="Arial"/>
          <w:color w:val="1B2733"/>
          <w:sz w:val="19"/>
        </w:rPr>
        <w:t>low-pressure hydraulic pumps, motors and valves. Energy</w:t>
      </w:r>
    </w:p>
    <w:p>
      <w:pPr>
        <w:pStyle w:val="ListBullet"/>
        <w:spacing w:before="0" w:after="60" w:line="293" w:lineRule="auto"/>
        <w:ind w:left="351" w:hanging="193"/>
      </w:pPr>
      <w:r>
        <w:rPr>
          <w:rFonts w:ascii="Arial" w:hAnsi="Arial" w:cs="Arial" w:eastAsia="Arial"/>
          <w:color w:val="1B2733"/>
          <w:sz w:val="19"/>
        </w:rPr>
        <w:t>hydropower-plant components;</w:t>
      </w:r>
    </w:p>
    <w:p>
      <w:pPr>
        <w:pStyle w:val="ListBullet"/>
        <w:spacing w:before="0" w:after="60" w:line="293" w:lineRule="auto"/>
        <w:ind w:left="351" w:hanging="193"/>
      </w:pPr>
      <w:r>
        <w:rPr>
          <w:rFonts w:ascii="Arial" w:hAnsi="Arial" w:cs="Arial" w:eastAsia="Arial"/>
          <w:color w:val="1B2733"/>
          <w:sz w:val="19"/>
        </w:rPr>
        <w:t>hydropower-related engineering and construction. Industrial manufacturing</w:t>
      </w:r>
    </w:p>
    <w:p>
      <w:pPr>
        <w:pStyle w:val="ListBullet"/>
        <w:spacing w:before="0" w:after="60" w:line="293" w:lineRule="auto"/>
        <w:ind w:left="351" w:hanging="193"/>
      </w:pPr>
      <w:r>
        <w:rPr>
          <w:rFonts w:ascii="Arial" w:hAnsi="Arial" w:cs="Arial" w:eastAsia="Arial"/>
          <w:color w:val="1B2733"/>
          <w:sz w:val="19"/>
        </w:rPr>
        <w:t>machining and component production. This diversity explains why a customer investigation has to be conducted by product → application → procurement environment , rather than by searching the company name together with generic terms such as "customers".</w:t>
      </w:r>
    </w:p>
    <w:p>
      <w:pPr>
        <w:pStyle w:val="Heading1"/>
        <w:keepNext/>
        <w:spacing w:before="280" w:after="60" w:line="252" w:lineRule="auto"/>
        <w:pBdr>
          <w:bottom w:val="single" w:sz="12" w:space="4" w:color="1F4E79"/>
        </w:pBdr>
      </w:pPr>
      <w:r>
        <w:rPr>
          <w:rFonts w:ascii="Arial" w:hAnsi="Arial" w:cs="Arial" w:eastAsia="Arial"/>
          <w:b/>
          <w:color w:val="1F4E79"/>
          <w:sz w:val="30"/>
        </w:rPr>
        <w:t>3. Research Methodology</w:t>
      </w:r>
    </w:p>
    <w:p>
      <w:pPr>
        <w:spacing w:before="0" w:after="120" w:line="307" w:lineRule="auto"/>
      </w:pPr>
      <w:r>
        <w:rPr>
          <w:rFonts w:ascii="Arial" w:hAnsi="Arial" w:cs="Arial" w:eastAsia="Arial"/>
          <w:b w:val="0"/>
          <w:i w:val="0"/>
          <w:color w:val="1B2733"/>
          <w:sz w:val="19"/>
        </w:rPr>
        <w:t>The investigation used a source hierarchy. Tier 1 - Primary sources Priority was given to:</w:t>
      </w:r>
    </w:p>
    <w:p>
      <w:pPr>
        <w:pStyle w:val="ListBullet"/>
        <w:spacing w:before="0" w:after="60" w:line="293" w:lineRule="auto"/>
        <w:ind w:left="351" w:hanging="193"/>
      </w:pPr>
      <w:r>
        <w:rPr>
          <w:rFonts w:ascii="Arial" w:hAnsi="Arial" w:cs="Arial" w:eastAsia="Arial"/>
          <w:color w:val="1B2733"/>
          <w:sz w:val="19"/>
        </w:rPr>
        <w:t>Fukushima Seisakusho corporate materials;</w:t>
      </w:r>
    </w:p>
    <w:p>
      <w:pPr>
        <w:pStyle w:val="ListBullet"/>
        <w:spacing w:before="0" w:after="60" w:line="293" w:lineRule="auto"/>
        <w:ind w:left="351" w:hanging="193"/>
      </w:pPr>
      <w:r>
        <w:rPr>
          <w:rFonts w:ascii="Arial" w:hAnsi="Arial" w:cs="Arial" w:eastAsia="Arial"/>
          <w:color w:val="1B2733"/>
          <w:sz w:val="19"/>
        </w:rPr>
        <w:t>Japanese Ministry of Defense / Maritime Self-Defense Force procurement documents;</w:t>
      </w:r>
    </w:p>
    <w:p>
      <w:pPr>
        <w:pStyle w:val="ListBullet"/>
        <w:spacing w:before="0" w:after="60" w:line="293" w:lineRule="auto"/>
        <w:ind w:left="351" w:hanging="193"/>
      </w:pPr>
      <w:r>
        <w:rPr>
          <w:rFonts w:ascii="Arial" w:hAnsi="Arial" w:cs="Arial" w:eastAsia="Arial"/>
          <w:color w:val="1B2733"/>
          <w:sz w:val="19"/>
        </w:rPr>
        <w:t>municipal procurement documents;</w:t>
      </w:r>
    </w:p>
    <w:p>
      <w:pPr>
        <w:pStyle w:val="ListBullet"/>
        <w:spacing w:before="0" w:after="60" w:line="293" w:lineRule="auto"/>
        <w:ind w:left="351" w:hanging="193"/>
      </w:pPr>
      <w:r>
        <w:rPr>
          <w:rFonts w:ascii="Arial" w:hAnsi="Arial" w:cs="Arial" w:eastAsia="Arial"/>
          <w:color w:val="1B2733"/>
          <w:sz w:val="19"/>
        </w:rPr>
        <w:t>government tender notices;</w:t>
      </w:r>
    </w:p>
    <w:p>
      <w:pPr>
        <w:pStyle w:val="ListBullet"/>
        <w:spacing w:before="0" w:after="60" w:line="293" w:lineRule="auto"/>
        <w:ind w:left="351" w:hanging="193"/>
      </w:pPr>
      <w:r>
        <w:rPr>
          <w:rFonts w:ascii="Arial" w:hAnsi="Arial" w:cs="Arial" w:eastAsia="Arial"/>
          <w:color w:val="1B2733"/>
          <w:sz w:val="19"/>
        </w:rPr>
        <w:t>official corporate disclosures. Tier 2 - Industry sources Used to supplement primary evidence:</w:t>
      </w:r>
    </w:p>
    <w:p>
      <w:pPr>
        <w:pStyle w:val="ListBullet"/>
        <w:spacing w:before="0" w:after="60" w:line="293" w:lineRule="auto"/>
        <w:ind w:left="351" w:hanging="193"/>
      </w:pPr>
      <w:r>
        <w:rPr>
          <w:rFonts w:ascii="Arial" w:hAnsi="Arial" w:cs="Arial" w:eastAsia="Arial"/>
          <w:color w:val="1B2733"/>
          <w:sz w:val="19"/>
        </w:rPr>
        <w:t>Japanese shipbuilding and machinery associations;</w:t>
      </w:r>
    </w:p>
    <w:p>
      <w:pPr>
        <w:pStyle w:val="ListBullet"/>
        <w:spacing w:before="0" w:after="60" w:line="293" w:lineRule="auto"/>
        <w:ind w:left="351" w:hanging="193"/>
      </w:pPr>
      <w:r>
        <w:rPr>
          <w:rFonts w:ascii="Arial" w:hAnsi="Arial" w:cs="Arial" w:eastAsia="Arial"/>
          <w:color w:val="1B2733"/>
          <w:sz w:val="19"/>
        </w:rPr>
        <w:t>industry publications;</w:t>
      </w:r>
    </w:p>
    <w:p>
      <w:pPr>
        <w:pStyle w:val="ListBullet"/>
        <w:spacing w:before="0" w:after="60" w:line="293" w:lineRule="auto"/>
        <w:ind w:left="351" w:hanging="193"/>
      </w:pPr>
      <w:r>
        <w:rPr>
          <w:rFonts w:ascii="Arial" w:hAnsi="Arial" w:cs="Arial" w:eastAsia="Arial"/>
          <w:color w:val="1B2733"/>
          <w:sz w:val="19"/>
        </w:rPr>
        <w:t>UBE group publications;</w:t>
      </w:r>
    </w:p>
    <w:p>
      <w:pPr>
        <w:pStyle w:val="ListBullet"/>
        <w:spacing w:before="0" w:after="60" w:line="293" w:lineRule="auto"/>
        <w:ind w:left="351" w:hanging="193"/>
      </w:pPr>
      <w:r>
        <w:rPr>
          <w:rFonts w:ascii="Arial" w:hAnsi="Arial" w:cs="Arial" w:eastAsia="Arial"/>
          <w:color w:val="1B2733"/>
          <w:sz w:val="19"/>
        </w:rPr>
        <w:t>Japanese business and technical publications. Tier 3 - Secondary commercial databases Used mainly for discovery and cross-checking:</w:t>
      </w:r>
    </w:p>
    <w:p>
      <w:pPr>
        <w:pStyle w:val="ListBullet"/>
        <w:spacing w:before="0" w:after="60" w:line="293" w:lineRule="auto"/>
        <w:ind w:left="351" w:hanging="193"/>
      </w:pPr>
      <w:r>
        <w:rPr>
          <w:rFonts w:ascii="Arial" w:hAnsi="Arial" w:cs="Arial" w:eastAsia="Arial"/>
          <w:color w:val="1B2733"/>
          <w:sz w:val="19"/>
        </w:rPr>
        <w:t>recruitment databases;</w:t>
      </w:r>
    </w:p>
    <w:p>
      <w:pPr>
        <w:pStyle w:val="ListBullet"/>
        <w:spacing w:before="0" w:after="60" w:line="293" w:lineRule="auto"/>
        <w:ind w:left="351" w:hanging="193"/>
      </w:pPr>
      <w:r>
        <w:rPr>
          <w:rFonts w:ascii="Arial" w:hAnsi="Arial" w:cs="Arial" w:eastAsia="Arial"/>
          <w:color w:val="1B2733"/>
          <w:sz w:val="19"/>
        </w:rPr>
        <w:t>procurement aggregators;</w:t>
      </w:r>
    </w:p>
    <w:p>
      <w:pPr>
        <w:pStyle w:val="ListBullet"/>
        <w:spacing w:before="0" w:after="60" w:line="293" w:lineRule="auto"/>
        <w:ind w:left="351" w:hanging="193"/>
      </w:pPr>
      <w:r>
        <w:rPr>
          <w:rFonts w:ascii="Arial" w:hAnsi="Arial" w:cs="Arial" w:eastAsia="Arial"/>
          <w:color w:val="1B2733"/>
          <w:sz w:val="19"/>
        </w:rPr>
        <w:t>corporate databases. Secondary databases were not treated as sufficient evidence where a primary source could be located.</w:t>
      </w:r>
    </w:p>
    <w:p>
      <w:pPr>
        <w:pStyle w:val="Heading1"/>
        <w:keepNext/>
        <w:spacing w:before="280" w:after="60" w:line="252" w:lineRule="auto"/>
        <w:pBdr>
          <w:bottom w:val="single" w:sz="12" w:space="4" w:color="1F4E79"/>
        </w:pBdr>
      </w:pPr>
      <w:r>
        <w:rPr>
          <w:rFonts w:ascii="Arial" w:hAnsi="Arial" w:cs="Arial" w:eastAsia="Arial"/>
          <w:b/>
          <w:color w:val="1F4E79"/>
          <w:sz w:val="30"/>
        </w:rPr>
        <w:t>4. Product → Application Mapping</w:t>
      </w:r>
    </w:p>
    <w:p>
      <w:pPr>
        <w:pStyle w:val="Heading1"/>
        <w:keepNext/>
        <w:spacing w:before="280" w:after="60" w:line="252" w:lineRule="auto"/>
        <w:pBdr>
          <w:bottom w:val="single" w:sz="12" w:space="4" w:color="1F4E79"/>
        </w:pBdr>
      </w:pPr>
      <w:r>
        <w:rPr>
          <w:rFonts w:ascii="Arial" w:hAnsi="Arial" w:cs="Arial" w:eastAsia="Arial"/>
          <w:b/>
          <w:color w:val="1F4E79"/>
          <w:sz w:val="30"/>
        </w:rPr>
        <w:t>4.1 Grab Buckets</w:t>
      </w:r>
    </w:p>
    <w:p>
      <w:pPr>
        <w:spacing w:before="0" w:after="120" w:line="307" w:lineRule="auto"/>
      </w:pPr>
      <w:r>
        <w:rPr>
          <w:rFonts w:ascii="Arial" w:hAnsi="Arial" w:cs="Arial" w:eastAsia="Arial"/>
          <w:b w:val="0"/>
          <w:i w:val="0"/>
          <w:color w:val="1B2733"/>
          <w:sz w:val="19"/>
        </w:rPr>
        <w:t>Grab buckets are one of Fukushima's most established product families. The company's current product documentation describes applications in:</w:t>
      </w:r>
    </w:p>
    <w:p>
      <w:pPr>
        <w:pStyle w:val="ListBullet"/>
        <w:spacing w:before="0" w:after="60" w:line="293" w:lineRule="auto"/>
        <w:ind w:left="351" w:hanging="193"/>
      </w:pPr>
      <w:r>
        <w:rPr>
          <w:rFonts w:ascii="Arial" w:hAnsi="Arial" w:cs="Arial" w:eastAsia="Arial"/>
          <w:color w:val="1B2733"/>
          <w:sz w:val="19"/>
        </w:rPr>
        <w:t>port bulk-material handling;</w:t>
      </w:r>
    </w:p>
    <w:p>
      <w:pPr>
        <w:pStyle w:val="ListBullet"/>
        <w:spacing w:before="0" w:after="60" w:line="293" w:lineRule="auto"/>
        <w:ind w:left="351" w:hanging="193"/>
      </w:pPr>
      <w:r>
        <w:rPr>
          <w:rFonts w:ascii="Arial" w:hAnsi="Arial" w:cs="Arial" w:eastAsia="Arial"/>
          <w:color w:val="1B2733"/>
          <w:sz w:val="19"/>
        </w:rPr>
        <w:t>waste-treatment facilities;</w:t>
      </w:r>
    </w:p>
    <w:p>
      <w:pPr>
        <w:pStyle w:val="ListBullet"/>
        <w:spacing w:before="0" w:after="60" w:line="293" w:lineRule="auto"/>
        <w:ind w:left="351" w:hanging="193"/>
      </w:pPr>
      <w:r>
        <w:rPr>
          <w:rFonts w:ascii="Arial" w:hAnsi="Arial" w:cs="Arial" w:eastAsia="Arial"/>
          <w:color w:val="1B2733"/>
          <w:sz w:val="19"/>
        </w:rPr>
        <w:t>general material handling;</w:t>
      </w:r>
    </w:p>
    <w:p>
      <w:pPr>
        <w:pStyle w:val="ListBullet"/>
        <w:spacing w:before="0" w:after="60" w:line="293" w:lineRule="auto"/>
        <w:ind w:left="351" w:hanging="193"/>
      </w:pPr>
      <w:r>
        <w:rPr>
          <w:rFonts w:ascii="Arial" w:hAnsi="Arial" w:cs="Arial" w:eastAsia="Arial"/>
          <w:color w:val="1B2733"/>
          <w:sz w:val="19"/>
        </w:rPr>
        <w:t>crane operations. The company also offers electric-hydraulic, diesel-hydraulic and single-rope grab buckets. Diesel-engine-powered "engine grabs" are specifically positioned for environments where</w:t>
      </w:r>
    </w:p>
    <w:p>
      <w:pPr>
        <w:spacing w:before="0" w:after="120" w:line="307" w:lineRule="auto"/>
      </w:pPr>
      <w:r>
        <w:rPr>
          <w:rFonts w:ascii="Arial" w:hAnsi="Arial" w:cs="Arial" w:eastAsia="Arial"/>
          <w:b w:val="0"/>
          <w:i w:val="0"/>
          <w:color w:val="1B2733"/>
          <w:sz w:val="19"/>
        </w:rPr>
        <w:t>the absence of a power cable increases operational flexibility. Single-rope buckets are described as primarily used for port cargo handling. The application chain can therefore be established as: Fukushima grab bucket → crane system → material handling → port / waste-treatment facility → industrial or municipal operator. This is an application relationship, not automatically a customer relationship. Customer attribution requires procurement or explicit company evidence.</w:t>
      </w:r>
    </w:p>
    <w:p>
      <w:pPr>
        <w:pStyle w:val="Heading1"/>
        <w:keepNext/>
        <w:spacing w:before="280" w:after="60" w:line="252" w:lineRule="auto"/>
        <w:pBdr>
          <w:bottom w:val="single" w:sz="12" w:space="4" w:color="1F4E79"/>
        </w:pBdr>
      </w:pPr>
      <w:r>
        <w:rPr>
          <w:rFonts w:ascii="Arial" w:hAnsi="Arial" w:cs="Arial" w:eastAsia="Arial"/>
          <w:b/>
          <w:color w:val="1F4E79"/>
          <w:sz w:val="30"/>
        </w:rPr>
        <w:t>4.2 Municipal Waste Applications</w:t>
      </w:r>
    </w:p>
    <w:p>
      <w:pPr>
        <w:spacing w:before="0" w:after="120" w:line="307" w:lineRule="auto"/>
      </w:pPr>
      <w:r>
        <w:rPr>
          <w:rFonts w:ascii="Arial" w:hAnsi="Arial" w:cs="Arial" w:eastAsia="Arial"/>
          <w:b w:val="0"/>
          <w:i w:val="0"/>
          <w:color w:val="1B2733"/>
          <w:sz w:val="19"/>
        </w:rPr>
        <w:t>Fukushima has a particularly visible installed base in Japanese waste-treatment infrastructure. The equipment is used in refuse-handling cranes inside municipal incineration and waste-treatment plants. A particularly strong source is Numazu City's procurement documentation. The city states that the waste-crane bucket installed at its facility: was manufactured by Fukushima Seisakusho and designed and produced using the manufacturer's proprietary technology. The city further states that specialized technical knowledge is required for inspection and maintenance and identifies Fukushima's technical capabilities as the reason for the direct procurement. This is important because it establishes all of the following: Fukushima → equipment manufacturer → specific municipal facility → maintenance requirement → procurement relationship. It is substantially stronger than merely observing that grab buckets are used in waste-treatment plants.</w:t>
      </w:r>
    </w:p>
    <w:p>
      <w:pPr>
        <w:pStyle w:val="Heading1"/>
        <w:keepNext/>
        <w:spacing w:before="280" w:after="60" w:line="252" w:lineRule="auto"/>
        <w:pBdr>
          <w:bottom w:val="single" w:sz="12" w:space="4" w:color="1F4E79"/>
        </w:pBdr>
      </w:pPr>
      <w:r>
        <w:rPr>
          <w:rFonts w:ascii="Arial" w:hAnsi="Arial" w:cs="Arial" w:eastAsia="Arial"/>
          <w:b/>
          <w:color w:val="1F4E79"/>
          <w:sz w:val="30"/>
        </w:rPr>
        <w:t>5. Municipal Customer and</w:t>
      </w:r>
    </w:p>
    <w:p>
      <w:pPr>
        <w:pStyle w:val="Heading1"/>
        <w:keepNext/>
        <w:spacing w:before="280" w:after="60" w:line="252" w:lineRule="auto"/>
        <w:pBdr>
          <w:bottom w:val="single" w:sz="12" w:space="4" w:color="1F4E79"/>
        </w:pBdr>
      </w:pPr>
      <w:r>
        <w:rPr>
          <w:rFonts w:ascii="Arial" w:hAnsi="Arial" w:cs="Arial" w:eastAsia="Arial"/>
          <w:b/>
          <w:color w:val="1F4E79"/>
          <w:sz w:val="30"/>
        </w:rPr>
        <w:t>Installed-Base Evidence</w:t>
      </w:r>
    </w:p>
    <w:p>
      <w:pPr>
        <w:pStyle w:val="Heading1"/>
        <w:keepNext/>
        <w:spacing w:before="280" w:after="60" w:line="252" w:lineRule="auto"/>
        <w:pBdr>
          <w:bottom w:val="single" w:sz="12" w:space="4" w:color="1F4E79"/>
        </w:pBdr>
      </w:pPr>
      <w:r>
        <w:rPr>
          <w:rFonts w:ascii="Arial" w:hAnsi="Arial" w:cs="Arial" w:eastAsia="Arial"/>
          <w:b/>
          <w:color w:val="1F4E79"/>
          <w:sz w:val="30"/>
        </w:rPr>
        <w:t>5.1 Kobe</w:t>
      </w:r>
    </w:p>
    <w:p>
      <w:pPr>
        <w:spacing w:before="0" w:after="120" w:line="307" w:lineRule="auto"/>
      </w:pPr>
      <w:r>
        <w:rPr>
          <w:rFonts w:ascii="Arial" w:hAnsi="Arial" w:cs="Arial" w:eastAsia="Arial"/>
          <w:b w:val="0"/>
          <w:i w:val="0"/>
          <w:color w:val="1B2733"/>
          <w:sz w:val="19"/>
        </w:rPr>
        <w:t>Kobe City procurement records identify Fukushima as contractor for waste-crane grab-bucket equipment. A documented procurement concerned:東クリーンセンターごみクレーン電動油圧式グラブバケットwith two units and a contract value of approximately ¥40.176 million. This establishes a direct municipal procurement relationship. More importantly, subsequent maintenance procurement demonstrates that the relationship should not be treated as a one-time equipment sale. The commercial model is: initial equipment → installed base → repair / replacement → recurring procurement.</w:t>
      </w:r>
    </w:p>
    <w:p>
      <w:pPr>
        <w:pStyle w:val="Heading1"/>
        <w:keepNext/>
        <w:spacing w:before="280" w:after="60" w:line="252" w:lineRule="auto"/>
        <w:pBdr>
          <w:bottom w:val="single" w:sz="12" w:space="4" w:color="1F4E79"/>
        </w:pBdr>
      </w:pPr>
      <w:r>
        <w:rPr>
          <w:rFonts w:ascii="Arial" w:hAnsi="Arial" w:cs="Arial" w:eastAsia="Arial"/>
          <w:b/>
          <w:color w:val="1F4E79"/>
          <w:sz w:val="30"/>
        </w:rPr>
        <w:t>5.2 Numazu</w:t>
      </w:r>
    </w:p>
    <w:p>
      <w:pPr>
        <w:spacing w:before="0" w:after="120" w:line="307" w:lineRule="auto"/>
      </w:pPr>
      <w:r>
        <w:rPr>
          <w:rFonts w:ascii="Arial" w:hAnsi="Arial" w:cs="Arial" w:eastAsia="Arial"/>
          <w:b w:val="0"/>
          <w:i w:val="0"/>
          <w:color w:val="1B2733"/>
          <w:sz w:val="19"/>
        </w:rPr>
        <w:t>Numazu provides one of the strongest publicly documented examples of manufacturer-specific aftermarket dependence. The municipality states that its waste-crane bucket is Fukushima-manufactured and based on Fukushima's proprietary design and manufacturing technology. The city explicitly identifies the need for specialist knowledge and states that Fukushima's involvement provides:</w:t>
      </w:r>
    </w:p>
    <w:p>
      <w:pPr>
        <w:pStyle w:val="ListBullet"/>
        <w:spacing w:before="0" w:after="60" w:line="293" w:lineRule="auto"/>
        <w:ind w:left="351" w:hanging="193"/>
      </w:pPr>
      <w:r>
        <w:rPr>
          <w:rFonts w:ascii="Arial" w:hAnsi="Arial" w:cs="Arial" w:eastAsia="Arial"/>
          <w:color w:val="1B2733"/>
          <w:sz w:val="19"/>
        </w:rPr>
        <w:t>performance assurance;</w:t>
      </w:r>
    </w:p>
    <w:p>
      <w:pPr>
        <w:pStyle w:val="ListBullet"/>
        <w:spacing w:before="0" w:after="60" w:line="293" w:lineRule="auto"/>
        <w:ind w:left="351" w:hanging="193"/>
      </w:pPr>
      <w:r>
        <w:rPr>
          <w:rFonts w:ascii="Arial" w:hAnsi="Arial" w:cs="Arial" w:eastAsia="Arial"/>
          <w:color w:val="1B2733"/>
          <w:sz w:val="19"/>
        </w:rPr>
        <w:t>early detection of defects;</w:t>
      </w:r>
    </w:p>
    <w:p>
      <w:pPr>
        <w:pStyle w:val="ListBullet"/>
        <w:spacing w:before="0" w:after="60" w:line="293" w:lineRule="auto"/>
        <w:ind w:left="351" w:hanging="193"/>
      </w:pPr>
      <w:r>
        <w:rPr>
          <w:rFonts w:ascii="Arial" w:hAnsi="Arial" w:cs="Arial" w:eastAsia="Arial"/>
          <w:color w:val="1B2733"/>
          <w:sz w:val="19"/>
        </w:rPr>
        <w:t>appropriate replacement of components;</w:t>
      </w:r>
    </w:p>
    <w:p>
      <w:pPr>
        <w:pStyle w:val="ListBullet"/>
        <w:spacing w:before="0" w:after="60" w:line="293" w:lineRule="auto"/>
        <w:ind w:left="351" w:hanging="193"/>
      </w:pPr>
      <w:r>
        <w:rPr>
          <w:rFonts w:ascii="Arial" w:hAnsi="Arial" w:cs="Arial" w:eastAsia="Arial"/>
          <w:color w:val="1B2733"/>
          <w:sz w:val="19"/>
        </w:rPr>
        <w:t>stable operation of the equipment. This is therefore not merely evidence of a customer. It is evidence of a</w:t>
      </w:r>
    </w:p>
    <w:p>
      <w:pPr>
        <w:spacing w:before="0" w:after="120" w:line="307" w:lineRule="auto"/>
      </w:pPr>
      <w:r>
        <w:rPr>
          <w:rFonts w:ascii="Arial" w:hAnsi="Arial" w:cs="Arial" w:eastAsia="Arial"/>
          <w:b w:val="0"/>
          <w:i w:val="0"/>
          <w:color w:val="1B2733"/>
          <w:sz w:val="19"/>
        </w:rPr>
        <w:t>commercial lock-in mechanism created by the installed base . The correct analytical formulation is not: "Numazu must buy from Fukushima." There is insufficient evidence for such a legal conclusion. The correct formulation is: "Public procurement documentation identifies manufacturer-specific technical dependency as the rationale for procuring maintenance from Fukushima." That distinction is important in procurement intelligence.</w:t>
      </w:r>
    </w:p>
    <w:p>
      <w:pPr>
        <w:pStyle w:val="Heading1"/>
        <w:keepNext/>
        <w:spacing w:before="280" w:after="60" w:line="252" w:lineRule="auto"/>
        <w:pBdr>
          <w:bottom w:val="single" w:sz="12" w:space="4" w:color="1F4E79"/>
        </w:pBdr>
      </w:pPr>
      <w:r>
        <w:rPr>
          <w:rFonts w:ascii="Arial" w:hAnsi="Arial" w:cs="Arial" w:eastAsia="Arial"/>
          <w:b/>
          <w:color w:val="1F4E79"/>
          <w:sz w:val="30"/>
        </w:rPr>
        <w:t>5.3 Tokyo Metropolitan Waste Infrastructure</w:t>
      </w:r>
    </w:p>
    <w:p>
      <w:pPr>
        <w:spacing w:before="0" w:after="120" w:line="307" w:lineRule="auto"/>
      </w:pPr>
      <w:r>
        <w:rPr>
          <w:rFonts w:ascii="Arial" w:hAnsi="Arial" w:cs="Arial" w:eastAsia="Arial"/>
          <w:b w:val="0"/>
          <w:i w:val="0"/>
          <w:color w:val="1B2733"/>
          <w:sz w:val="19"/>
        </w:rPr>
        <w:t>Public procurement records identify Fukushima's Tokyo office in multiple waste-treatment facilities across the Tokyo 23-ward system. Examples include facilities in:</w:t>
      </w:r>
    </w:p>
    <w:p>
      <w:pPr>
        <w:pStyle w:val="ListBullet"/>
        <w:spacing w:before="0" w:after="60" w:line="293" w:lineRule="auto"/>
        <w:ind w:left="351" w:hanging="193"/>
      </w:pPr>
      <w:r>
        <w:rPr>
          <w:rFonts w:ascii="Arial" w:hAnsi="Arial" w:cs="Arial" w:eastAsia="Arial"/>
          <w:color w:val="1B2733"/>
          <w:sz w:val="19"/>
        </w:rPr>
        <w:t>Nerima;</w:t>
      </w:r>
    </w:p>
    <w:p>
      <w:pPr>
        <w:pStyle w:val="ListBullet"/>
        <w:spacing w:before="0" w:after="60" w:line="293" w:lineRule="auto"/>
        <w:ind w:left="351" w:hanging="193"/>
      </w:pPr>
      <w:r>
        <w:rPr>
          <w:rFonts w:ascii="Arial" w:hAnsi="Arial" w:cs="Arial" w:eastAsia="Arial"/>
          <w:color w:val="1B2733"/>
          <w:sz w:val="19"/>
        </w:rPr>
        <w:t>Itabashi;</w:t>
      </w:r>
    </w:p>
    <w:p>
      <w:pPr>
        <w:pStyle w:val="ListBullet"/>
        <w:spacing w:before="0" w:after="60" w:line="293" w:lineRule="auto"/>
        <w:ind w:left="351" w:hanging="193"/>
      </w:pPr>
      <w:r>
        <w:rPr>
          <w:rFonts w:ascii="Arial" w:hAnsi="Arial" w:cs="Arial" w:eastAsia="Arial"/>
          <w:color w:val="1B2733"/>
          <w:sz w:val="19"/>
        </w:rPr>
        <w:t>Toshima;</w:t>
      </w:r>
    </w:p>
    <w:p>
      <w:pPr>
        <w:pStyle w:val="ListBullet"/>
        <w:spacing w:before="0" w:after="60" w:line="293" w:lineRule="auto"/>
        <w:ind w:left="351" w:hanging="193"/>
      </w:pPr>
      <w:r>
        <w:rPr>
          <w:rFonts w:ascii="Arial" w:hAnsi="Arial" w:cs="Arial" w:eastAsia="Arial"/>
          <w:color w:val="1B2733"/>
          <w:sz w:val="19"/>
        </w:rPr>
        <w:t>Shin-Koto;</w:t>
      </w:r>
    </w:p>
    <w:p>
      <w:pPr>
        <w:pStyle w:val="ListBullet"/>
        <w:spacing w:before="0" w:after="60" w:line="293" w:lineRule="auto"/>
        <w:ind w:left="351" w:hanging="193"/>
      </w:pPr>
      <w:r>
        <w:rPr>
          <w:rFonts w:ascii="Arial" w:hAnsi="Arial" w:cs="Arial" w:eastAsia="Arial"/>
          <w:color w:val="1B2733"/>
          <w:sz w:val="19"/>
        </w:rPr>
        <w:t>Sumida;</w:t>
      </w:r>
    </w:p>
    <w:p>
      <w:pPr>
        <w:pStyle w:val="ListBullet"/>
        <w:spacing w:before="0" w:after="60" w:line="293" w:lineRule="auto"/>
        <w:ind w:left="351" w:hanging="193"/>
      </w:pPr>
      <w:r>
        <w:rPr>
          <w:rFonts w:ascii="Arial" w:hAnsi="Arial" w:cs="Arial" w:eastAsia="Arial"/>
          <w:color w:val="1B2733"/>
          <w:sz w:val="19"/>
        </w:rPr>
        <w:t>Katsushika;</w:t>
      </w:r>
    </w:p>
    <w:p>
      <w:pPr>
        <w:pStyle w:val="ListBullet"/>
        <w:spacing w:before="0" w:after="60" w:line="293" w:lineRule="auto"/>
        <w:ind w:left="351" w:hanging="193"/>
      </w:pPr>
      <w:r>
        <w:rPr>
          <w:rFonts w:ascii="Arial" w:hAnsi="Arial" w:cs="Arial" w:eastAsia="Arial"/>
          <w:color w:val="1B2733"/>
          <w:sz w:val="19"/>
        </w:rPr>
        <w:t>Suginami;</w:t>
      </w:r>
    </w:p>
    <w:p>
      <w:pPr>
        <w:pStyle w:val="ListBullet"/>
        <w:spacing w:before="0" w:after="60" w:line="293" w:lineRule="auto"/>
        <w:ind w:left="351" w:hanging="193"/>
      </w:pPr>
      <w:r>
        <w:rPr>
          <w:rFonts w:ascii="Arial" w:hAnsi="Arial" w:cs="Arial" w:eastAsia="Arial"/>
          <w:color w:val="1B2733"/>
          <w:sz w:val="19"/>
        </w:rPr>
        <w:t>Adachi. Several procurement notices use essentially the same logic:</w:t>
      </w:r>
    </w:p>
    <w:p>
      <w:pPr>
        <w:pStyle w:val="ListBullet"/>
        <w:spacing w:before="0" w:after="60" w:line="293" w:lineRule="auto"/>
        <w:ind w:left="351" w:hanging="193"/>
      </w:pPr>
      <w:r>
        <w:rPr>
          <w:rFonts w:ascii="Arial" w:hAnsi="Arial" w:cs="Arial" w:eastAsia="Arial"/>
          <w:color w:val="1B2733"/>
          <w:sz w:val="19"/>
        </w:rPr>
        <w:t>equipment was designed and manufactured by Fukushima;</w:t>
      </w:r>
    </w:p>
    <w:p>
      <w:pPr>
        <w:pStyle w:val="ListBullet"/>
        <w:spacing w:before="0" w:after="60" w:line="293" w:lineRule="auto"/>
        <w:ind w:left="351" w:hanging="193"/>
      </w:pPr>
      <w:r>
        <w:rPr>
          <w:rFonts w:ascii="Arial" w:hAnsi="Arial" w:cs="Arial" w:eastAsia="Arial"/>
          <w:color w:val="1B2733"/>
          <w:sz w:val="19"/>
        </w:rPr>
        <w:t>manufacturer-specific technical knowledge is required;</w:t>
      </w:r>
    </w:p>
    <w:p>
      <w:pPr>
        <w:pStyle w:val="ListBullet"/>
        <w:spacing w:before="0" w:after="60" w:line="293" w:lineRule="auto"/>
        <w:ind w:left="351" w:hanging="193"/>
      </w:pPr>
      <w:r>
        <w:rPr>
          <w:rFonts w:ascii="Arial" w:hAnsi="Arial" w:cs="Arial" w:eastAsia="Arial"/>
          <w:color w:val="1B2733"/>
          <w:sz w:val="19"/>
        </w:rPr>
        <w:t>Fukushima is therefore selected for repair or replacement work. The pattern is significant because the evidence is distributed across multiple facilities rather</w:t>
      </w:r>
    </w:p>
    <w:p>
      <w:pPr>
        <w:spacing w:before="0" w:after="120" w:line="307" w:lineRule="auto"/>
      </w:pPr>
      <w:r>
        <w:rPr>
          <w:rFonts w:ascii="Arial" w:hAnsi="Arial" w:cs="Arial" w:eastAsia="Arial"/>
          <w:b w:val="0"/>
          <w:i w:val="0"/>
          <w:color w:val="1B2733"/>
          <w:sz w:val="19"/>
        </w:rPr>
        <w:t>than a single isolated contract. It supports the conclusion that Fukushima has a multi-facility installed base within Tokyo's municipal waste infrastructure . However, the records must still be distinguished between:</w:t>
      </w:r>
    </w:p>
    <w:p>
      <w:pPr>
        <w:pStyle w:val="ListBullet"/>
        <w:spacing w:before="0" w:after="60" w:line="293" w:lineRule="auto"/>
        <w:ind w:left="351" w:hanging="193"/>
      </w:pPr>
      <w:r>
        <w:rPr>
          <w:rFonts w:ascii="Arial" w:hAnsi="Arial" w:cs="Arial" w:eastAsia="Arial"/>
          <w:color w:val="1B2733"/>
          <w:sz w:val="19"/>
        </w:rPr>
        <w:t>successful contract awards;</w:t>
      </w:r>
    </w:p>
    <w:p>
      <w:pPr>
        <w:pStyle w:val="ListBullet"/>
        <w:spacing w:before="0" w:after="60" w:line="293" w:lineRule="auto"/>
        <w:ind w:left="351" w:hanging="193"/>
      </w:pPr>
      <w:r>
        <w:rPr>
          <w:rFonts w:ascii="Arial" w:hAnsi="Arial" w:cs="Arial" w:eastAsia="Arial"/>
          <w:color w:val="1B2733"/>
          <w:sz w:val="19"/>
        </w:rPr>
        <w:t>participation in procurement;</w:t>
      </w:r>
    </w:p>
    <w:p>
      <w:pPr>
        <w:pStyle w:val="ListBullet"/>
        <w:spacing w:before="0" w:after="60" w:line="293" w:lineRule="auto"/>
        <w:ind w:left="351" w:hanging="193"/>
      </w:pPr>
      <w:r>
        <w:rPr>
          <w:rFonts w:ascii="Arial" w:hAnsi="Arial" w:cs="Arial" w:eastAsia="Arial"/>
          <w:color w:val="1B2733"/>
          <w:sz w:val="19"/>
        </w:rPr>
        <w:t>direct/sole-source procurement;</w:t>
      </w:r>
    </w:p>
    <w:p>
      <w:pPr>
        <w:pStyle w:val="ListBullet"/>
        <w:spacing w:before="0" w:after="60" w:line="293" w:lineRule="auto"/>
        <w:ind w:left="351" w:hanging="193"/>
      </w:pPr>
      <w:r>
        <w:rPr>
          <w:rFonts w:ascii="Arial" w:hAnsi="Arial" w:cs="Arial" w:eastAsia="Arial"/>
          <w:color w:val="1B2733"/>
          <w:sz w:val="19"/>
        </w:rPr>
        <w:t>replacement-part procurement. Bid participation alone does not prove that Fukushima won the contract.</w:t>
      </w:r>
    </w:p>
    <w:p>
      <w:pPr>
        <w:pStyle w:val="Heading1"/>
        <w:keepNext/>
        <w:spacing w:before="280" w:after="60" w:line="252" w:lineRule="auto"/>
        <w:pBdr>
          <w:bottom w:val="single" w:sz="12" w:space="4" w:color="1F4E79"/>
        </w:pBdr>
      </w:pPr>
      <w:r>
        <w:rPr>
          <w:rFonts w:ascii="Arial" w:hAnsi="Arial" w:cs="Arial" w:eastAsia="Arial"/>
          <w:b/>
          <w:color w:val="1F4E79"/>
          <w:sz w:val="30"/>
        </w:rPr>
        <w:t>5.4 Sapporo</w:t>
      </w:r>
    </w:p>
    <w:p>
      <w:pPr>
        <w:spacing w:before="0" w:after="120" w:line="307" w:lineRule="auto"/>
      </w:pPr>
      <w:r>
        <w:rPr>
          <w:rFonts w:ascii="Arial" w:hAnsi="Arial" w:cs="Arial" w:eastAsia="Arial"/>
          <w:b w:val="0"/>
          <w:i w:val="0"/>
          <w:color w:val="1B2733"/>
          <w:sz w:val="19"/>
        </w:rPr>
        <w:t>Sapporo City procurement records identify Fukushima in connection with replacement components for waste-crane buckets. This is consistent with the broader pattern: Fukushima equipment → municipal waste plant → installed base → replacement components. The relevance for customer intelligence is greater than the value of a single contract because it demonstrates continuing aftermarket demand.</w:t>
      </w:r>
    </w:p>
    <w:p>
      <w:pPr>
        <w:pStyle w:val="Heading1"/>
        <w:keepNext/>
        <w:spacing w:before="280" w:after="60" w:line="252" w:lineRule="auto"/>
        <w:pBdr>
          <w:bottom w:val="single" w:sz="12" w:space="4" w:color="1F4E79"/>
        </w:pBdr>
      </w:pPr>
      <w:r>
        <w:rPr>
          <w:rFonts w:ascii="Arial" w:hAnsi="Arial" w:cs="Arial" w:eastAsia="Arial"/>
          <w:b/>
          <w:color w:val="1F4E79"/>
          <w:sz w:val="30"/>
        </w:rPr>
        <w:t>6. Naval Procurement Intelligence</w:t>
      </w:r>
    </w:p>
    <w:p>
      <w:pPr>
        <w:spacing w:before="0" w:after="120" w:line="307" w:lineRule="auto"/>
      </w:pPr>
      <w:r>
        <w:rPr>
          <w:rFonts w:ascii="Arial" w:hAnsi="Arial" w:cs="Arial" w:eastAsia="Arial"/>
          <w:b w:val="0"/>
          <w:i w:val="0"/>
          <w:color w:val="1B2733"/>
          <w:sz w:val="19"/>
        </w:rPr>
        <w:t>The Japanese naval sector provides the strongest government procurement evidence in the investigation. The Maritime Self-Defense Force has published procurement documentation explicitly identifying Fukushima Seisakusho as the manufacturer of crane-related components. One official procurement catalogue identifies:クレーン装置関連部品-株式会社福島製作所with the representative application:デッキクレーン. This directly establishes Fukushima as the identified manufacturer for relevant deck-crane components used in JMSDF equipment. This is considerably stronger than an industry inference.</w:t>
      </w:r>
    </w:p>
    <w:p>
      <w:pPr>
        <w:pStyle w:val="Heading1"/>
        <w:keepNext/>
        <w:spacing w:before="280" w:after="60" w:line="252" w:lineRule="auto"/>
        <w:pBdr>
          <w:bottom w:val="single" w:sz="12" w:space="4" w:color="1F4E79"/>
        </w:pBdr>
      </w:pPr>
      <w:r>
        <w:rPr>
          <w:rFonts w:ascii="Arial" w:hAnsi="Arial" w:cs="Arial" w:eastAsia="Arial"/>
          <w:b/>
          <w:color w:val="1F4E79"/>
          <w:sz w:val="30"/>
        </w:rPr>
        <w:t>7. Deck Cranes</w:t>
      </w:r>
    </w:p>
    <w:p>
      <w:pPr>
        <w:spacing w:before="0" w:after="120" w:line="307" w:lineRule="auto"/>
      </w:pPr>
      <w:r>
        <w:rPr>
          <w:rFonts w:ascii="Arial" w:hAnsi="Arial" w:cs="Arial" w:eastAsia="Arial"/>
          <w:b w:val="0"/>
          <w:i w:val="0"/>
          <w:color w:val="1B2733"/>
          <w:sz w:val="19"/>
        </w:rPr>
        <w:t>Fukushima's naval footprint includes:</w:t>
      </w:r>
    </w:p>
    <w:p>
      <w:pPr>
        <w:pStyle w:val="ListBullet"/>
        <w:spacing w:before="0" w:after="60" w:line="293" w:lineRule="auto"/>
        <w:ind w:left="351" w:hanging="193"/>
      </w:pPr>
      <w:r>
        <w:rPr>
          <w:rFonts w:ascii="Arial" w:hAnsi="Arial" w:cs="Arial" w:eastAsia="Arial"/>
          <w:color w:val="1B2733"/>
          <w:sz w:val="19"/>
        </w:rPr>
        <w:t>deck cranes;</w:t>
      </w:r>
    </w:p>
    <w:p>
      <w:pPr>
        <w:pStyle w:val="ListBullet"/>
        <w:spacing w:before="0" w:after="60" w:line="293" w:lineRule="auto"/>
        <w:ind w:left="351" w:hanging="193"/>
      </w:pPr>
      <w:r>
        <w:rPr>
          <w:rFonts w:ascii="Arial" w:hAnsi="Arial" w:cs="Arial" w:eastAsia="Arial"/>
          <w:color w:val="1B2733"/>
          <w:sz w:val="19"/>
        </w:rPr>
        <w:t>crane-related components;</w:t>
      </w:r>
    </w:p>
    <w:p>
      <w:pPr>
        <w:pStyle w:val="ListBullet"/>
        <w:spacing w:before="0" w:after="60" w:line="293" w:lineRule="auto"/>
        <w:ind w:left="351" w:hanging="193"/>
      </w:pPr>
      <w:r>
        <w:rPr>
          <w:rFonts w:ascii="Arial" w:hAnsi="Arial" w:cs="Arial" w:eastAsia="Arial"/>
          <w:color w:val="1B2733"/>
          <w:sz w:val="19"/>
        </w:rPr>
        <w:t>hydraulic components;</w:t>
      </w:r>
    </w:p>
    <w:p>
      <w:pPr>
        <w:pStyle w:val="ListBullet"/>
        <w:spacing w:before="0" w:after="60" w:line="293" w:lineRule="auto"/>
        <w:ind w:left="351" w:hanging="193"/>
      </w:pPr>
      <w:r>
        <w:rPr>
          <w:rFonts w:ascii="Arial" w:hAnsi="Arial" w:cs="Arial" w:eastAsia="Arial"/>
          <w:color w:val="1B2733"/>
          <w:sz w:val="19"/>
        </w:rPr>
        <w:t>inspection kits;</w:t>
      </w:r>
    </w:p>
    <w:p>
      <w:pPr>
        <w:pStyle w:val="ListBullet"/>
        <w:spacing w:before="0" w:after="60" w:line="293" w:lineRule="auto"/>
        <w:ind w:left="351" w:hanging="193"/>
      </w:pPr>
      <w:r>
        <w:rPr>
          <w:rFonts w:ascii="Arial" w:hAnsi="Arial" w:cs="Arial" w:eastAsia="Arial"/>
          <w:color w:val="1B2733"/>
          <w:sz w:val="19"/>
        </w:rPr>
        <w:t>overhaul kits;</w:t>
      </w:r>
    </w:p>
    <w:p>
      <w:pPr>
        <w:pStyle w:val="ListBullet"/>
        <w:spacing w:before="0" w:after="60" w:line="293" w:lineRule="auto"/>
        <w:ind w:left="351" w:hanging="193"/>
      </w:pPr>
      <w:r>
        <w:rPr>
          <w:rFonts w:ascii="Arial" w:hAnsi="Arial" w:cs="Arial" w:eastAsia="Arial"/>
          <w:color w:val="1B2733"/>
          <w:sz w:val="19"/>
        </w:rPr>
        <w:t>replacement equipment. A separate Ministry of Defense procurement notice published in 2025 concerned:中折式デッキクレーン(むらさめ型用)</w:t>
      </w:r>
    </w:p>
    <w:p>
      <w:pPr>
        <w:spacing w:before="0" w:after="120" w:line="307" w:lineRule="auto"/>
      </w:pPr>
      <w:r>
        <w:rPr>
          <w:rFonts w:ascii="Arial" w:hAnsi="Arial" w:cs="Arial" w:eastAsia="Arial"/>
          <w:b w:val="0"/>
          <w:i w:val="0"/>
          <w:color w:val="1B2733"/>
          <w:sz w:val="19"/>
        </w:rPr>
        <w:t>or a folding deck crane for the Murasame class. The tender was issued by the Acquisition, Technology &amp; Logistics Agency. The procurement establishes a Murasame-class application, although the public notice alone does not establish the identity of the exact vessel on which the equipment was ultimately installed. Therefore the evidence should be represented as: Fukushima → deck-crane technology / procurement → Murasame class rather than: Fukushima → specific Murasame-class vessel unless an additional vessel-level document is found.</w:t>
      </w:r>
    </w:p>
    <w:p>
      <w:pPr>
        <w:pStyle w:val="Heading1"/>
        <w:keepNext/>
        <w:spacing w:before="280" w:after="60" w:line="252" w:lineRule="auto"/>
        <w:pBdr>
          <w:bottom w:val="single" w:sz="12" w:space="4" w:color="1F4E79"/>
        </w:pBdr>
      </w:pPr>
      <w:r>
        <w:rPr>
          <w:rFonts w:ascii="Arial" w:hAnsi="Arial" w:cs="Arial" w:eastAsia="Arial"/>
          <w:b/>
          <w:color w:val="1F4E79"/>
          <w:sz w:val="30"/>
        </w:rPr>
        <w:t>8. JS Bungo</w:t>
      </w:r>
    </w:p>
    <w:p>
      <w:pPr>
        <w:spacing w:before="0" w:after="120" w:line="307" w:lineRule="auto"/>
      </w:pPr>
      <w:r>
        <w:rPr>
          <w:rFonts w:ascii="Arial" w:hAnsi="Arial" w:cs="Arial" w:eastAsia="Arial"/>
          <w:b w:val="0"/>
          <w:i w:val="0"/>
          <w:color w:val="1B2733"/>
          <w:sz w:val="19"/>
        </w:rPr>
        <w:t>A particularly valuable procurement record identifies a deck-crane inspection kit for JS Bungo . This is one of the strongest vessel-level findings in the investigation because it links: supplier → equipment → maintenance activity → named vessel. The procurement value was approximately ¥29.16 million. This is materially stronger than a generic statement that Fukushima supplies the JMSDF. The relationship can therefore be classified: Evidence level: Confirmed Fukushima Seisakusho → deck-crane inspection/maintenance procurement → JS Bungo</w:t>
      </w:r>
    </w:p>
    <w:p>
      <w:pPr>
        <w:pStyle w:val="Heading1"/>
        <w:keepNext/>
        <w:spacing w:before="280" w:after="60" w:line="252" w:lineRule="auto"/>
        <w:pBdr>
          <w:bottom w:val="single" w:sz="12" w:space="4" w:color="1F4E79"/>
        </w:pBdr>
      </w:pPr>
      <w:r>
        <w:rPr>
          <w:rFonts w:ascii="Arial" w:hAnsi="Arial" w:cs="Arial" w:eastAsia="Arial"/>
          <w:b/>
          <w:color w:val="1F4E79"/>
          <w:sz w:val="30"/>
        </w:rPr>
        <w:t>9. Anchor Windlass and Mooring</w:t>
      </w:r>
    </w:p>
    <w:p>
      <w:pPr>
        <w:pStyle w:val="Heading1"/>
        <w:keepNext/>
        <w:spacing w:before="280" w:after="60" w:line="252" w:lineRule="auto"/>
        <w:pBdr>
          <w:bottom w:val="single" w:sz="12" w:space="4" w:color="1F4E79"/>
        </w:pBdr>
      </w:pPr>
      <w:r>
        <w:rPr>
          <w:rFonts w:ascii="Arial" w:hAnsi="Arial" w:cs="Arial" w:eastAsia="Arial"/>
          <w:b/>
          <w:color w:val="1F4E79"/>
          <w:sz w:val="30"/>
        </w:rPr>
        <w:t>Systems</w:t>
      </w:r>
    </w:p>
    <w:p>
      <w:pPr>
        <w:spacing w:before="0" w:after="120" w:line="307" w:lineRule="auto"/>
      </w:pPr>
      <w:r>
        <w:rPr>
          <w:rFonts w:ascii="Arial" w:hAnsi="Arial" w:cs="Arial" w:eastAsia="Arial"/>
          <w:b w:val="0"/>
          <w:i w:val="0"/>
          <w:color w:val="1B2733"/>
          <w:sz w:val="19"/>
        </w:rPr>
        <w:t>Fukushima's naval footprint is not limited to deck cranes. Japanese naval procurement documents also identify Fukushima in relation to:</w:t>
      </w:r>
    </w:p>
    <w:p>
      <w:pPr>
        <w:pStyle w:val="ListBullet"/>
        <w:spacing w:before="0" w:after="60" w:line="293" w:lineRule="auto"/>
        <w:ind w:left="351" w:hanging="193"/>
      </w:pPr>
      <w:r>
        <w:rPr>
          <w:rFonts w:ascii="Arial" w:hAnsi="Arial" w:cs="Arial" w:eastAsia="Arial"/>
          <w:color w:val="1B2733"/>
          <w:sz w:val="19"/>
        </w:rPr>
        <w:t>anchor-windlass components;</w:t>
      </w:r>
    </w:p>
    <w:p>
      <w:pPr>
        <w:pStyle w:val="ListBullet"/>
        <w:spacing w:before="0" w:after="60" w:line="293" w:lineRule="auto"/>
        <w:ind w:left="351" w:hanging="193"/>
      </w:pPr>
      <w:r>
        <w:rPr>
          <w:rFonts w:ascii="Arial" w:hAnsi="Arial" w:cs="Arial" w:eastAsia="Arial"/>
          <w:color w:val="1B2733"/>
          <w:sz w:val="19"/>
        </w:rPr>
        <w:t>mooring equipment;</w:t>
      </w:r>
    </w:p>
    <w:p>
      <w:pPr>
        <w:pStyle w:val="ListBullet"/>
        <w:spacing w:before="0" w:after="60" w:line="293" w:lineRule="auto"/>
        <w:ind w:left="351" w:hanging="193"/>
      </w:pPr>
      <w:r>
        <w:rPr>
          <w:rFonts w:ascii="Arial" w:hAnsi="Arial" w:cs="Arial" w:eastAsia="Arial"/>
          <w:color w:val="1B2733"/>
          <w:sz w:val="19"/>
        </w:rPr>
        <w:t>hydraulic equipment;</w:t>
      </w:r>
    </w:p>
    <w:p>
      <w:pPr>
        <w:pStyle w:val="ListBullet"/>
        <w:spacing w:before="0" w:after="60" w:line="293" w:lineRule="auto"/>
        <w:ind w:left="351" w:hanging="193"/>
      </w:pPr>
      <w:r>
        <w:rPr>
          <w:rFonts w:ascii="Arial" w:hAnsi="Arial" w:cs="Arial" w:eastAsia="Arial"/>
          <w:color w:val="1B2733"/>
          <w:sz w:val="19"/>
        </w:rPr>
        <w:t>electrical equipment associated with anchor/mooring systems. A current JMSDF procurement document identifies Fukushima as the manufacturer for relevant hydraulic equipment parts, while earlier procurement documentation explicitly identifies Fukushima-made components for shipboard equipment.</w:t>
      </w:r>
    </w:p>
    <w:p>
      <w:pPr>
        <w:spacing w:before="0" w:after="120" w:line="307" w:lineRule="auto"/>
      </w:pPr>
      <w:r>
        <w:rPr>
          <w:rFonts w:ascii="Arial" w:hAnsi="Arial" w:cs="Arial" w:eastAsia="Arial"/>
          <w:b w:val="0"/>
          <w:i w:val="0"/>
          <w:color w:val="1B2733"/>
          <w:sz w:val="19"/>
        </w:rPr>
        <w:t>Another JMSDF procurement notice identifies Fukushima for inspection, repair, investigation and modification of electrical equipment associated with:揚錨・係船装置(anchor and mooring equipment). This provides independent evidence that the company's naval relationship extends across several equipment subsystems.</w:t>
      </w:r>
    </w:p>
    <w:p>
      <w:pPr>
        <w:pStyle w:val="Heading1"/>
        <w:keepNext/>
        <w:spacing w:before="280" w:after="60" w:line="252" w:lineRule="auto"/>
        <w:pBdr>
          <w:bottom w:val="single" w:sz="12" w:space="4" w:color="1F4E79"/>
        </w:pBdr>
      </w:pPr>
      <w:r>
        <w:rPr>
          <w:rFonts w:ascii="Arial" w:hAnsi="Arial" w:cs="Arial" w:eastAsia="Arial"/>
          <w:b/>
          <w:color w:val="1F4E79"/>
          <w:sz w:val="30"/>
        </w:rPr>
        <w:t>10. Defence Customer Model</w:t>
      </w:r>
    </w:p>
    <w:p>
      <w:pPr>
        <w:spacing w:before="0" w:after="120" w:line="307" w:lineRule="auto"/>
      </w:pPr>
      <w:r>
        <w:rPr>
          <w:rFonts w:ascii="Arial" w:hAnsi="Arial" w:cs="Arial" w:eastAsia="Arial"/>
          <w:b w:val="0"/>
          <w:i w:val="0"/>
          <w:color w:val="1B2733"/>
          <w:sz w:val="19"/>
        </w:rPr>
        <w:t>The evidence suggests a lifecycle relationship rather than a simple equipment sale: Fukushima ↓ deck crane / anchor windlass / hydraulic system ↓ JMSDF vessel ↓ inspection ↓ repair ↓ replacement components ↓ overhaul / modernization The 2025 Murasame-class procurement further indicates that the relationship can extend to new or replacement equipment, rather than being limited to spare parts. This is commercially significant because naval equipment generally operates under long lifecycle requirements. The public record therefore supports the interpretation that Fukushima participates in long-term installed-base support , although public sources do not provide enough information to calculate the company's total defence revenue or customer concentration.</w:t>
      </w:r>
    </w:p>
    <w:p>
      <w:pPr>
        <w:pStyle w:val="Heading1"/>
        <w:keepNext/>
        <w:spacing w:before="280" w:after="60" w:line="252" w:lineRule="auto"/>
        <w:pBdr>
          <w:bottom w:val="single" w:sz="12" w:space="4" w:color="1F4E79"/>
        </w:pBdr>
      </w:pPr>
      <w:r>
        <w:rPr>
          <w:rFonts w:ascii="Arial" w:hAnsi="Arial" w:cs="Arial" w:eastAsia="Arial"/>
          <w:b/>
          <w:color w:val="1F4E79"/>
          <w:sz w:val="30"/>
        </w:rPr>
        <w:t>11. Commercial Marine Customer</w:t>
      </w:r>
    </w:p>
    <w:p>
      <w:pPr>
        <w:pStyle w:val="Heading1"/>
        <w:keepNext/>
        <w:spacing w:before="280" w:after="60" w:line="252" w:lineRule="auto"/>
        <w:pBdr>
          <w:bottom w:val="single" w:sz="12" w:space="4" w:color="1F4E79"/>
        </w:pBdr>
      </w:pPr>
      <w:r>
        <w:rPr>
          <w:rFonts w:ascii="Arial" w:hAnsi="Arial" w:cs="Arial" w:eastAsia="Arial"/>
          <w:b/>
          <w:color w:val="1F4E79"/>
          <w:sz w:val="30"/>
        </w:rPr>
        <w:t>Network</w:t>
      </w:r>
    </w:p>
    <w:p>
      <w:pPr>
        <w:spacing w:before="0" w:after="120" w:line="307" w:lineRule="auto"/>
      </w:pPr>
      <w:r>
        <w:rPr>
          <w:rFonts w:ascii="Arial" w:hAnsi="Arial" w:cs="Arial" w:eastAsia="Arial"/>
          <w:b w:val="0"/>
          <w:i w:val="0"/>
          <w:color w:val="1B2733"/>
          <w:sz w:val="19"/>
        </w:rPr>
        <w:t>Fukushima's current public recruitment disclosure identifies a number of major customers for its marine machinery and special winches. The disclosed companies include:</w:t>
      </w:r>
    </w:p>
    <w:p>
      <w:pPr>
        <w:pStyle w:val="ListBullet"/>
        <w:spacing w:before="0" w:after="60" w:line="293" w:lineRule="auto"/>
        <w:ind w:left="351" w:hanging="193"/>
      </w:pPr>
      <w:r>
        <w:rPr>
          <w:rFonts w:ascii="Arial" w:hAnsi="Arial" w:cs="Arial" w:eastAsia="Arial"/>
          <w:color w:val="1B2733"/>
          <w:sz w:val="19"/>
        </w:rPr>
        <w:t>Japan Marine United;</w:t>
      </w:r>
    </w:p>
    <w:p>
      <w:pPr>
        <w:pStyle w:val="ListBullet"/>
        <w:spacing w:before="0" w:after="60" w:line="293" w:lineRule="auto"/>
        <w:ind w:left="351" w:hanging="193"/>
      </w:pPr>
      <w:r>
        <w:rPr>
          <w:rFonts w:ascii="Arial" w:hAnsi="Arial" w:cs="Arial" w:eastAsia="Arial"/>
          <w:color w:val="1B2733"/>
          <w:sz w:val="19"/>
        </w:rPr>
        <w:t>Mitsubishi Shipbuilding;</w:t>
      </w:r>
    </w:p>
    <w:p>
      <w:pPr>
        <w:pStyle w:val="ListBullet"/>
        <w:spacing w:before="0" w:after="60" w:line="293" w:lineRule="auto"/>
        <w:ind w:left="351" w:hanging="193"/>
      </w:pPr>
      <w:r>
        <w:rPr>
          <w:rFonts w:ascii="Arial" w:hAnsi="Arial" w:cs="Arial" w:eastAsia="Arial"/>
          <w:color w:val="1B2733"/>
          <w:sz w:val="19"/>
        </w:rPr>
        <w:t>Mitsui E&amp;S;</w:t>
      </w:r>
    </w:p>
    <w:p>
      <w:pPr>
        <w:pStyle w:val="ListBullet"/>
        <w:spacing w:before="0" w:after="60" w:line="293" w:lineRule="auto"/>
        <w:ind w:left="351" w:hanging="193"/>
      </w:pPr>
      <w:r>
        <w:rPr>
          <w:rFonts w:ascii="Arial" w:hAnsi="Arial" w:cs="Arial" w:eastAsia="Arial"/>
          <w:color w:val="1B2733"/>
          <w:sz w:val="19"/>
        </w:rPr>
        <w:t>Daewoo Shipbuilding &amp; Marine Engineering;</w:t>
      </w:r>
    </w:p>
    <w:p>
      <w:pPr>
        <w:pStyle w:val="ListBullet"/>
        <w:spacing w:before="0" w:after="60" w:line="293" w:lineRule="auto"/>
        <w:ind w:left="351" w:hanging="193"/>
      </w:pPr>
      <w:r>
        <w:rPr>
          <w:rFonts w:ascii="Arial" w:hAnsi="Arial" w:cs="Arial" w:eastAsia="Arial"/>
          <w:color w:val="1B2733"/>
          <w:sz w:val="19"/>
        </w:rPr>
        <w:t>Hyundai Heavy Industries;</w:t>
      </w:r>
    </w:p>
    <w:p>
      <w:pPr>
        <w:pStyle w:val="ListBullet"/>
        <w:spacing w:before="0" w:after="60" w:line="293" w:lineRule="auto"/>
        <w:ind w:left="351" w:hanging="193"/>
      </w:pPr>
      <w:r>
        <w:rPr>
          <w:rFonts w:ascii="Arial" w:hAnsi="Arial" w:cs="Arial" w:eastAsia="Arial"/>
          <w:color w:val="1B2733"/>
          <w:sz w:val="19"/>
        </w:rPr>
        <w:t>government organizations. This is strong evidence for company-level commercial relationships , because the source explicitly categorizes these organizations as major customers. However, the downstream chain needs to be interpreted carefully.</w:t>
      </w:r>
    </w:p>
    <w:p>
      <w:pPr>
        <w:spacing w:before="0" w:after="120" w:line="307" w:lineRule="auto"/>
      </w:pPr>
      <w:r>
        <w:rPr>
          <w:rFonts w:ascii="Arial" w:hAnsi="Arial" w:cs="Arial" w:eastAsia="Arial"/>
          <w:b w:val="0"/>
          <w:i w:val="0"/>
          <w:color w:val="1B2733"/>
          <w:sz w:val="19"/>
        </w:rPr>
        <w:t>For example: Fukushima → Japan Marine United does not automatically mean: Fukushima → vessel owner operating a ship built by JMU. The shipbuilder can act as:</w:t>
      </w:r>
    </w:p>
    <w:p>
      <w:pPr>
        <w:pStyle w:val="ListBullet"/>
        <w:spacing w:before="0" w:after="60" w:line="293" w:lineRule="auto"/>
        <w:ind w:left="351" w:hanging="193"/>
      </w:pPr>
      <w:r>
        <w:rPr>
          <w:rFonts w:ascii="Arial" w:hAnsi="Arial" w:cs="Arial" w:eastAsia="Arial"/>
          <w:color w:val="1B2733"/>
          <w:sz w:val="19"/>
        </w:rPr>
        <w:t>purchaser;</w:t>
      </w:r>
    </w:p>
    <w:p>
      <w:pPr>
        <w:pStyle w:val="ListBullet"/>
        <w:spacing w:before="0" w:after="60" w:line="293" w:lineRule="auto"/>
        <w:ind w:left="351" w:hanging="193"/>
      </w:pPr>
      <w:r>
        <w:rPr>
          <w:rFonts w:ascii="Arial" w:hAnsi="Arial" w:cs="Arial" w:eastAsia="Arial"/>
          <w:color w:val="1B2733"/>
          <w:sz w:val="19"/>
        </w:rPr>
        <w:t>integrator;</w:t>
      </w:r>
    </w:p>
    <w:p>
      <w:pPr>
        <w:pStyle w:val="ListBullet"/>
        <w:spacing w:before="0" w:after="60" w:line="293" w:lineRule="auto"/>
        <w:ind w:left="351" w:hanging="193"/>
      </w:pPr>
      <w:r>
        <w:rPr>
          <w:rFonts w:ascii="Arial" w:hAnsi="Arial" w:cs="Arial" w:eastAsia="Arial"/>
          <w:color w:val="1B2733"/>
          <w:sz w:val="19"/>
        </w:rPr>
        <w:t>shipyard;</w:t>
      </w:r>
    </w:p>
    <w:p>
      <w:pPr>
        <w:pStyle w:val="ListBullet"/>
        <w:spacing w:before="0" w:after="60" w:line="293" w:lineRule="auto"/>
        <w:ind w:left="351" w:hanging="193"/>
      </w:pPr>
      <w:r>
        <w:rPr>
          <w:rFonts w:ascii="Arial" w:hAnsi="Arial" w:cs="Arial" w:eastAsia="Arial"/>
          <w:color w:val="1B2733"/>
          <w:sz w:val="19"/>
        </w:rPr>
        <w:t>equipment installer;</w:t>
      </w:r>
    </w:p>
    <w:p>
      <w:pPr>
        <w:pStyle w:val="ListBullet"/>
        <w:spacing w:before="0" w:after="60" w:line="293" w:lineRule="auto"/>
        <w:ind w:left="351" w:hanging="193"/>
      </w:pPr>
      <w:r>
        <w:rPr>
          <w:rFonts w:ascii="Arial" w:hAnsi="Arial" w:cs="Arial" w:eastAsia="Arial"/>
          <w:color w:val="1B2733"/>
          <w:sz w:val="19"/>
        </w:rPr>
        <w:t>project contractor. The ultimate vessel owner/operator is therefore a separate investigative layer.</w:t>
      </w:r>
    </w:p>
    <w:p>
      <w:pPr>
        <w:pStyle w:val="Heading1"/>
        <w:keepNext/>
        <w:spacing w:before="280" w:after="60" w:line="252" w:lineRule="auto"/>
        <w:pBdr>
          <w:bottom w:val="single" w:sz="12" w:space="4" w:color="1F4E79"/>
        </w:pBdr>
      </w:pPr>
      <w:r>
        <w:rPr>
          <w:rFonts w:ascii="Arial" w:hAnsi="Arial" w:cs="Arial" w:eastAsia="Arial"/>
          <w:b/>
          <w:color w:val="1F4E79"/>
          <w:sz w:val="30"/>
        </w:rPr>
        <w:t>12. Marine Aftermarket</w:t>
      </w:r>
    </w:p>
    <w:p>
      <w:pPr>
        <w:spacing w:before="0" w:after="120" w:line="307" w:lineRule="auto"/>
      </w:pPr>
      <w:r>
        <w:rPr>
          <w:rFonts w:ascii="Arial" w:hAnsi="Arial" w:cs="Arial" w:eastAsia="Arial"/>
          <w:b w:val="0"/>
          <w:i w:val="0"/>
          <w:color w:val="1B2733"/>
          <w:sz w:val="19"/>
        </w:rPr>
        <w:t>Fukushima's own marine service documentation provides strong evidence that its business model extends beyond initial equipment sales. The company explicitly states that it provides after-sales service based on accumulated experience and technical expertise. Its marine service offering includes:</w:t>
      </w:r>
    </w:p>
    <w:p>
      <w:pPr>
        <w:pStyle w:val="ListBullet"/>
        <w:spacing w:before="0" w:after="60" w:line="293" w:lineRule="auto"/>
        <w:ind w:left="351" w:hanging="193"/>
      </w:pPr>
      <w:r>
        <w:rPr>
          <w:rFonts w:ascii="Arial" w:hAnsi="Arial" w:cs="Arial" w:eastAsia="Arial"/>
          <w:color w:val="1B2733"/>
          <w:sz w:val="19"/>
        </w:rPr>
        <w:t>spare parts;</w:t>
      </w:r>
    </w:p>
    <w:p>
      <w:pPr>
        <w:pStyle w:val="ListBullet"/>
        <w:spacing w:before="0" w:after="60" w:line="293" w:lineRule="auto"/>
        <w:ind w:left="351" w:hanging="193"/>
      </w:pPr>
      <w:r>
        <w:rPr>
          <w:rFonts w:ascii="Arial" w:hAnsi="Arial" w:cs="Arial" w:eastAsia="Arial"/>
          <w:color w:val="1B2733"/>
          <w:sz w:val="19"/>
        </w:rPr>
        <w:t>inspection;</w:t>
      </w:r>
    </w:p>
    <w:p>
      <w:pPr>
        <w:pStyle w:val="ListBullet"/>
        <w:spacing w:before="0" w:after="60" w:line="293" w:lineRule="auto"/>
        <w:ind w:left="351" w:hanging="193"/>
      </w:pPr>
      <w:r>
        <w:rPr>
          <w:rFonts w:ascii="Arial" w:hAnsi="Arial" w:cs="Arial" w:eastAsia="Arial"/>
          <w:color w:val="1B2733"/>
          <w:sz w:val="19"/>
        </w:rPr>
        <w:t>onboard maintenance;</w:t>
      </w:r>
    </w:p>
    <w:p>
      <w:pPr>
        <w:pStyle w:val="ListBullet"/>
        <w:spacing w:before="0" w:after="60" w:line="293" w:lineRule="auto"/>
        <w:ind w:left="351" w:hanging="193"/>
      </w:pPr>
      <w:r>
        <w:rPr>
          <w:rFonts w:ascii="Arial" w:hAnsi="Arial" w:cs="Arial" w:eastAsia="Arial"/>
          <w:color w:val="1B2733"/>
          <w:sz w:val="19"/>
        </w:rPr>
        <w:t>maintenance planning;</w:t>
      </w:r>
    </w:p>
    <w:p>
      <w:pPr>
        <w:pStyle w:val="ListBullet"/>
        <w:spacing w:before="0" w:after="60" w:line="293" w:lineRule="auto"/>
        <w:ind w:left="351" w:hanging="193"/>
      </w:pPr>
      <w:r>
        <w:rPr>
          <w:rFonts w:ascii="Arial" w:hAnsi="Arial" w:cs="Arial" w:eastAsia="Arial"/>
          <w:color w:val="1B2733"/>
          <w:sz w:val="19"/>
        </w:rPr>
        <w:t>repair;</w:t>
      </w:r>
    </w:p>
    <w:p>
      <w:pPr>
        <w:pStyle w:val="ListBullet"/>
        <w:spacing w:before="0" w:after="60" w:line="293" w:lineRule="auto"/>
        <w:ind w:left="351" w:hanging="193"/>
      </w:pPr>
      <w:r>
        <w:rPr>
          <w:rFonts w:ascii="Arial" w:hAnsi="Arial" w:cs="Arial" w:eastAsia="Arial"/>
          <w:color w:val="1B2733"/>
          <w:sz w:val="19"/>
        </w:rPr>
        <w:t>modification;</w:t>
      </w:r>
    </w:p>
    <w:p>
      <w:pPr>
        <w:pStyle w:val="ListBullet"/>
        <w:spacing w:before="0" w:after="60" w:line="293" w:lineRule="auto"/>
        <w:ind w:left="351" w:hanging="193"/>
      </w:pPr>
      <w:r>
        <w:rPr>
          <w:rFonts w:ascii="Arial" w:hAnsi="Arial" w:cs="Arial" w:eastAsia="Arial"/>
          <w:color w:val="1B2733"/>
          <w:sz w:val="19"/>
        </w:rPr>
        <w:t>replacement;</w:t>
      </w:r>
    </w:p>
    <w:p>
      <w:pPr>
        <w:pStyle w:val="ListBullet"/>
        <w:spacing w:before="0" w:after="60" w:line="293" w:lineRule="auto"/>
        <w:ind w:left="351" w:hanging="193"/>
      </w:pPr>
      <w:r>
        <w:rPr>
          <w:rFonts w:ascii="Arial" w:hAnsi="Arial" w:cs="Arial" w:eastAsia="Arial"/>
          <w:color w:val="1B2733"/>
          <w:sz w:val="19"/>
        </w:rPr>
        <w:t>retrofit work. It also states that service engineers can be dispatched worldwide in response to customer requests. This is a critical commercial finding.</w:t>
      </w:r>
    </w:p>
    <w:p>
      <w:pPr>
        <w:spacing w:before="0" w:after="120" w:line="307" w:lineRule="auto"/>
      </w:pPr>
      <w:r>
        <w:rPr>
          <w:rFonts w:ascii="Arial" w:hAnsi="Arial" w:cs="Arial" w:eastAsia="Arial"/>
          <w:b w:val="0"/>
          <w:i w:val="0"/>
          <w:color w:val="1B2733"/>
          <w:sz w:val="19"/>
        </w:rPr>
        <w:t>The downstream model is therefore: shipyard / vessel installation → installed equipment → global service requirement → parts → inspection → repair → retrofit. The company also states that it increasingly maintains equipment manufactured by other companies, meaning that its service business is not restricted entirely to its own installed base.</w:t>
      </w:r>
    </w:p>
    <w:p>
      <w:pPr>
        <w:pStyle w:val="Heading1"/>
        <w:keepNext/>
        <w:spacing w:before="280" w:after="60" w:line="252" w:lineRule="auto"/>
        <w:pBdr>
          <w:bottom w:val="single" w:sz="12" w:space="4" w:color="1F4E79"/>
        </w:pBdr>
      </w:pPr>
      <w:r>
        <w:rPr>
          <w:rFonts w:ascii="Arial" w:hAnsi="Arial" w:cs="Arial" w:eastAsia="Arial"/>
          <w:b/>
          <w:color w:val="1F4E79"/>
          <w:sz w:val="30"/>
        </w:rPr>
        <w:t>13. Installed Base as the Core</w:t>
      </w:r>
    </w:p>
    <w:p>
      <w:pPr>
        <w:pStyle w:val="Heading1"/>
        <w:keepNext/>
        <w:spacing w:before="280" w:after="60" w:line="252" w:lineRule="auto"/>
        <w:pBdr>
          <w:bottom w:val="single" w:sz="12" w:space="4" w:color="1F4E79"/>
        </w:pBdr>
      </w:pPr>
      <w:r>
        <w:rPr>
          <w:rFonts w:ascii="Arial" w:hAnsi="Arial" w:cs="Arial" w:eastAsia="Arial"/>
          <w:b/>
          <w:color w:val="1F4E79"/>
          <w:sz w:val="30"/>
        </w:rPr>
        <w:t>Commercial Asset</w:t>
      </w:r>
    </w:p>
    <w:p>
      <w:pPr>
        <w:spacing w:before="0" w:after="120" w:line="307" w:lineRule="auto"/>
      </w:pPr>
      <w:r>
        <w:rPr>
          <w:rFonts w:ascii="Arial" w:hAnsi="Arial" w:cs="Arial" w:eastAsia="Arial"/>
          <w:b w:val="0"/>
          <w:i w:val="0"/>
          <w:color w:val="1B2733"/>
          <w:sz w:val="19"/>
        </w:rPr>
        <w:t>The company's marine service model suggests that installed equipment is one of its most important commercial assets. Fukushima's public materials describe equipment installed across thousands of vessels worldwide. The precise installed-base number should be treated as company-reported rather than independently audited. The important intelligence finding is not the exact number. It is the structure: A large historical equipment base creates recurring aftermarket opportunities independently of new-vessel construction cycles. This helps explain why the company publicly emphasizes:</w:t>
      </w:r>
    </w:p>
    <w:p>
      <w:pPr>
        <w:pStyle w:val="ListBullet"/>
        <w:spacing w:before="0" w:after="60" w:line="293" w:lineRule="auto"/>
        <w:ind w:left="351" w:hanging="193"/>
      </w:pPr>
      <w:r>
        <w:rPr>
          <w:rFonts w:ascii="Arial" w:hAnsi="Arial" w:cs="Arial" w:eastAsia="Arial"/>
          <w:color w:val="1B2733"/>
          <w:sz w:val="19"/>
        </w:rPr>
        <w:t>spare parts;</w:t>
      </w:r>
    </w:p>
    <w:p>
      <w:pPr>
        <w:pStyle w:val="ListBullet"/>
        <w:spacing w:before="0" w:after="60" w:line="293" w:lineRule="auto"/>
        <w:ind w:left="351" w:hanging="193"/>
      </w:pPr>
      <w:r>
        <w:rPr>
          <w:rFonts w:ascii="Arial" w:hAnsi="Arial" w:cs="Arial" w:eastAsia="Arial"/>
          <w:color w:val="1B2733"/>
          <w:sz w:val="19"/>
        </w:rPr>
        <w:t>inspection;</w:t>
      </w:r>
    </w:p>
    <w:p>
      <w:pPr>
        <w:pStyle w:val="ListBullet"/>
        <w:spacing w:before="0" w:after="60" w:line="293" w:lineRule="auto"/>
        <w:ind w:left="351" w:hanging="193"/>
      </w:pPr>
      <w:r>
        <w:rPr>
          <w:rFonts w:ascii="Arial" w:hAnsi="Arial" w:cs="Arial" w:eastAsia="Arial"/>
          <w:color w:val="1B2733"/>
          <w:sz w:val="19"/>
        </w:rPr>
        <w:t>maintenance;</w:t>
      </w:r>
    </w:p>
    <w:p>
      <w:pPr>
        <w:pStyle w:val="ListBullet"/>
        <w:spacing w:before="0" w:after="60" w:line="293" w:lineRule="auto"/>
        <w:ind w:left="351" w:hanging="193"/>
      </w:pPr>
      <w:r>
        <w:rPr>
          <w:rFonts w:ascii="Arial" w:hAnsi="Arial" w:cs="Arial" w:eastAsia="Arial"/>
          <w:color w:val="1B2733"/>
          <w:sz w:val="19"/>
        </w:rPr>
        <w:t>retrofit;</w:t>
      </w:r>
    </w:p>
    <w:p>
      <w:pPr>
        <w:pStyle w:val="ListBullet"/>
        <w:spacing w:before="0" w:after="60" w:line="293" w:lineRule="auto"/>
        <w:ind w:left="351" w:hanging="193"/>
      </w:pPr>
      <w:r>
        <w:rPr>
          <w:rFonts w:ascii="Arial" w:hAnsi="Arial" w:cs="Arial" w:eastAsia="Arial"/>
          <w:color w:val="1B2733"/>
          <w:sz w:val="19"/>
        </w:rPr>
        <w:t>replacement.</w:t>
      </w:r>
    </w:p>
    <w:p>
      <w:pPr>
        <w:pStyle w:val="Heading1"/>
        <w:keepNext/>
        <w:spacing w:before="280" w:after="60" w:line="252" w:lineRule="auto"/>
        <w:pBdr>
          <w:bottom w:val="single" w:sz="12" w:space="4" w:color="1F4E79"/>
        </w:pBdr>
      </w:pPr>
      <w:r>
        <w:rPr>
          <w:rFonts w:ascii="Arial" w:hAnsi="Arial" w:cs="Arial" w:eastAsia="Arial"/>
          <w:b/>
          <w:color w:val="1F4E79"/>
          <w:sz w:val="30"/>
        </w:rPr>
        <w:t>14. Hydropower Customer Network</w:t>
      </w:r>
    </w:p>
    <w:p>
      <w:pPr>
        <w:spacing w:before="0" w:after="120" w:line="307" w:lineRule="auto"/>
      </w:pPr>
      <w:r>
        <w:rPr>
          <w:rFonts w:ascii="Arial" w:hAnsi="Arial" w:cs="Arial" w:eastAsia="Arial"/>
          <w:b w:val="0"/>
          <w:i w:val="0"/>
          <w:color w:val="1B2733"/>
          <w:sz w:val="19"/>
        </w:rPr>
        <w:t>A second major downstream industry is power generation. Fukushima's current customer disclosure identifies:</w:t>
      </w:r>
    </w:p>
    <w:p>
      <w:pPr>
        <w:pStyle w:val="ListBullet"/>
        <w:spacing w:before="0" w:after="60" w:line="293" w:lineRule="auto"/>
        <w:ind w:left="351" w:hanging="193"/>
      </w:pPr>
      <w:r>
        <w:rPr>
          <w:rFonts w:ascii="Arial" w:hAnsi="Arial" w:cs="Arial" w:eastAsia="Arial"/>
          <w:color w:val="1B2733"/>
          <w:sz w:val="19"/>
        </w:rPr>
        <w:t>Tokyo Electric Power;</w:t>
      </w:r>
    </w:p>
    <w:p>
      <w:pPr>
        <w:pStyle w:val="ListBullet"/>
        <w:spacing w:before="0" w:after="60" w:line="293" w:lineRule="auto"/>
        <w:ind w:left="351" w:hanging="193"/>
      </w:pPr>
      <w:r>
        <w:rPr>
          <w:rFonts w:ascii="Arial" w:hAnsi="Arial" w:cs="Arial" w:eastAsia="Arial"/>
          <w:color w:val="1B2733"/>
          <w:sz w:val="19"/>
        </w:rPr>
        <w:t>Tohoku Electric Power;</w:t>
      </w:r>
    </w:p>
    <w:p>
      <w:pPr>
        <w:pStyle w:val="ListBullet"/>
        <w:spacing w:before="0" w:after="60" w:line="293" w:lineRule="auto"/>
        <w:ind w:left="351" w:hanging="193"/>
      </w:pPr>
      <w:r>
        <w:rPr>
          <w:rFonts w:ascii="Arial" w:hAnsi="Arial" w:cs="Arial" w:eastAsia="Arial"/>
          <w:color w:val="1B2733"/>
          <w:sz w:val="19"/>
        </w:rPr>
        <w:t>J-POWER. The company describes its business as including hydropower-plant components and related construction/services. The evidence supports:</w:t>
      </w:r>
    </w:p>
    <w:p>
      <w:pPr>
        <w:spacing w:before="0" w:after="120" w:line="307" w:lineRule="auto"/>
      </w:pPr>
      <w:r>
        <w:rPr>
          <w:rFonts w:ascii="Arial" w:hAnsi="Arial" w:cs="Arial" w:eastAsia="Arial"/>
          <w:b w:val="0"/>
          <w:i w:val="0"/>
          <w:color w:val="1B2733"/>
          <w:sz w:val="19"/>
        </w:rPr>
        <w:t>Fukushima → hydropower equipment/services → Japanese electric utilities but does not, on its own, establish individual plant-level deployments. Therefore the appropriate classification is: Evidence level: Strong for the company-level relationship; Evidence level: Not established for individual hydropower facilities unless project-level documentation is found.</w:t>
      </w:r>
    </w:p>
    <w:p>
      <w:pPr>
        <w:pStyle w:val="Heading1"/>
        <w:keepNext/>
        <w:spacing w:before="280" w:after="60" w:line="252" w:lineRule="auto"/>
        <w:pBdr>
          <w:bottom w:val="single" w:sz="12" w:space="4" w:color="1F4E79"/>
        </w:pBdr>
      </w:pPr>
      <w:r>
        <w:rPr>
          <w:rFonts w:ascii="Arial" w:hAnsi="Arial" w:cs="Arial" w:eastAsia="Arial"/>
          <w:b/>
          <w:color w:val="1F4E79"/>
          <w:sz w:val="30"/>
        </w:rPr>
        <w:t>15. Major Grab-Bucket Customers</w:t>
      </w:r>
    </w:p>
    <w:p>
      <w:pPr>
        <w:spacing w:before="0" w:after="120" w:line="307" w:lineRule="auto"/>
      </w:pPr>
      <w:r>
        <w:rPr>
          <w:rFonts w:ascii="Arial" w:hAnsi="Arial" w:cs="Arial" w:eastAsia="Arial"/>
          <w:b w:val="0"/>
          <w:i w:val="0"/>
          <w:color w:val="1B2733"/>
          <w:sz w:val="19"/>
        </w:rPr>
        <w:t>The current Fukushima customer disclosure identifies:</w:t>
      </w:r>
    </w:p>
    <w:p>
      <w:pPr>
        <w:pStyle w:val="ListBullet"/>
        <w:spacing w:before="0" w:after="60" w:line="293" w:lineRule="auto"/>
        <w:ind w:left="351" w:hanging="193"/>
      </w:pPr>
      <w:r>
        <w:rPr>
          <w:rFonts w:ascii="Arial" w:hAnsi="Arial" w:cs="Arial" w:eastAsia="Arial"/>
          <w:color w:val="1B2733"/>
          <w:sz w:val="19"/>
        </w:rPr>
        <w:t>Hitachi Plant Mechanics;</w:t>
      </w:r>
    </w:p>
    <w:p>
      <w:pPr>
        <w:pStyle w:val="ListBullet"/>
        <w:spacing w:before="0" w:after="60" w:line="293" w:lineRule="auto"/>
        <w:ind w:left="351" w:hanging="193"/>
      </w:pPr>
      <w:r>
        <w:rPr>
          <w:rFonts w:ascii="Arial" w:hAnsi="Arial" w:cs="Arial" w:eastAsia="Arial"/>
          <w:color w:val="1B2733"/>
          <w:sz w:val="19"/>
        </w:rPr>
        <w:t>Kajima Mechatro Engineering;</w:t>
      </w:r>
    </w:p>
    <w:p>
      <w:pPr>
        <w:pStyle w:val="ListBullet"/>
        <w:spacing w:before="0" w:after="60" w:line="293" w:lineRule="auto"/>
        <w:ind w:left="351" w:hanging="193"/>
      </w:pPr>
      <w:r>
        <w:rPr>
          <w:rFonts w:ascii="Arial" w:hAnsi="Arial" w:cs="Arial" w:eastAsia="Arial"/>
          <w:color w:val="1B2733"/>
          <w:sz w:val="19"/>
        </w:rPr>
        <w:t>JFE Engineering;</w:t>
      </w:r>
    </w:p>
    <w:p>
      <w:pPr>
        <w:pStyle w:val="ListBullet"/>
        <w:spacing w:before="0" w:after="60" w:line="293" w:lineRule="auto"/>
        <w:ind w:left="351" w:hanging="193"/>
      </w:pPr>
      <w:r>
        <w:rPr>
          <w:rFonts w:ascii="Arial" w:hAnsi="Arial" w:cs="Arial" w:eastAsia="Arial"/>
          <w:color w:val="1B2733"/>
          <w:sz w:val="19"/>
        </w:rPr>
        <w:t>Shimizu Construction;</w:t>
      </w:r>
    </w:p>
    <w:p>
      <w:pPr>
        <w:pStyle w:val="ListBullet"/>
        <w:spacing w:before="0" w:after="60" w:line="293" w:lineRule="auto"/>
        <w:ind w:left="351" w:hanging="193"/>
      </w:pPr>
      <w:r>
        <w:rPr>
          <w:rFonts w:ascii="Arial" w:hAnsi="Arial" w:cs="Arial" w:eastAsia="Arial"/>
          <w:color w:val="1B2733"/>
          <w:sz w:val="19"/>
        </w:rPr>
        <w:t>Kajima Construction;</w:t>
      </w:r>
    </w:p>
    <w:p>
      <w:pPr>
        <w:pStyle w:val="ListBullet"/>
        <w:spacing w:before="0" w:after="60" w:line="293" w:lineRule="auto"/>
        <w:ind w:left="351" w:hanging="193"/>
      </w:pPr>
      <w:r>
        <w:rPr>
          <w:rFonts w:ascii="Arial" w:hAnsi="Arial" w:cs="Arial" w:eastAsia="Arial"/>
          <w:color w:val="1B2733"/>
          <w:sz w:val="19"/>
        </w:rPr>
        <w:t>local governments. These entities are explicitly associated with the grab-bucket business. This is an important distinction from application-based inference.</w:t>
      </w:r>
    </w:p>
    <w:p>
      <w:pPr>
        <w:spacing w:before="0" w:after="120" w:line="307" w:lineRule="auto"/>
      </w:pPr>
      <w:r>
        <w:rPr>
          <w:rFonts w:ascii="Arial" w:hAnsi="Arial" w:cs="Arial" w:eastAsia="Arial"/>
          <w:b w:val="0"/>
          <w:i w:val="0"/>
          <w:color w:val="1B2733"/>
          <w:sz w:val="19"/>
        </w:rPr>
        <w:t>For example: "Kajima operates waste-treatment projects" would be an application observation. But: "Fukushima identifies Kajima as a major customer for grab buckets" is direct customer evidence. Therefore these relationships can be included in a customer matrix with substantially higher confidence.</w:t>
      </w:r>
    </w:p>
    <w:p>
      <w:pPr>
        <w:pStyle w:val="Heading1"/>
        <w:keepNext/>
        <w:spacing w:before="280" w:after="60" w:line="252" w:lineRule="auto"/>
        <w:pBdr>
          <w:bottom w:val="single" w:sz="12" w:space="4" w:color="1F4E79"/>
        </w:pBdr>
      </w:pPr>
      <w:r>
        <w:rPr>
          <w:rFonts w:ascii="Arial" w:hAnsi="Arial" w:cs="Arial" w:eastAsia="Arial"/>
          <w:b/>
          <w:color w:val="1F4E79"/>
          <w:sz w:val="30"/>
        </w:rPr>
        <w:t>16. Customer Evidence Matrix</w:t>
      </w:r>
    </w:p>
    <w:p>
      <w:pPr>
        <w:spacing w:before="0" w:after="120" w:line="307" w:lineRule="auto"/>
      </w:pPr>
      <w:r>
        <w:rPr>
          <w:rFonts w:ascii="Arial" w:hAnsi="Arial" w:cs="Arial" w:eastAsia="Arial"/>
          <w:b w:val="0"/>
          <w:i w:val="0"/>
          <w:color w:val="1B2733"/>
          <w:sz w:val="19"/>
        </w:rPr>
        <w:t>Entity Product / Application Evidence Assessment Kobe City Waste-crane grab buckets Municipal procurement Confirmed Numazu City Waste-crane bucket maintenance Municipal procurement + manufacturer-specific rationale Confirmed Sapporo City Waste-crane bucket components Municipal procurement Confirmed Tokyo 23-ward facilities Waste-crane repairs/componen ts Multiple procurement records Confirmed at facility/contract level Saitama City Fukushima equipment / replacement work Municipal procurement Confirmed Fukushima Prefecture / related facilities Grab-bucket equipment/service s Public procurement Confirmed where contract identified Ministry of Defense / ATLA Naval equipment Government procurement Confirmed JMSDF Deck-crane components Official manufacturer catalogue Confirmed JS Bungo Deck-crane inspection Named-vessel procurement Confirmed Murasame class Folding deck crane ATLA procurement notice Confirmed at class/procureme nt level JMU Marine machinery / special winches Fukushima customer disclosure Strong / company-disclo sed Mitsubishi Shipbuilding Marine machinery / special winches Fukushima customer disclosure Strong / company-disclo sed Mitsui E&amp;S Marine machinery / special winches Fukushima customer disclosure Strong / company-disclo sed DSME Marine machinery / special winches Fukushima customer disclosure Strong / company-disclo sed Hyundai Heavy Industries Marine machinery / special winches Fukushima customer disclosure Strong / company-disclo sed Hitachi Plant Mechanics Grab buckets Fukushima customer disclosure Strong / company-disclo sed JFE Engineering Grab buckets Fukushima customer disclosure Strong / company-disclo sed Kajima Grab buckets Fukushima customer disclosure Strong / company-disclo sed Shimizu Grab buckets Fukushima customer disclosure Strong / company-disclo sed TEPCO Power-equipment service Fukushima customer disclosure Strong / company-disclo sed Tohoku Electric Power Power-equipment service Fukushima customer disclosure Strong / company-disclo sed J-POWER Power-equipment service Fukushima customer disclosure Strong / company-disclo sed Individual commercial vessel owners Marine equipment No sufficient vessel-level evidence identified Not established Individual LNG/tanker operators Marine equipment Application overlap only Lead only Individual port operators without procurement record Grab buckets Application overlap only Lead only</w:t>
      </w:r>
    </w:p>
    <w:p>
      <w:pPr>
        <w:pStyle w:val="Heading1"/>
        <w:keepNext/>
        <w:spacing w:before="280" w:after="60" w:line="252" w:lineRule="auto"/>
        <w:pBdr>
          <w:bottom w:val="single" w:sz="12" w:space="4" w:color="1F4E79"/>
        </w:pBdr>
      </w:pPr>
      <w:r>
        <w:rPr>
          <w:rFonts w:ascii="Arial" w:hAnsi="Arial" w:cs="Arial" w:eastAsia="Arial"/>
          <w:b/>
          <w:color w:val="1F4E79"/>
          <w:sz w:val="30"/>
        </w:rPr>
        <w:t>17. Procurement Intelligence: What the</w:t>
      </w:r>
    </w:p>
    <w:p>
      <w:pPr>
        <w:pStyle w:val="Heading1"/>
        <w:keepNext/>
        <w:spacing w:before="280" w:after="60" w:line="252" w:lineRule="auto"/>
        <w:pBdr>
          <w:bottom w:val="single" w:sz="12" w:space="4" w:color="1F4E79"/>
        </w:pBdr>
      </w:pPr>
      <w:r>
        <w:rPr>
          <w:rFonts w:ascii="Arial" w:hAnsi="Arial" w:cs="Arial" w:eastAsia="Arial"/>
          <w:b/>
          <w:color w:val="1F4E79"/>
          <w:sz w:val="30"/>
        </w:rPr>
        <w:t>Records Reveal</w:t>
      </w:r>
    </w:p>
    <w:p>
      <w:pPr>
        <w:spacing w:before="0" w:after="120" w:line="307" w:lineRule="auto"/>
      </w:pPr>
      <w:r>
        <w:rPr>
          <w:rFonts w:ascii="Arial" w:hAnsi="Arial" w:cs="Arial" w:eastAsia="Arial"/>
          <w:b w:val="0"/>
          <w:i w:val="0"/>
          <w:color w:val="1B2733"/>
          <w:sz w:val="19"/>
        </w:rPr>
        <w:t>The most valuable finding is not the identity of individual customers. It is the procurement mechanism . Across municipal and naval records, Fukushima appears repeatedly in situations where the customer already operates Fukushima-manufactured equipment. The resulting cycle is:</w:t>
      </w:r>
    </w:p>
    <w:p>
      <w:pPr>
        <w:pStyle w:val="Heading2"/>
        <w:keepNext/>
        <w:spacing w:before="220" w:after="60" w:line="252" w:lineRule="auto"/>
      </w:pPr>
      <w:r>
        <w:rPr>
          <w:rFonts w:ascii="Arial" w:hAnsi="Arial" w:cs="Arial" w:eastAsia="Arial"/>
          <w:b/>
          <w:color w:val="1B2733"/>
          <w:sz w:val="22"/>
        </w:rPr>
        <w:t>1. Initial equipment supply</w:t>
      </w:r>
    </w:p>
    <w:p>
      <w:pPr>
        <w:spacing w:before="0" w:after="120" w:line="307" w:lineRule="auto"/>
      </w:pPr>
      <w:r>
        <w:rPr>
          <w:rFonts w:ascii="Arial" w:hAnsi="Arial" w:cs="Arial" w:eastAsia="Arial"/>
          <w:b w:val="0"/>
          <w:i w:val="0"/>
          <w:color w:val="1B2733"/>
          <w:sz w:val="19"/>
        </w:rPr>
        <w:t>Fukushima manufactures and supplies specialized equipment.</w:t>
      </w:r>
    </w:p>
    <w:p>
      <w:pPr>
        <w:pStyle w:val="Heading2"/>
        <w:keepNext/>
        <w:spacing w:before="220" w:after="60" w:line="252" w:lineRule="auto"/>
      </w:pPr>
      <w:r>
        <w:rPr>
          <w:rFonts w:ascii="Arial" w:hAnsi="Arial" w:cs="Arial" w:eastAsia="Arial"/>
          <w:b/>
          <w:color w:val="1B2733"/>
          <w:sz w:val="22"/>
        </w:rPr>
        <w:t>2. Installed base</w:t>
      </w:r>
    </w:p>
    <w:p>
      <w:pPr>
        <w:spacing w:before="0" w:after="120" w:line="307" w:lineRule="auto"/>
      </w:pPr>
      <w:r>
        <w:rPr>
          <w:rFonts w:ascii="Arial" w:hAnsi="Arial" w:cs="Arial" w:eastAsia="Arial"/>
          <w:b w:val="0"/>
          <w:i w:val="0"/>
          <w:color w:val="1B2733"/>
          <w:sz w:val="19"/>
        </w:rPr>
        <w:t>The equipment becomes embedded in:</w:t>
      </w:r>
    </w:p>
    <w:p>
      <w:pPr>
        <w:pStyle w:val="ListBullet"/>
        <w:spacing w:before="0" w:after="60" w:line="293" w:lineRule="auto"/>
        <w:ind w:left="351" w:hanging="193"/>
      </w:pPr>
      <w:r>
        <w:rPr>
          <w:rFonts w:ascii="Arial" w:hAnsi="Arial" w:cs="Arial" w:eastAsia="Arial"/>
          <w:color w:val="1B2733"/>
          <w:sz w:val="19"/>
        </w:rPr>
        <w:t>waste-treatment plants;</w:t>
      </w:r>
    </w:p>
    <w:p>
      <w:pPr>
        <w:pStyle w:val="ListBullet"/>
        <w:spacing w:before="0" w:after="60" w:line="293" w:lineRule="auto"/>
        <w:ind w:left="351" w:hanging="193"/>
      </w:pPr>
      <w:r>
        <w:rPr>
          <w:rFonts w:ascii="Arial" w:hAnsi="Arial" w:cs="Arial" w:eastAsia="Arial"/>
          <w:color w:val="1B2733"/>
          <w:sz w:val="19"/>
        </w:rPr>
        <w:t>naval vessels;</w:t>
      </w:r>
    </w:p>
    <w:p>
      <w:pPr>
        <w:pStyle w:val="ListBullet"/>
        <w:spacing w:before="0" w:after="60" w:line="293" w:lineRule="auto"/>
        <w:ind w:left="351" w:hanging="193"/>
      </w:pPr>
      <w:r>
        <w:rPr>
          <w:rFonts w:ascii="Arial" w:hAnsi="Arial" w:cs="Arial" w:eastAsia="Arial"/>
          <w:color w:val="1B2733"/>
          <w:sz w:val="19"/>
        </w:rPr>
        <w:t>commercial vessels;</w:t>
      </w:r>
    </w:p>
    <w:p>
      <w:pPr>
        <w:pStyle w:val="ListBullet"/>
        <w:spacing w:before="0" w:after="60" w:line="293" w:lineRule="auto"/>
        <w:ind w:left="351" w:hanging="193"/>
      </w:pPr>
      <w:r>
        <w:rPr>
          <w:rFonts w:ascii="Arial" w:hAnsi="Arial" w:cs="Arial" w:eastAsia="Arial"/>
          <w:color w:val="1B2733"/>
          <w:sz w:val="19"/>
        </w:rPr>
        <w:t>power infrastructure.</w:t>
      </w:r>
    </w:p>
    <w:p>
      <w:pPr>
        <w:pStyle w:val="Heading2"/>
        <w:keepNext/>
        <w:spacing w:before="220" w:after="60" w:line="252" w:lineRule="auto"/>
      </w:pPr>
      <w:r>
        <w:rPr>
          <w:rFonts w:ascii="Arial" w:hAnsi="Arial" w:cs="Arial" w:eastAsia="Arial"/>
          <w:b/>
          <w:color w:val="1B2733"/>
          <w:sz w:val="22"/>
        </w:rPr>
        <w:t>3. Technical dependency</w:t>
      </w:r>
    </w:p>
    <w:p>
      <w:pPr>
        <w:spacing w:before="0" w:after="120" w:line="307" w:lineRule="auto"/>
      </w:pPr>
      <w:r>
        <w:rPr>
          <w:rFonts w:ascii="Arial" w:hAnsi="Arial" w:cs="Arial" w:eastAsia="Arial"/>
          <w:b w:val="0"/>
          <w:i w:val="0"/>
          <w:color w:val="1B2733"/>
          <w:sz w:val="19"/>
        </w:rPr>
        <w:t>Some equipment uses proprietary design, dimensions, components or engineering knowledge.</w:t>
      </w:r>
    </w:p>
    <w:p>
      <w:pPr>
        <w:pStyle w:val="Heading2"/>
        <w:keepNext/>
        <w:spacing w:before="220" w:after="60" w:line="252" w:lineRule="auto"/>
      </w:pPr>
      <w:r>
        <w:rPr>
          <w:rFonts w:ascii="Arial" w:hAnsi="Arial" w:cs="Arial" w:eastAsia="Arial"/>
          <w:b/>
          <w:color w:val="1B2733"/>
          <w:sz w:val="22"/>
        </w:rPr>
        <w:t>4. Aftermarket demand</w:t>
      </w:r>
    </w:p>
    <w:p>
      <w:pPr>
        <w:spacing w:before="0" w:after="120" w:line="307" w:lineRule="auto"/>
      </w:pPr>
      <w:r>
        <w:rPr>
          <w:rFonts w:ascii="Arial" w:hAnsi="Arial" w:cs="Arial" w:eastAsia="Arial"/>
          <w:b w:val="0"/>
          <w:i w:val="0"/>
          <w:color w:val="1B2733"/>
          <w:sz w:val="19"/>
        </w:rPr>
        <w:t>Customers require:</w:t>
      </w:r>
    </w:p>
    <w:p>
      <w:pPr>
        <w:pStyle w:val="ListBullet"/>
        <w:spacing w:before="0" w:after="60" w:line="293" w:lineRule="auto"/>
        <w:ind w:left="351" w:hanging="193"/>
      </w:pPr>
      <w:r>
        <w:rPr>
          <w:rFonts w:ascii="Arial" w:hAnsi="Arial" w:cs="Arial" w:eastAsia="Arial"/>
          <w:color w:val="1B2733"/>
          <w:sz w:val="19"/>
        </w:rPr>
        <w:t>inspection;</w:t>
      </w:r>
    </w:p>
    <w:p>
      <w:pPr>
        <w:pStyle w:val="ListBullet"/>
        <w:spacing w:before="0" w:after="60" w:line="293" w:lineRule="auto"/>
        <w:ind w:left="351" w:hanging="193"/>
      </w:pPr>
      <w:r>
        <w:rPr>
          <w:rFonts w:ascii="Arial" w:hAnsi="Arial" w:cs="Arial" w:eastAsia="Arial"/>
          <w:color w:val="1B2733"/>
          <w:sz w:val="19"/>
        </w:rPr>
        <w:t>repair;</w:t>
      </w:r>
    </w:p>
    <w:p>
      <w:pPr>
        <w:pStyle w:val="ListBullet"/>
        <w:spacing w:before="0" w:after="60" w:line="293" w:lineRule="auto"/>
        <w:ind w:left="351" w:hanging="193"/>
      </w:pPr>
      <w:r>
        <w:rPr>
          <w:rFonts w:ascii="Arial" w:hAnsi="Arial" w:cs="Arial" w:eastAsia="Arial"/>
          <w:color w:val="1B2733"/>
          <w:sz w:val="19"/>
        </w:rPr>
        <w:t>spare parts;</w:t>
      </w:r>
    </w:p>
    <w:p>
      <w:pPr>
        <w:pStyle w:val="ListBullet"/>
        <w:spacing w:before="0" w:after="60" w:line="293" w:lineRule="auto"/>
        <w:ind w:left="351" w:hanging="193"/>
      </w:pPr>
      <w:r>
        <w:rPr>
          <w:rFonts w:ascii="Arial" w:hAnsi="Arial" w:cs="Arial" w:eastAsia="Arial"/>
          <w:color w:val="1B2733"/>
          <w:sz w:val="19"/>
        </w:rPr>
        <w:t>replacement;</w:t>
      </w:r>
    </w:p>
    <w:p>
      <w:pPr>
        <w:pStyle w:val="ListBullet"/>
        <w:spacing w:before="0" w:after="60" w:line="293" w:lineRule="auto"/>
        <w:ind w:left="351" w:hanging="193"/>
      </w:pPr>
      <w:r>
        <w:rPr>
          <w:rFonts w:ascii="Arial" w:hAnsi="Arial" w:cs="Arial" w:eastAsia="Arial"/>
          <w:color w:val="1B2733"/>
          <w:sz w:val="19"/>
        </w:rPr>
        <w:t>overhaul;</w:t>
      </w:r>
    </w:p>
    <w:p>
      <w:pPr>
        <w:pStyle w:val="ListBullet"/>
        <w:spacing w:before="0" w:after="60" w:line="293" w:lineRule="auto"/>
        <w:ind w:left="351" w:hanging="193"/>
      </w:pPr>
      <w:r>
        <w:rPr>
          <w:rFonts w:ascii="Arial" w:hAnsi="Arial" w:cs="Arial" w:eastAsia="Arial"/>
          <w:color w:val="1B2733"/>
          <w:sz w:val="19"/>
        </w:rPr>
        <w:t>modification.</w:t>
      </w:r>
    </w:p>
    <w:p>
      <w:pPr>
        <w:pStyle w:val="Heading2"/>
        <w:keepNext/>
        <w:spacing w:before="220" w:after="60" w:line="252" w:lineRule="auto"/>
      </w:pPr>
      <w:r>
        <w:rPr>
          <w:rFonts w:ascii="Arial" w:hAnsi="Arial" w:cs="Arial" w:eastAsia="Arial"/>
          <w:b/>
          <w:color w:val="1B2733"/>
          <w:sz w:val="22"/>
        </w:rPr>
        <w:t>5. Repeat procurement</w:t>
      </w:r>
    </w:p>
    <w:p>
      <w:pPr>
        <w:spacing w:before="0" w:after="120" w:line="307" w:lineRule="auto"/>
      </w:pPr>
      <w:r>
        <w:rPr>
          <w:rFonts w:ascii="Arial" w:hAnsi="Arial" w:cs="Arial" w:eastAsia="Arial"/>
          <w:b w:val="0"/>
          <w:i w:val="0"/>
          <w:color w:val="1B2733"/>
          <w:sz w:val="19"/>
        </w:rPr>
        <w:t>Public procurement records document subsequent transactions. This makes the installed base itself a commercial asset.</w:t>
      </w:r>
    </w:p>
    <w:p>
      <w:pPr>
        <w:pStyle w:val="Heading1"/>
        <w:keepNext/>
        <w:spacing w:before="280" w:after="60" w:line="252" w:lineRule="auto"/>
        <w:pBdr>
          <w:bottom w:val="single" w:sz="12" w:space="4" w:color="1F4E79"/>
        </w:pBdr>
      </w:pPr>
      <w:r>
        <w:rPr>
          <w:rFonts w:ascii="Arial" w:hAnsi="Arial" w:cs="Arial" w:eastAsia="Arial"/>
          <w:b/>
          <w:color w:val="1F4E79"/>
          <w:sz w:val="30"/>
        </w:rPr>
        <w:t>18. Why the Municipal Evidence Is</w:t>
      </w:r>
    </w:p>
    <w:p>
      <w:pPr>
        <w:pStyle w:val="Heading1"/>
        <w:keepNext/>
        <w:spacing w:before="280" w:after="60" w:line="252" w:lineRule="auto"/>
        <w:pBdr>
          <w:bottom w:val="single" w:sz="12" w:space="4" w:color="1F4E79"/>
        </w:pBdr>
      </w:pPr>
      <w:r>
        <w:rPr>
          <w:rFonts w:ascii="Arial" w:hAnsi="Arial" w:cs="Arial" w:eastAsia="Arial"/>
          <w:b/>
          <w:color w:val="1F4E79"/>
          <w:sz w:val="30"/>
        </w:rPr>
        <w:t>Particularly Valuable</w:t>
      </w:r>
    </w:p>
    <w:p>
      <w:pPr>
        <w:spacing w:before="0" w:after="120" w:line="307" w:lineRule="auto"/>
      </w:pPr>
      <w:r>
        <w:rPr>
          <w:rFonts w:ascii="Arial" w:hAnsi="Arial" w:cs="Arial" w:eastAsia="Arial"/>
          <w:b w:val="0"/>
          <w:i w:val="0"/>
          <w:color w:val="1B2733"/>
          <w:sz w:val="19"/>
        </w:rPr>
        <w:t>Municipal procurement documents often disclose information that commercial customers do not. A private company may simply state: "Customer: X." A municipality may additionally explain:</w:t>
      </w:r>
    </w:p>
    <w:p>
      <w:pPr>
        <w:pStyle w:val="ListBullet"/>
        <w:spacing w:before="0" w:after="60" w:line="293" w:lineRule="auto"/>
        <w:ind w:left="351" w:hanging="193"/>
      </w:pPr>
      <w:r>
        <w:rPr>
          <w:rFonts w:ascii="Arial" w:hAnsi="Arial" w:cs="Arial" w:eastAsia="Arial"/>
          <w:color w:val="1B2733"/>
          <w:sz w:val="19"/>
        </w:rPr>
        <w:t>what equipment is installed;</w:t>
      </w:r>
    </w:p>
    <w:p>
      <w:pPr>
        <w:pStyle w:val="ListBullet"/>
        <w:spacing w:before="0" w:after="60" w:line="293" w:lineRule="auto"/>
        <w:ind w:left="351" w:hanging="193"/>
      </w:pPr>
      <w:r>
        <w:rPr>
          <w:rFonts w:ascii="Arial" w:hAnsi="Arial" w:cs="Arial" w:eastAsia="Arial"/>
          <w:color w:val="1B2733"/>
          <w:sz w:val="19"/>
        </w:rPr>
        <w:t>who manufactured it;</w:t>
      </w:r>
    </w:p>
    <w:p>
      <w:pPr>
        <w:pStyle w:val="ListBullet"/>
        <w:spacing w:before="0" w:after="60" w:line="293" w:lineRule="auto"/>
        <w:ind w:left="351" w:hanging="193"/>
      </w:pPr>
      <w:r>
        <w:rPr>
          <w:rFonts w:ascii="Arial" w:hAnsi="Arial" w:cs="Arial" w:eastAsia="Arial"/>
          <w:color w:val="1B2733"/>
          <w:sz w:val="19"/>
        </w:rPr>
        <w:t>why another supplier is not suitable;</w:t>
      </w:r>
    </w:p>
    <w:p>
      <w:pPr>
        <w:pStyle w:val="ListBullet"/>
        <w:spacing w:before="0" w:after="60" w:line="293" w:lineRule="auto"/>
        <w:ind w:left="351" w:hanging="193"/>
      </w:pPr>
      <w:r>
        <w:rPr>
          <w:rFonts w:ascii="Arial" w:hAnsi="Arial" w:cs="Arial" w:eastAsia="Arial"/>
          <w:color w:val="1B2733"/>
          <w:sz w:val="19"/>
        </w:rPr>
        <w:t>why a direct award is legally justified;</w:t>
      </w:r>
    </w:p>
    <w:p>
      <w:pPr>
        <w:pStyle w:val="ListBullet"/>
        <w:spacing w:before="0" w:after="60" w:line="293" w:lineRule="auto"/>
        <w:ind w:left="351" w:hanging="193"/>
      </w:pPr>
      <w:r>
        <w:rPr>
          <w:rFonts w:ascii="Arial" w:hAnsi="Arial" w:cs="Arial" w:eastAsia="Arial"/>
          <w:color w:val="1B2733"/>
          <w:sz w:val="19"/>
        </w:rPr>
        <w:t>what technical knowledge is required;</w:t>
      </w:r>
    </w:p>
    <w:p>
      <w:pPr>
        <w:pStyle w:val="ListBullet"/>
        <w:spacing w:before="0" w:after="60" w:line="293" w:lineRule="auto"/>
        <w:ind w:left="351" w:hanging="193"/>
      </w:pPr>
      <w:r>
        <w:rPr>
          <w:rFonts w:ascii="Arial" w:hAnsi="Arial" w:cs="Arial" w:eastAsia="Arial"/>
          <w:color w:val="1B2733"/>
          <w:sz w:val="19"/>
        </w:rPr>
        <w:t>what repair is being performed. This makes Japanese municipal procurement records unusually valuable for industrial customer intelligence. In the Fukushima case, they expose the</w:t>
      </w:r>
    </w:p>
    <w:p>
      <w:pPr>
        <w:spacing w:before="0" w:after="120" w:line="307" w:lineRule="auto"/>
      </w:pPr>
      <w:r>
        <w:rPr>
          <w:rFonts w:ascii="Arial" w:hAnsi="Arial" w:cs="Arial" w:eastAsia="Arial"/>
          <w:b w:val="0"/>
          <w:i w:val="0"/>
          <w:color w:val="1B2733"/>
          <w:sz w:val="19"/>
        </w:rPr>
        <w:t>relationship mechanics , not merely the existence of the customer.</w:t>
      </w:r>
    </w:p>
    <w:p>
      <w:pPr>
        <w:pStyle w:val="Heading1"/>
        <w:keepNext/>
        <w:spacing w:before="280" w:after="60" w:line="252" w:lineRule="auto"/>
        <w:pBdr>
          <w:bottom w:val="single" w:sz="12" w:space="4" w:color="1F4E79"/>
        </w:pBdr>
      </w:pPr>
      <w:r>
        <w:rPr>
          <w:rFonts w:ascii="Arial" w:hAnsi="Arial" w:cs="Arial" w:eastAsia="Arial"/>
          <w:b/>
          <w:color w:val="1F4E79"/>
          <w:sz w:val="30"/>
        </w:rPr>
        <w:t>19. Procurement Dependency vs. Legal</w:t>
      </w:r>
    </w:p>
    <w:p>
      <w:pPr>
        <w:pStyle w:val="Heading1"/>
        <w:keepNext/>
        <w:spacing w:before="280" w:after="60" w:line="252" w:lineRule="auto"/>
        <w:pBdr>
          <w:bottom w:val="single" w:sz="12" w:space="4" w:color="1F4E79"/>
        </w:pBdr>
      </w:pPr>
      <w:r>
        <w:rPr>
          <w:rFonts w:ascii="Arial" w:hAnsi="Arial" w:cs="Arial" w:eastAsia="Arial"/>
          <w:b/>
          <w:color w:val="1F4E79"/>
          <w:sz w:val="30"/>
        </w:rPr>
        <w:t>Exclusivity</w:t>
      </w:r>
    </w:p>
    <w:p>
      <w:pPr>
        <w:spacing w:before="0" w:after="120" w:line="307" w:lineRule="auto"/>
      </w:pPr>
      <w:r>
        <w:rPr>
          <w:rFonts w:ascii="Arial" w:hAnsi="Arial" w:cs="Arial" w:eastAsia="Arial"/>
          <w:b w:val="0"/>
          <w:i w:val="0"/>
          <w:color w:val="1B2733"/>
          <w:sz w:val="19"/>
        </w:rPr>
        <w:t>The evidence does not justify claiming that Fukushima has a legally protected monopoly over all maintenance. The procurement documents instead establish something narrower: manufacturer-specific technical expertise is repeatedly cited as a reason for selecting Fukushima. That distinction matters. The evidence demonstrates: technical dependency but not necessarily: legal exclusivity . This is an important example of how procurement intelligence can be distorted if technical barriers are incorrectly described as contractual or legal monopolies.</w:t>
      </w:r>
    </w:p>
    <w:p>
      <w:pPr>
        <w:pStyle w:val="Heading1"/>
        <w:keepNext/>
        <w:spacing w:before="280" w:after="60" w:line="252" w:lineRule="auto"/>
        <w:pBdr>
          <w:bottom w:val="single" w:sz="12" w:space="4" w:color="1F4E79"/>
        </w:pBdr>
      </w:pPr>
      <w:r>
        <w:rPr>
          <w:rFonts w:ascii="Arial" w:hAnsi="Arial" w:cs="Arial" w:eastAsia="Arial"/>
          <w:b/>
          <w:color w:val="1F4E79"/>
          <w:sz w:val="30"/>
        </w:rPr>
        <w:t>20. Related-Party and Corporate Network</w:t>
      </w:r>
    </w:p>
    <w:p>
      <w:pPr>
        <w:spacing w:before="0" w:after="120" w:line="307" w:lineRule="auto"/>
      </w:pPr>
      <w:r>
        <w:rPr>
          <w:rFonts w:ascii="Arial" w:hAnsi="Arial" w:cs="Arial" w:eastAsia="Arial"/>
          <w:b w:val="0"/>
          <w:i w:val="0"/>
          <w:color w:val="1B2733"/>
          <w:sz w:val="19"/>
        </w:rPr>
        <w:t>Fukushima Seisakusho is part of the UBE Machinery group. The company identifies UBE Machinery as its shareholder, while current recruitment disclosures identify UBE Machinery as holding 100% of the shares. The company also identifies Fukushima Zoki Kogyo Co., Ltd. (福島造機工業株式会社) as a related company. This matters because the downstream ecosystem cannot be understood purely as an isolated SME. There is a larger corporate structure behind the company, while Fukushima itself maintains specialized manufacturing capabilities. The corporate relationship should therefore be represented as: UBE Machinery ↓ Fukushima Seisakusho ↓ specialized industrial equipment with a related-company network including Fukushima Zoki Kogyo.</w:t>
      </w:r>
    </w:p>
    <w:p>
      <w:pPr>
        <w:pStyle w:val="Heading1"/>
        <w:keepNext/>
        <w:spacing w:before="280" w:after="60" w:line="252" w:lineRule="auto"/>
        <w:pBdr>
          <w:bottom w:val="single" w:sz="12" w:space="4" w:color="1F4E79"/>
        </w:pBdr>
      </w:pPr>
      <w:r>
        <w:rPr>
          <w:rFonts w:ascii="Arial" w:hAnsi="Arial" w:cs="Arial" w:eastAsia="Arial"/>
          <w:b/>
          <w:color w:val="1F4E79"/>
          <w:sz w:val="30"/>
        </w:rPr>
        <w:t>21. Evidence from Industry and Media</w:t>
      </w:r>
    </w:p>
    <w:p>
      <w:pPr>
        <w:spacing w:before="0" w:after="120" w:line="307" w:lineRule="auto"/>
      </w:pPr>
      <w:r>
        <w:rPr>
          <w:rFonts w:ascii="Arial" w:hAnsi="Arial" w:cs="Arial" w:eastAsia="Arial"/>
          <w:b w:val="0"/>
          <w:i w:val="0"/>
          <w:color w:val="1B2733"/>
          <w:sz w:val="19"/>
        </w:rPr>
        <w:t>Independent media coverage is less extensive than procurement documentation. This is not unusual for a private Japanese B2B manufacturer. The strongest public media/industry evidence concerns:</w:t>
      </w:r>
    </w:p>
    <w:p>
      <w:pPr>
        <w:pStyle w:val="ListBullet"/>
        <w:spacing w:before="0" w:after="60" w:line="293" w:lineRule="auto"/>
        <w:ind w:left="351" w:hanging="193"/>
      </w:pPr>
      <w:r>
        <w:rPr>
          <w:rFonts w:ascii="Arial" w:hAnsi="Arial" w:cs="Arial" w:eastAsia="Arial"/>
          <w:color w:val="1B2733"/>
          <w:sz w:val="19"/>
        </w:rPr>
        <w:t>Fukushima's long manufacturing history;</w:t>
      </w:r>
    </w:p>
    <w:p>
      <w:pPr>
        <w:pStyle w:val="ListBullet"/>
        <w:spacing w:before="0" w:after="60" w:line="293" w:lineRule="auto"/>
        <w:ind w:left="351" w:hanging="193"/>
      </w:pPr>
      <w:r>
        <w:rPr>
          <w:rFonts w:ascii="Arial" w:hAnsi="Arial" w:cs="Arial" w:eastAsia="Arial"/>
          <w:color w:val="1B2733"/>
          <w:sz w:val="19"/>
        </w:rPr>
        <w:t>its grab-bucket production milestones;</w:t>
      </w:r>
    </w:p>
    <w:p>
      <w:pPr>
        <w:pStyle w:val="ListBullet"/>
        <w:spacing w:before="0" w:after="60" w:line="293" w:lineRule="auto"/>
        <w:ind w:left="351" w:hanging="193"/>
      </w:pPr>
      <w:r>
        <w:rPr>
          <w:rFonts w:ascii="Arial" w:hAnsi="Arial" w:cs="Arial" w:eastAsia="Arial"/>
          <w:color w:val="1B2733"/>
          <w:sz w:val="19"/>
        </w:rPr>
        <w:t>its role in the Japanese marine machinery industry;</w:t>
      </w:r>
    </w:p>
    <w:p>
      <w:pPr>
        <w:pStyle w:val="ListBullet"/>
        <w:spacing w:before="0" w:after="60" w:line="293" w:lineRule="auto"/>
        <w:ind w:left="351" w:hanging="193"/>
      </w:pPr>
      <w:r>
        <w:rPr>
          <w:rFonts w:ascii="Arial" w:hAnsi="Arial" w:cs="Arial" w:eastAsia="Arial"/>
          <w:color w:val="1B2733"/>
          <w:sz w:val="19"/>
        </w:rPr>
        <w:t>its business outlook;</w:t>
      </w:r>
    </w:p>
    <w:p>
      <w:pPr>
        <w:pStyle w:val="ListBullet"/>
        <w:spacing w:before="0" w:after="60" w:line="293" w:lineRule="auto"/>
        <w:ind w:left="351" w:hanging="193"/>
      </w:pPr>
      <w:r>
        <w:rPr>
          <w:rFonts w:ascii="Arial" w:hAnsi="Arial" w:cs="Arial" w:eastAsia="Arial"/>
          <w:color w:val="1B2733"/>
          <w:sz w:val="19"/>
        </w:rPr>
        <w:t>its relationship with the regional industrial ecosystem. The company reached the production milestone of 3,000 grab buckets in 2017 , which was covered by Fukushima regional newspapers and Nikkan Kogyo Shimbun and subsequently documented by UBE. The evidence is useful because it independently supports the scale and longevity of the</w:t>
      </w:r>
    </w:p>
    <w:p>
      <w:pPr>
        <w:spacing w:before="0" w:after="120" w:line="307" w:lineRule="auto"/>
      </w:pPr>
      <w:r>
        <w:rPr>
          <w:rFonts w:ascii="Arial" w:hAnsi="Arial" w:cs="Arial" w:eastAsia="Arial"/>
          <w:b w:val="0"/>
          <w:i w:val="0"/>
          <w:color w:val="1B2733"/>
          <w:sz w:val="19"/>
        </w:rPr>
        <w:t>grab-bucket business. However, media coverage generally does not disclose the full downstream customer network. For customer intelligence, government procurement documents are therefore substantially more informative than general press coverage.</w:t>
      </w:r>
    </w:p>
    <w:p>
      <w:pPr>
        <w:pStyle w:val="Heading1"/>
        <w:keepNext/>
        <w:spacing w:before="280" w:after="60" w:line="252" w:lineRule="auto"/>
        <w:pBdr>
          <w:bottom w:val="single" w:sz="12" w:space="4" w:color="1F4E79"/>
        </w:pBdr>
      </w:pPr>
      <w:r>
        <w:rPr>
          <w:rFonts w:ascii="Arial" w:hAnsi="Arial" w:cs="Arial" w:eastAsia="Arial"/>
          <w:b/>
          <w:color w:val="1F4E79"/>
          <w:sz w:val="30"/>
        </w:rPr>
        <w:t>22. What Can Be Reconstructed - and</w:t>
      </w:r>
    </w:p>
    <w:p>
      <w:pPr>
        <w:pStyle w:val="Heading1"/>
        <w:keepNext/>
        <w:spacing w:before="280" w:after="60" w:line="252" w:lineRule="auto"/>
        <w:pBdr>
          <w:bottom w:val="single" w:sz="12" w:space="4" w:color="1F4E79"/>
        </w:pBdr>
      </w:pPr>
      <w:r>
        <w:rPr>
          <w:rFonts w:ascii="Arial" w:hAnsi="Arial" w:cs="Arial" w:eastAsia="Arial"/>
          <w:b/>
          <w:color w:val="1F4E79"/>
          <w:sz w:val="30"/>
        </w:rPr>
        <w:t>What Cannot</w:t>
      </w:r>
    </w:p>
    <w:p>
      <w:pPr>
        <w:spacing w:before="0" w:after="120" w:line="307" w:lineRule="auto"/>
      </w:pPr>
      <w:r>
        <w:rPr>
          <w:rFonts w:ascii="Arial" w:hAnsi="Arial" w:cs="Arial" w:eastAsia="Arial"/>
          <w:b w:val="0"/>
          <w:i w:val="0"/>
          <w:color w:val="1B2733"/>
          <w:sz w:val="19"/>
        </w:rPr>
        <w:t>The public record allows a relatively strong reconstruction of the following: Highly reconstructable</w:t>
      </w:r>
    </w:p>
    <w:p>
      <w:pPr>
        <w:pStyle w:val="ListBullet"/>
        <w:spacing w:before="0" w:after="60" w:line="293" w:lineRule="auto"/>
        <w:ind w:left="351" w:hanging="193"/>
      </w:pPr>
      <w:r>
        <w:rPr>
          <w:rFonts w:ascii="Arial" w:hAnsi="Arial" w:cs="Arial" w:eastAsia="Arial"/>
          <w:color w:val="1B2733"/>
          <w:sz w:val="19"/>
        </w:rPr>
        <w:t>municipal waste-treatment customers;</w:t>
      </w:r>
    </w:p>
    <w:p>
      <w:pPr>
        <w:pStyle w:val="ListBullet"/>
        <w:spacing w:before="0" w:after="60" w:line="293" w:lineRule="auto"/>
        <w:ind w:left="351" w:hanging="193"/>
      </w:pPr>
      <w:r>
        <w:rPr>
          <w:rFonts w:ascii="Arial" w:hAnsi="Arial" w:cs="Arial" w:eastAsia="Arial"/>
          <w:color w:val="1B2733"/>
          <w:sz w:val="19"/>
        </w:rPr>
        <w:t>installed waste-crane equipment;</w:t>
      </w:r>
    </w:p>
    <w:p>
      <w:pPr>
        <w:pStyle w:val="ListBullet"/>
        <w:spacing w:before="0" w:after="60" w:line="293" w:lineRule="auto"/>
        <w:ind w:left="351" w:hanging="193"/>
      </w:pPr>
      <w:r>
        <w:rPr>
          <w:rFonts w:ascii="Arial" w:hAnsi="Arial" w:cs="Arial" w:eastAsia="Arial"/>
          <w:color w:val="1B2733"/>
          <w:sz w:val="19"/>
        </w:rPr>
        <w:t>recurring municipal aftermarket;</w:t>
      </w:r>
    </w:p>
    <w:p>
      <w:pPr>
        <w:pStyle w:val="ListBullet"/>
        <w:spacing w:before="0" w:after="60" w:line="293" w:lineRule="auto"/>
        <w:ind w:left="351" w:hanging="193"/>
      </w:pPr>
      <w:r>
        <w:rPr>
          <w:rFonts w:ascii="Arial" w:hAnsi="Arial" w:cs="Arial" w:eastAsia="Arial"/>
          <w:color w:val="1B2733"/>
          <w:sz w:val="19"/>
        </w:rPr>
        <w:t>Japanese naval equipment categories;</w:t>
      </w:r>
    </w:p>
    <w:p>
      <w:pPr>
        <w:pStyle w:val="ListBullet"/>
        <w:spacing w:before="0" w:after="60" w:line="293" w:lineRule="auto"/>
        <w:ind w:left="351" w:hanging="193"/>
      </w:pPr>
      <w:r>
        <w:rPr>
          <w:rFonts w:ascii="Arial" w:hAnsi="Arial" w:cs="Arial" w:eastAsia="Arial"/>
          <w:color w:val="1B2733"/>
          <w:sz w:val="19"/>
        </w:rPr>
        <w:t>JMSDF manufacturer qualification;</w:t>
      </w:r>
    </w:p>
    <w:p>
      <w:pPr>
        <w:pStyle w:val="ListBullet"/>
        <w:spacing w:before="0" w:after="60" w:line="293" w:lineRule="auto"/>
        <w:ind w:left="351" w:hanging="193"/>
      </w:pPr>
      <w:r>
        <w:rPr>
          <w:rFonts w:ascii="Arial" w:hAnsi="Arial" w:cs="Arial" w:eastAsia="Arial"/>
          <w:color w:val="1B2733"/>
          <w:sz w:val="19"/>
        </w:rPr>
        <w:t>named vessel/class relationships;</w:t>
      </w:r>
    </w:p>
    <w:p>
      <w:pPr>
        <w:pStyle w:val="ListBullet"/>
        <w:spacing w:before="0" w:after="60" w:line="293" w:lineRule="auto"/>
        <w:ind w:left="351" w:hanging="193"/>
      </w:pPr>
      <w:r>
        <w:rPr>
          <w:rFonts w:ascii="Arial" w:hAnsi="Arial" w:cs="Arial" w:eastAsia="Arial"/>
          <w:color w:val="1B2733"/>
          <w:sz w:val="19"/>
        </w:rPr>
        <w:t>major commercial shipbuilding customers;</w:t>
      </w:r>
    </w:p>
    <w:p>
      <w:pPr>
        <w:pStyle w:val="ListBullet"/>
        <w:spacing w:before="0" w:after="60" w:line="293" w:lineRule="auto"/>
        <w:ind w:left="351" w:hanging="193"/>
      </w:pPr>
      <w:r>
        <w:rPr>
          <w:rFonts w:ascii="Arial" w:hAnsi="Arial" w:cs="Arial" w:eastAsia="Arial"/>
          <w:color w:val="1B2733"/>
          <w:sz w:val="19"/>
        </w:rPr>
        <w:t>major power-sector customers;</w:t>
      </w:r>
    </w:p>
    <w:p>
      <w:pPr>
        <w:pStyle w:val="ListBullet"/>
        <w:spacing w:before="0" w:after="60" w:line="293" w:lineRule="auto"/>
        <w:ind w:left="351" w:hanging="193"/>
      </w:pPr>
      <w:r>
        <w:rPr>
          <w:rFonts w:ascii="Arial" w:hAnsi="Arial" w:cs="Arial" w:eastAsia="Arial"/>
          <w:color w:val="1B2733"/>
          <w:sz w:val="19"/>
        </w:rPr>
        <w:t>product/application relationships;</w:t>
      </w:r>
    </w:p>
    <w:p>
      <w:pPr>
        <w:pStyle w:val="ListBullet"/>
        <w:spacing w:before="0" w:after="60" w:line="293" w:lineRule="auto"/>
        <w:ind w:left="351" w:hanging="193"/>
      </w:pPr>
      <w:r>
        <w:rPr>
          <w:rFonts w:ascii="Arial" w:hAnsi="Arial" w:cs="Arial" w:eastAsia="Arial"/>
          <w:color w:val="1B2733"/>
          <w:sz w:val="19"/>
        </w:rPr>
        <w:t>aftermarket/service model. Partially reconstructable</w:t>
      </w:r>
    </w:p>
    <w:p>
      <w:pPr>
        <w:pStyle w:val="ListBullet"/>
        <w:spacing w:before="0" w:after="60" w:line="293" w:lineRule="auto"/>
        <w:ind w:left="351" w:hanging="193"/>
      </w:pPr>
      <w:r>
        <w:rPr>
          <w:rFonts w:ascii="Arial" w:hAnsi="Arial" w:cs="Arial" w:eastAsia="Arial"/>
          <w:color w:val="1B2733"/>
          <w:sz w:val="19"/>
        </w:rPr>
        <w:t>commercial vessel-level customers;</w:t>
      </w:r>
    </w:p>
    <w:p>
      <w:pPr>
        <w:pStyle w:val="ListBullet"/>
        <w:spacing w:before="0" w:after="60" w:line="293" w:lineRule="auto"/>
        <w:ind w:left="351" w:hanging="193"/>
      </w:pPr>
      <w:r>
        <w:rPr>
          <w:rFonts w:ascii="Arial" w:hAnsi="Arial" w:cs="Arial" w:eastAsia="Arial"/>
          <w:color w:val="1B2733"/>
          <w:sz w:val="19"/>
        </w:rPr>
        <w:t>individual shipowners;</w:t>
      </w:r>
    </w:p>
    <w:p>
      <w:pPr>
        <w:pStyle w:val="ListBullet"/>
        <w:spacing w:before="0" w:after="60" w:line="293" w:lineRule="auto"/>
        <w:ind w:left="351" w:hanging="193"/>
      </w:pPr>
      <w:r>
        <w:rPr>
          <w:rFonts w:ascii="Arial" w:hAnsi="Arial" w:cs="Arial" w:eastAsia="Arial"/>
          <w:color w:val="1B2733"/>
          <w:sz w:val="19"/>
        </w:rPr>
        <w:t>individual LNG/tanker operators;</w:t>
      </w:r>
    </w:p>
    <w:p>
      <w:pPr>
        <w:pStyle w:val="ListBullet"/>
        <w:spacing w:before="0" w:after="60" w:line="293" w:lineRule="auto"/>
        <w:ind w:left="351" w:hanging="193"/>
      </w:pPr>
      <w:r>
        <w:rPr>
          <w:rFonts w:ascii="Arial" w:hAnsi="Arial" w:cs="Arial" w:eastAsia="Arial"/>
          <w:color w:val="1B2733"/>
          <w:sz w:val="19"/>
        </w:rPr>
        <w:t>individual port operators;</w:t>
      </w:r>
    </w:p>
    <w:p>
      <w:pPr>
        <w:pStyle w:val="ListBullet"/>
        <w:spacing w:before="0" w:after="60" w:line="293" w:lineRule="auto"/>
        <w:ind w:left="351" w:hanging="193"/>
      </w:pPr>
      <w:r>
        <w:rPr>
          <w:rFonts w:ascii="Arial" w:hAnsi="Arial" w:cs="Arial" w:eastAsia="Arial"/>
          <w:color w:val="1B2733"/>
          <w:sz w:val="19"/>
        </w:rPr>
        <w:t>exact procurement chains between Fukushima and final end users. Not reliably reconstructable</w:t>
      </w:r>
    </w:p>
    <w:p>
      <w:pPr>
        <w:pStyle w:val="ListBullet"/>
        <w:spacing w:before="0" w:after="60" w:line="293" w:lineRule="auto"/>
        <w:ind w:left="351" w:hanging="193"/>
      </w:pPr>
      <w:r>
        <w:rPr>
          <w:rFonts w:ascii="Arial" w:hAnsi="Arial" w:cs="Arial" w:eastAsia="Arial"/>
          <w:color w:val="1B2733"/>
          <w:sz w:val="19"/>
        </w:rPr>
        <w:t>complete customer list;</w:t>
      </w:r>
    </w:p>
    <w:p>
      <w:pPr>
        <w:pStyle w:val="ListBullet"/>
        <w:spacing w:before="0" w:after="60" w:line="293" w:lineRule="auto"/>
        <w:ind w:left="351" w:hanging="193"/>
      </w:pPr>
      <w:r>
        <w:rPr>
          <w:rFonts w:ascii="Arial" w:hAnsi="Arial" w:cs="Arial" w:eastAsia="Arial"/>
          <w:color w:val="1B2733"/>
          <w:sz w:val="19"/>
        </w:rPr>
        <w:t>customer revenue concentration;</w:t>
      </w:r>
    </w:p>
    <w:p>
      <w:pPr>
        <w:pStyle w:val="ListBullet"/>
        <w:spacing w:before="0" w:after="60" w:line="293" w:lineRule="auto"/>
        <w:ind w:left="351" w:hanging="193"/>
      </w:pPr>
      <w:r>
        <w:rPr>
          <w:rFonts w:ascii="Arial" w:hAnsi="Arial" w:cs="Arial" w:eastAsia="Arial"/>
          <w:color w:val="1B2733"/>
          <w:sz w:val="19"/>
        </w:rPr>
        <w:t>exact revenue per customer;</w:t>
      </w:r>
    </w:p>
    <w:p>
      <w:pPr>
        <w:pStyle w:val="ListBullet"/>
        <w:spacing w:before="0" w:after="60" w:line="293" w:lineRule="auto"/>
        <w:ind w:left="351" w:hanging="193"/>
      </w:pPr>
      <w:r>
        <w:rPr>
          <w:rFonts w:ascii="Arial" w:hAnsi="Arial" w:cs="Arial" w:eastAsia="Arial"/>
          <w:color w:val="1B2733"/>
          <w:sz w:val="19"/>
        </w:rPr>
        <w:t>complete commercial vessel installed base by owner;</w:t>
      </w:r>
    </w:p>
    <w:p>
      <w:pPr>
        <w:pStyle w:val="ListBullet"/>
        <w:spacing w:before="0" w:after="60" w:line="293" w:lineRule="auto"/>
        <w:ind w:left="351" w:hanging="193"/>
      </w:pPr>
      <w:r>
        <w:rPr>
          <w:rFonts w:ascii="Arial" w:hAnsi="Arial" w:cs="Arial" w:eastAsia="Arial"/>
          <w:color w:val="1B2733"/>
          <w:sz w:val="19"/>
        </w:rPr>
        <w:t>all Tier-2/Tier-3 customers;</w:t>
      </w:r>
    </w:p>
    <w:p>
      <w:pPr>
        <w:pStyle w:val="ListBullet"/>
        <w:spacing w:before="0" w:after="60" w:line="293" w:lineRule="auto"/>
        <w:ind w:left="351" w:hanging="193"/>
      </w:pPr>
      <w:r>
        <w:rPr>
          <w:rFonts w:ascii="Arial" w:hAnsi="Arial" w:cs="Arial" w:eastAsia="Arial"/>
          <w:color w:val="1B2733"/>
          <w:sz w:val="19"/>
        </w:rPr>
        <w:t>contractual exclusivity;</w:t>
      </w:r>
    </w:p>
    <w:p>
      <w:pPr>
        <w:pStyle w:val="ListBullet"/>
        <w:spacing w:before="0" w:after="60" w:line="293" w:lineRule="auto"/>
        <w:ind w:left="351" w:hanging="193"/>
      </w:pPr>
      <w:r>
        <w:rPr>
          <w:rFonts w:ascii="Arial" w:hAnsi="Arial" w:cs="Arial" w:eastAsia="Arial"/>
          <w:color w:val="1B2733"/>
          <w:sz w:val="19"/>
        </w:rPr>
        <w:t>total annual procurement volume by customer. This is an important result in itself. A good procurement investigation does not claim visibility that the public record does not</w:t>
      </w:r>
    </w:p>
    <w:p>
      <w:pPr>
        <w:spacing w:before="0" w:after="120" w:line="307" w:lineRule="auto"/>
      </w:pPr>
      <w:r>
        <w:rPr>
          <w:rFonts w:ascii="Arial" w:hAnsi="Arial" w:cs="Arial" w:eastAsia="Arial"/>
          <w:b w:val="0"/>
          <w:i w:val="0"/>
          <w:color w:val="1B2733"/>
          <w:sz w:val="19"/>
        </w:rPr>
        <w:t>provide.</w:t>
      </w:r>
    </w:p>
    <w:p>
      <w:pPr>
        <w:pStyle w:val="Heading1"/>
        <w:keepNext/>
        <w:spacing w:before="280" w:after="60" w:line="252" w:lineRule="auto"/>
        <w:pBdr>
          <w:bottom w:val="single" w:sz="12" w:space="4" w:color="1F4E79"/>
        </w:pBdr>
      </w:pPr>
      <w:r>
        <w:rPr>
          <w:rFonts w:ascii="Arial" w:hAnsi="Arial" w:cs="Arial" w:eastAsia="Arial"/>
          <w:b/>
          <w:color w:val="1F4E79"/>
          <w:sz w:val="30"/>
        </w:rPr>
        <w:t>23. Key Negative Findings</w:t>
      </w:r>
    </w:p>
    <w:p>
      <w:pPr>
        <w:spacing w:before="0" w:after="120" w:line="307" w:lineRule="auto"/>
      </w:pPr>
      <w:r>
        <w:rPr>
          <w:rFonts w:ascii="Arial" w:hAnsi="Arial" w:cs="Arial" w:eastAsia="Arial"/>
          <w:b w:val="0"/>
          <w:i w:val="0"/>
          <w:color w:val="1B2733"/>
          <w:sz w:val="19"/>
        </w:rPr>
        <w:t>Several tempting conclusions were deliberately rejected. Application overlap ≠ customer relationship The existence of Fukushima products in:</w:t>
      </w:r>
    </w:p>
    <w:p>
      <w:pPr>
        <w:pStyle w:val="ListBullet"/>
        <w:spacing w:before="0" w:after="60" w:line="293" w:lineRule="auto"/>
        <w:ind w:left="351" w:hanging="193"/>
      </w:pPr>
      <w:r>
        <w:rPr>
          <w:rFonts w:ascii="Arial" w:hAnsi="Arial" w:cs="Arial" w:eastAsia="Arial"/>
          <w:color w:val="1B2733"/>
          <w:sz w:val="19"/>
        </w:rPr>
        <w:t>ports;</w:t>
      </w:r>
    </w:p>
    <w:p>
      <w:pPr>
        <w:pStyle w:val="ListBullet"/>
        <w:spacing w:before="0" w:after="60" w:line="293" w:lineRule="auto"/>
        <w:ind w:left="351" w:hanging="193"/>
      </w:pPr>
      <w:r>
        <w:rPr>
          <w:rFonts w:ascii="Arial" w:hAnsi="Arial" w:cs="Arial" w:eastAsia="Arial"/>
          <w:color w:val="1B2733"/>
          <w:sz w:val="19"/>
        </w:rPr>
        <w:t>shipyards;</w:t>
      </w:r>
    </w:p>
    <w:p>
      <w:pPr>
        <w:pStyle w:val="ListBullet"/>
        <w:spacing w:before="0" w:after="60" w:line="293" w:lineRule="auto"/>
        <w:ind w:left="351" w:hanging="193"/>
      </w:pPr>
      <w:r>
        <w:rPr>
          <w:rFonts w:ascii="Arial" w:hAnsi="Arial" w:cs="Arial" w:eastAsia="Arial"/>
          <w:color w:val="1B2733"/>
          <w:sz w:val="19"/>
        </w:rPr>
        <w:t>waste plants;</w:t>
      </w:r>
    </w:p>
    <w:p>
      <w:pPr>
        <w:pStyle w:val="ListBullet"/>
        <w:spacing w:before="0" w:after="60" w:line="293" w:lineRule="auto"/>
        <w:ind w:left="351" w:hanging="193"/>
      </w:pPr>
      <w:r>
        <w:rPr>
          <w:rFonts w:ascii="Arial" w:hAnsi="Arial" w:cs="Arial" w:eastAsia="Arial"/>
          <w:color w:val="1B2733"/>
          <w:sz w:val="19"/>
        </w:rPr>
        <w:t>hydropower stations does not prove that a particular operator purchased the equipment. Shipbuilder ≠ shipowner</w:t>
      </w:r>
    </w:p>
    <w:p>
      <w:pPr>
        <w:spacing w:before="0" w:after="120" w:line="307" w:lineRule="auto"/>
      </w:pPr>
      <w:r>
        <w:rPr>
          <w:rFonts w:ascii="Arial" w:hAnsi="Arial" w:cs="Arial" w:eastAsia="Arial"/>
          <w:b w:val="0"/>
          <w:i w:val="0"/>
          <w:color w:val="1B2733"/>
          <w:sz w:val="19"/>
        </w:rPr>
        <w:t>A relationship with Japan Marine United does not establish that Fukushima directly supplies the owner of every vessel built by JMU. Procurement participation ≠ contract award A Fukushima bid appearing in a procurement database does not prove that Fukushima won the tender. Technical dependency ≠ legal monopoly A municipality stating that manufacturer expertise is required does not automatically establish contractual exclusivity. Product manufacturer ≠ end-user A Ministry of Defense procurement document can establish Fukushima as manufacturer/supplier of equipment without identifying the ultimate operational unit or vessel. These distinctions are essential to maintaining analytical integrity.</w:t>
      </w:r>
    </w:p>
    <w:p>
      <w:pPr>
        <w:pStyle w:val="Heading1"/>
        <w:keepNext/>
        <w:spacing w:before="280" w:after="60" w:line="252" w:lineRule="auto"/>
        <w:pBdr>
          <w:bottom w:val="single" w:sz="12" w:space="4" w:color="1F4E79"/>
        </w:pBdr>
      </w:pPr>
      <w:r>
        <w:rPr>
          <w:rFonts w:ascii="Arial" w:hAnsi="Arial" w:cs="Arial" w:eastAsia="Arial"/>
          <w:b/>
          <w:color w:val="1F4E79"/>
          <w:sz w:val="30"/>
        </w:rPr>
        <w:t>24. Final Assessment</w:t>
      </w:r>
    </w:p>
    <w:p>
      <w:pPr>
        <w:spacing w:before="0" w:after="120" w:line="307" w:lineRule="auto"/>
      </w:pPr>
      <w:r>
        <w:rPr>
          <w:rFonts w:ascii="Arial" w:hAnsi="Arial" w:cs="Arial" w:eastAsia="Arial"/>
          <w:b w:val="0"/>
          <w:i w:val="0"/>
          <w:color w:val="1B2733"/>
          <w:sz w:val="19"/>
        </w:rPr>
        <w:t>The public Japanese record allows a meaningful and unusually detailed reconstruction of Fukushima Seisakusho's downstream ecosystem . The strongest identifiable segments are:</w:t>
      </w:r>
    </w:p>
    <w:p>
      <w:pPr>
        <w:pStyle w:val="Heading2"/>
        <w:keepNext/>
        <w:spacing w:before="220" w:after="60" w:line="252" w:lineRule="auto"/>
      </w:pPr>
      <w:r>
        <w:rPr>
          <w:rFonts w:ascii="Arial" w:hAnsi="Arial" w:cs="Arial" w:eastAsia="Arial"/>
          <w:b/>
          <w:color w:val="1B2733"/>
          <w:sz w:val="22"/>
        </w:rPr>
        <w:t>1. Municipal waste infrastructure</w:t>
      </w:r>
    </w:p>
    <w:p>
      <w:pPr>
        <w:spacing w:before="0" w:after="120" w:line="307" w:lineRule="auto"/>
      </w:pPr>
      <w:r>
        <w:rPr>
          <w:rFonts w:ascii="Arial" w:hAnsi="Arial" w:cs="Arial" w:eastAsia="Arial"/>
          <w:b w:val="0"/>
          <w:i w:val="0"/>
          <w:color w:val="1B2733"/>
          <w:sz w:val="19"/>
        </w:rPr>
        <w:t>This is the clearest commercial ecosystem. Evidence demonstrates: Fukushima grab bucket → municipal waste facility → installed base → manufacturer-specific repair → recurring procurement. The evidence spans multiple municipalities and facilities, making this a network rather than a single customer case.</w:t>
      </w:r>
    </w:p>
    <w:p>
      <w:pPr>
        <w:pStyle w:val="Heading2"/>
        <w:keepNext/>
        <w:spacing w:before="220" w:after="60" w:line="252" w:lineRule="auto"/>
      </w:pPr>
      <w:r>
        <w:rPr>
          <w:rFonts w:ascii="Arial" w:hAnsi="Arial" w:cs="Arial" w:eastAsia="Arial"/>
          <w:b/>
          <w:color w:val="1B2733"/>
          <w:sz w:val="22"/>
        </w:rPr>
        <w:t>2. Japanese naval procurement</w:t>
      </w:r>
    </w:p>
    <w:p>
      <w:pPr>
        <w:spacing w:before="0" w:after="120" w:line="307" w:lineRule="auto"/>
      </w:pPr>
      <w:r>
        <w:rPr>
          <w:rFonts w:ascii="Arial" w:hAnsi="Arial" w:cs="Arial" w:eastAsia="Arial"/>
          <w:b w:val="0"/>
          <w:i w:val="0"/>
          <w:color w:val="1B2733"/>
          <w:sz w:val="19"/>
        </w:rPr>
        <w:t>This is the second strongest segment. Government documents identify Fukushima as manufacturer/supplier for:</w:t>
      </w:r>
    </w:p>
    <w:p>
      <w:pPr>
        <w:pStyle w:val="ListBullet"/>
        <w:spacing w:before="0" w:after="60" w:line="293" w:lineRule="auto"/>
        <w:ind w:left="351" w:hanging="193"/>
      </w:pPr>
      <w:r>
        <w:rPr>
          <w:rFonts w:ascii="Arial" w:hAnsi="Arial" w:cs="Arial" w:eastAsia="Arial"/>
          <w:color w:val="1B2733"/>
          <w:sz w:val="19"/>
        </w:rPr>
        <w:t>deck-crane components;</w:t>
      </w:r>
    </w:p>
    <w:p>
      <w:pPr>
        <w:pStyle w:val="ListBullet"/>
        <w:spacing w:before="0" w:after="60" w:line="293" w:lineRule="auto"/>
        <w:ind w:left="351" w:hanging="193"/>
      </w:pPr>
      <w:r>
        <w:rPr>
          <w:rFonts w:ascii="Arial" w:hAnsi="Arial" w:cs="Arial" w:eastAsia="Arial"/>
          <w:color w:val="1B2733"/>
          <w:sz w:val="19"/>
        </w:rPr>
        <w:t>hydraulic equipment;</w:t>
      </w:r>
    </w:p>
    <w:p>
      <w:pPr>
        <w:pStyle w:val="ListBullet"/>
        <w:spacing w:before="0" w:after="60" w:line="293" w:lineRule="auto"/>
        <w:ind w:left="351" w:hanging="193"/>
      </w:pPr>
      <w:r>
        <w:rPr>
          <w:rFonts w:ascii="Arial" w:hAnsi="Arial" w:cs="Arial" w:eastAsia="Arial"/>
          <w:color w:val="1B2733"/>
          <w:sz w:val="19"/>
        </w:rPr>
        <w:t>anchor/mooring equipment;</w:t>
      </w:r>
    </w:p>
    <w:p>
      <w:pPr>
        <w:pStyle w:val="ListBullet"/>
        <w:spacing w:before="0" w:after="60" w:line="293" w:lineRule="auto"/>
        <w:ind w:left="351" w:hanging="193"/>
      </w:pPr>
      <w:r>
        <w:rPr>
          <w:rFonts w:ascii="Arial" w:hAnsi="Arial" w:cs="Arial" w:eastAsia="Arial"/>
          <w:color w:val="1B2733"/>
          <w:sz w:val="19"/>
        </w:rPr>
        <w:t>inspection and repair services. Named-vessel and class-level procurement evidence further strengthens the relationship.</w:t>
      </w:r>
    </w:p>
    <w:p>
      <w:pPr>
        <w:pStyle w:val="Heading2"/>
        <w:keepNext/>
        <w:spacing w:before="220" w:after="60" w:line="252" w:lineRule="auto"/>
      </w:pPr>
      <w:r>
        <w:rPr>
          <w:rFonts w:ascii="Arial" w:hAnsi="Arial" w:cs="Arial" w:eastAsia="Arial"/>
          <w:b/>
          <w:color w:val="1B2733"/>
          <w:sz w:val="22"/>
        </w:rPr>
        <w:t>3. Commercial marine</w:t>
      </w:r>
    </w:p>
    <w:p>
      <w:pPr>
        <w:spacing w:before="0" w:after="120" w:line="307" w:lineRule="auto"/>
      </w:pPr>
      <w:r>
        <w:rPr>
          <w:rFonts w:ascii="Arial" w:hAnsi="Arial" w:cs="Arial" w:eastAsia="Arial"/>
          <w:b w:val="0"/>
          <w:i w:val="0"/>
          <w:color w:val="1B2733"/>
          <w:sz w:val="19"/>
        </w:rPr>
        <w:t>The company itself identifies major shipbuilding customers including:</w:t>
      </w:r>
    </w:p>
    <w:p>
      <w:pPr>
        <w:pStyle w:val="ListBullet"/>
        <w:spacing w:before="0" w:after="60" w:line="293" w:lineRule="auto"/>
        <w:ind w:left="351" w:hanging="193"/>
      </w:pPr>
      <w:r>
        <w:rPr>
          <w:rFonts w:ascii="Arial" w:hAnsi="Arial" w:cs="Arial" w:eastAsia="Arial"/>
          <w:color w:val="1B2733"/>
          <w:sz w:val="19"/>
        </w:rPr>
        <w:t>Japan Marine United;</w:t>
      </w:r>
    </w:p>
    <w:p>
      <w:pPr>
        <w:pStyle w:val="ListBullet"/>
        <w:spacing w:before="0" w:after="60" w:line="293" w:lineRule="auto"/>
        <w:ind w:left="351" w:hanging="193"/>
      </w:pPr>
      <w:r>
        <w:rPr>
          <w:rFonts w:ascii="Arial" w:hAnsi="Arial" w:cs="Arial" w:eastAsia="Arial"/>
          <w:color w:val="1B2733"/>
          <w:sz w:val="19"/>
        </w:rPr>
        <w:t>Mitsubishi Shipbuilding;</w:t>
      </w:r>
    </w:p>
    <w:p>
      <w:pPr>
        <w:pStyle w:val="ListBullet"/>
        <w:spacing w:before="0" w:after="60" w:line="293" w:lineRule="auto"/>
        <w:ind w:left="351" w:hanging="193"/>
      </w:pPr>
      <w:r>
        <w:rPr>
          <w:rFonts w:ascii="Arial" w:hAnsi="Arial" w:cs="Arial" w:eastAsia="Arial"/>
          <w:color w:val="1B2733"/>
          <w:sz w:val="19"/>
        </w:rPr>
        <w:t>Mitsui E&amp;S;</w:t>
      </w:r>
    </w:p>
    <w:p>
      <w:pPr>
        <w:pStyle w:val="ListBullet"/>
        <w:spacing w:before="0" w:after="60" w:line="293" w:lineRule="auto"/>
        <w:ind w:left="351" w:hanging="193"/>
      </w:pPr>
      <w:r>
        <w:rPr>
          <w:rFonts w:ascii="Arial" w:hAnsi="Arial" w:cs="Arial" w:eastAsia="Arial"/>
          <w:color w:val="1B2733"/>
          <w:sz w:val="19"/>
        </w:rPr>
        <w:t>Daewoo Shipbuilding &amp; Marine Engineering;</w:t>
      </w:r>
    </w:p>
    <w:p>
      <w:pPr>
        <w:pStyle w:val="ListBullet"/>
        <w:spacing w:before="0" w:after="60" w:line="293" w:lineRule="auto"/>
        <w:ind w:left="351" w:hanging="193"/>
      </w:pPr>
      <w:r>
        <w:rPr>
          <w:rFonts w:ascii="Arial" w:hAnsi="Arial" w:cs="Arial" w:eastAsia="Arial"/>
          <w:color w:val="1B2733"/>
          <w:sz w:val="19"/>
        </w:rPr>
        <w:t>Hyundai Heavy Industries. The company's own marine-service documentation additionally demonstrates a global aftermarket model involving spare parts, onboard inspection, maintenance, repair and retrofit.</w:t>
      </w:r>
    </w:p>
    <w:p>
      <w:pPr>
        <w:pStyle w:val="Heading2"/>
        <w:keepNext/>
        <w:spacing w:before="220" w:after="60" w:line="252" w:lineRule="auto"/>
      </w:pPr>
      <w:r>
        <w:rPr>
          <w:rFonts w:ascii="Arial" w:hAnsi="Arial" w:cs="Arial" w:eastAsia="Arial"/>
          <w:b/>
          <w:color w:val="1B2733"/>
          <w:sz w:val="22"/>
        </w:rPr>
        <w:t>4. Power generation</w:t>
      </w:r>
    </w:p>
    <w:p>
      <w:pPr>
        <w:spacing w:before="0" w:after="120" w:line="307" w:lineRule="auto"/>
      </w:pPr>
      <w:r>
        <w:rPr>
          <w:rFonts w:ascii="Arial" w:hAnsi="Arial" w:cs="Arial" w:eastAsia="Arial"/>
          <w:b w:val="0"/>
          <w:i w:val="0"/>
          <w:color w:val="1B2733"/>
          <w:sz w:val="19"/>
        </w:rPr>
        <w:t>The company identifies major Japanese utilities including:</w:t>
      </w:r>
    </w:p>
    <w:p>
      <w:pPr>
        <w:pStyle w:val="ListBullet"/>
        <w:spacing w:before="0" w:after="60" w:line="293" w:lineRule="auto"/>
        <w:ind w:left="351" w:hanging="193"/>
      </w:pPr>
      <w:r>
        <w:rPr>
          <w:rFonts w:ascii="Arial" w:hAnsi="Arial" w:cs="Arial" w:eastAsia="Arial"/>
          <w:color w:val="1B2733"/>
          <w:sz w:val="19"/>
        </w:rPr>
        <w:t>TEPCO;</w:t>
      </w:r>
    </w:p>
    <w:p>
      <w:pPr>
        <w:pStyle w:val="ListBullet"/>
        <w:spacing w:before="0" w:after="60" w:line="293" w:lineRule="auto"/>
        <w:ind w:left="351" w:hanging="193"/>
      </w:pPr>
      <w:r>
        <w:rPr>
          <w:rFonts w:ascii="Arial" w:hAnsi="Arial" w:cs="Arial" w:eastAsia="Arial"/>
          <w:color w:val="1B2733"/>
          <w:sz w:val="19"/>
        </w:rPr>
        <w:t>Tohoku Electric Power;</w:t>
      </w:r>
    </w:p>
    <w:p>
      <w:pPr>
        <w:pStyle w:val="ListBullet"/>
        <w:spacing w:before="0" w:after="60" w:line="293" w:lineRule="auto"/>
        <w:ind w:left="351" w:hanging="193"/>
      </w:pPr>
      <w:r>
        <w:rPr>
          <w:rFonts w:ascii="Arial" w:hAnsi="Arial" w:cs="Arial" w:eastAsia="Arial"/>
          <w:color w:val="1B2733"/>
          <w:sz w:val="19"/>
        </w:rPr>
        <w:t>J-POWER. This establishes a power-sector customer ecosystem, although plant-level downstream reconstruction remains incomplete.</w:t>
      </w:r>
    </w:p>
    <w:p>
      <w:pPr>
        <w:pStyle w:val="Heading1"/>
        <w:keepNext/>
        <w:spacing w:before="280" w:after="60" w:line="252" w:lineRule="auto"/>
        <w:pBdr>
          <w:bottom w:val="single" w:sz="12" w:space="4" w:color="1F4E79"/>
        </w:pBdr>
      </w:pPr>
      <w:r>
        <w:rPr>
          <w:rFonts w:ascii="Arial" w:hAnsi="Arial" w:cs="Arial" w:eastAsia="Arial"/>
          <w:b/>
          <w:color w:val="1F4E79"/>
          <w:sz w:val="30"/>
        </w:rPr>
        <w:t>25. Final Answer to the Investigation</w:t>
      </w:r>
    </w:p>
    <w:p>
      <w:pPr>
        <w:pStyle w:val="Heading1"/>
        <w:keepNext/>
        <w:spacing w:before="280" w:after="60" w:line="252" w:lineRule="auto"/>
        <w:pBdr>
          <w:bottom w:val="single" w:sz="12" w:space="4" w:color="1F4E79"/>
        </w:pBdr>
      </w:pPr>
      <w:r>
        <w:rPr>
          <w:rFonts w:ascii="Arial" w:hAnsi="Arial" w:cs="Arial" w:eastAsia="Arial"/>
          <w:b/>
          <w:color w:val="1F4E79"/>
          <w:sz w:val="30"/>
        </w:rPr>
        <w:t>Question</w:t>
      </w:r>
    </w:p>
    <w:p>
      <w:pPr>
        <w:spacing w:before="0" w:after="120" w:line="307" w:lineRule="auto"/>
      </w:pPr>
      <w:r>
        <w:rPr>
          <w:rFonts w:ascii="Arial" w:hAnsi="Arial" w:cs="Arial" w:eastAsia="Arial"/>
          <w:b w:val="0"/>
          <w:i w:val="0"/>
          <w:color w:val="1B2733"/>
          <w:sz w:val="19"/>
        </w:rPr>
        <w:t>How much of Fukushima Seisakusho's downstream commercial network can actually be reconstructed from public Japanese sources? A substantial portion of the network can be reconstructed, but not a complete customer list. The strongest publicly observable network consists of: Fukushima Seisakusho → specialized industrial equipment → municipal waste-treatment / naval / marine / power-generation applications → specific public-sector organizations and named industrial customers → installed equipment → inspection, repair, spare parts and replacement procurement. The most important finding is that Fukushima's downstream network is more visible through procurement behavior than through conventional corporate customer lists . Municipal procurement records reveal not only who purchased Fukushima equipment, but also:</w:t>
      </w:r>
    </w:p>
    <w:p>
      <w:pPr>
        <w:pStyle w:val="ListBullet"/>
        <w:spacing w:before="0" w:after="60" w:line="293" w:lineRule="auto"/>
        <w:ind w:left="351" w:hanging="193"/>
      </w:pPr>
      <w:r>
        <w:rPr>
          <w:rFonts w:ascii="Arial" w:hAnsi="Arial" w:cs="Arial" w:eastAsia="Arial"/>
          <w:color w:val="1B2733"/>
          <w:sz w:val="19"/>
        </w:rPr>
        <w:t>what equipment is installed;</w:t>
      </w:r>
    </w:p>
    <w:p>
      <w:pPr>
        <w:pStyle w:val="ListBullet"/>
        <w:spacing w:before="0" w:after="60" w:line="293" w:lineRule="auto"/>
        <w:ind w:left="351" w:hanging="193"/>
      </w:pPr>
      <w:r>
        <w:rPr>
          <w:rFonts w:ascii="Arial" w:hAnsi="Arial" w:cs="Arial" w:eastAsia="Arial"/>
          <w:color w:val="1B2733"/>
          <w:sz w:val="19"/>
        </w:rPr>
        <w:t>how long it remains in service;</w:t>
      </w:r>
    </w:p>
    <w:p>
      <w:pPr>
        <w:pStyle w:val="ListBullet"/>
        <w:spacing w:before="0" w:after="60" w:line="293" w:lineRule="auto"/>
        <w:ind w:left="351" w:hanging="193"/>
      </w:pPr>
      <w:r>
        <w:rPr>
          <w:rFonts w:ascii="Arial" w:hAnsi="Arial" w:cs="Arial" w:eastAsia="Arial"/>
          <w:color w:val="1B2733"/>
          <w:sz w:val="19"/>
        </w:rPr>
        <w:t>why maintenance returns to the original manufacturer;</w:t>
      </w:r>
    </w:p>
    <w:p>
      <w:pPr>
        <w:pStyle w:val="ListBullet"/>
        <w:spacing w:before="0" w:after="60" w:line="293" w:lineRule="auto"/>
        <w:ind w:left="351" w:hanging="193"/>
      </w:pPr>
      <w:r>
        <w:rPr>
          <w:rFonts w:ascii="Arial" w:hAnsi="Arial" w:cs="Arial" w:eastAsia="Arial"/>
          <w:color w:val="1B2733"/>
          <w:sz w:val="19"/>
        </w:rPr>
        <w:t>what technical dependencies exist;</w:t>
      </w:r>
    </w:p>
    <w:p>
      <w:pPr>
        <w:pStyle w:val="ListBullet"/>
        <w:spacing w:before="0" w:after="60" w:line="293" w:lineRule="auto"/>
        <w:ind w:left="351" w:hanging="193"/>
      </w:pPr>
      <w:r>
        <w:rPr>
          <w:rFonts w:ascii="Arial" w:hAnsi="Arial" w:cs="Arial" w:eastAsia="Arial"/>
          <w:color w:val="1B2733"/>
          <w:sz w:val="19"/>
        </w:rPr>
        <w:t>how replacement and repair generate recurring procurement. Defence procurement provides an additional high-confidence layer, with official Japanese government records identifying Fukushima as the manufacturer of relevant naval equipment and documenting specific equipment/class/vessel procurement.</w:t>
      </w:r>
    </w:p>
    <w:p>
      <w:pPr>
        <w:spacing w:before="0" w:after="120" w:line="307" w:lineRule="auto"/>
      </w:pPr>
      <w:r>
        <w:rPr>
          <w:rFonts w:ascii="Arial" w:hAnsi="Arial" w:cs="Arial" w:eastAsia="Arial"/>
          <w:b w:val="0"/>
          <w:i w:val="0"/>
          <w:color w:val="1B2733"/>
          <w:sz w:val="19"/>
        </w:rPr>
        <w:t>Commercial marine relationships are also identifiable at company level, but public transparency decreases sharply when moving from shipbuilders to individual vessels and ultimate vessel owners. Therefore, the most defensible reconstruction is not: "Fukushima's customers are X, Y and Z." It is: "Public Japanese procurement and corporate records reveal a multi-sector installed-base ecosystem in which Fukushima supplies specialized equipment to municipal waste infrastructure, Japanese naval systems, commercial shipbuilders and power-sector customers, and subsequently monetizes that installed base through inspection, maintenance, spare parts, repair and replacement." This is a stronger and more analytically useful conclusion because it describes how the downstream commercial network operates , rather than merely enumerating company names.</w:t>
      </w:r>
    </w:p>
    <w:p>
      <w:pPr>
        <w:pStyle w:val="Heading1"/>
        <w:keepNext/>
        <w:spacing w:before="280" w:after="60" w:line="252" w:lineRule="auto"/>
        <w:pBdr>
          <w:bottom w:val="single" w:sz="12" w:space="4" w:color="1F4E79"/>
        </w:pBdr>
      </w:pPr>
      <w:r>
        <w:rPr>
          <w:rFonts w:ascii="Arial" w:hAnsi="Arial" w:cs="Arial" w:eastAsia="Arial"/>
          <w:b/>
          <w:color w:val="1F4E79"/>
          <w:sz w:val="30"/>
        </w:rPr>
        <w:t>26. Confidence Assessment</w:t>
      </w:r>
    </w:p>
    <w:p>
      <w:pPr>
        <w:spacing w:before="0" w:after="120" w:line="307" w:lineRule="auto"/>
      </w:pPr>
      <w:r>
        <w:rPr>
          <w:rFonts w:ascii="Arial" w:hAnsi="Arial" w:cs="Arial" w:eastAsia="Arial"/>
          <w:b w:val="0"/>
          <w:i w:val="0"/>
          <w:color w:val="1B2733"/>
          <w:sz w:val="19"/>
        </w:rPr>
        <w:t>Finding Confidence Fukushima's corporate identity and product scope Very High UBE Machinery ownership Very High Municipal waste-equipment customer relationships Very High Manufacturer-specific municipal aftermarket Very High Fukushima/JMSDF equipment relationship Very High Deck-crane manufacturer status Very High Anchor/mooring equipment relationship Very High JS Bungo procurement relationship High / Confirmed at procurement level Murasame-class procurement relationship High / class-level Commercial shipbuilder relationships High Power-sector customer relationships High Individual commercial vessel-owner relationships Low / incomplete Complete downstream customer network Not established Customer concentration Not established Legal exclusivity over aftermarket Not established</w:t>
      </w:r>
    </w:p>
    <w:p>
      <w:pPr>
        <w:pStyle w:val="Heading1"/>
        <w:keepNext/>
        <w:spacing w:before="280" w:after="60" w:line="252" w:lineRule="auto"/>
        <w:pBdr>
          <w:bottom w:val="single" w:sz="12" w:space="4" w:color="1F4E79"/>
        </w:pBdr>
      </w:pPr>
      <w:r>
        <w:rPr>
          <w:rFonts w:ascii="Arial" w:hAnsi="Arial" w:cs="Arial" w:eastAsia="Arial"/>
          <w:b/>
          <w:color w:val="1F4E79"/>
          <w:sz w:val="30"/>
        </w:rPr>
        <w:t>27. Source Strategy</w:t>
      </w:r>
    </w:p>
    <w:p>
      <w:pPr>
        <w:spacing w:before="0" w:after="120" w:line="307" w:lineRule="auto"/>
      </w:pPr>
      <w:r>
        <w:rPr>
          <w:rFonts w:ascii="Arial" w:hAnsi="Arial" w:cs="Arial" w:eastAsia="Arial"/>
          <w:b w:val="0"/>
          <w:i w:val="0"/>
          <w:color w:val="1B2733"/>
          <w:sz w:val="19"/>
        </w:rPr>
        <w:t>The most important sources for this investigation were: 1. Fukushima Seisakusho official corporate materials</w:t>
      </w:r>
    </w:p>
    <w:p>
      <w:pPr>
        <w:pStyle w:val="ListBullet"/>
        <w:spacing w:before="0" w:after="60" w:line="293" w:lineRule="auto"/>
        <w:ind w:left="351" w:hanging="193"/>
      </w:pPr>
      <w:r>
        <w:rPr>
          <w:rFonts w:ascii="Arial" w:hAnsi="Arial" w:cs="Arial" w:eastAsia="Arial"/>
          <w:color w:val="1B2733"/>
          <w:sz w:val="19"/>
        </w:rPr>
        <w:t>company profile, products and marine after-sales services. 2. Japanese Ministry of Defense / JMSDF procurement documents</w:t>
      </w:r>
    </w:p>
    <w:p>
      <w:pPr>
        <w:pStyle w:val="ListBullet"/>
        <w:spacing w:before="0" w:after="60" w:line="293" w:lineRule="auto"/>
        <w:ind w:left="351" w:hanging="193"/>
      </w:pPr>
      <w:r>
        <w:rPr>
          <w:rFonts w:ascii="Arial" w:hAnsi="Arial" w:cs="Arial" w:eastAsia="Arial"/>
          <w:color w:val="1B2733"/>
          <w:sz w:val="19"/>
        </w:rPr>
        <w:t>manufacturer qualification and naval equipment relationships. 3.</w:t>
      </w:r>
    </w:p>
    <w:p>
      <w:pPr>
        <w:spacing w:before="0" w:after="120" w:line="307" w:lineRule="auto"/>
      </w:pPr>
      <w:r>
        <w:rPr>
          <w:rFonts w:ascii="Arial" w:hAnsi="Arial" w:cs="Arial" w:eastAsia="Arial"/>
          <w:b w:val="0"/>
          <w:i w:val="0"/>
          <w:color w:val="1B2733"/>
          <w:sz w:val="19"/>
        </w:rPr>
        <w:t>Municipal procurement documents</w:t>
      </w:r>
    </w:p>
    <w:p>
      <w:pPr>
        <w:pStyle w:val="ListBullet"/>
        <w:spacing w:before="0" w:after="60" w:line="293" w:lineRule="auto"/>
        <w:ind w:left="351" w:hanging="193"/>
      </w:pPr>
      <w:r>
        <w:rPr>
          <w:rFonts w:ascii="Arial" w:hAnsi="Arial" w:cs="Arial" w:eastAsia="Arial"/>
          <w:color w:val="1B2733"/>
          <w:sz w:val="19"/>
        </w:rPr>
        <w:t>direct evidence of installed equipment and aftermarket procurement. 4.</w:t>
      </w:r>
    </w:p>
    <w:p>
      <w:pPr>
        <w:spacing w:before="0" w:after="120" w:line="307" w:lineRule="auto"/>
      </w:pPr>
      <w:r>
        <w:rPr>
          <w:rFonts w:ascii="Arial" w:hAnsi="Arial" w:cs="Arial" w:eastAsia="Arial"/>
          <w:b w:val="0"/>
          <w:i w:val="0"/>
          <w:color w:val="1B2733"/>
          <w:sz w:val="19"/>
        </w:rPr>
        <w:t>Fukushima's current customer disclosure</w:t>
      </w:r>
    </w:p>
    <w:p>
      <w:pPr>
        <w:pStyle w:val="ListBullet"/>
        <w:spacing w:before="0" w:after="60" w:line="293" w:lineRule="auto"/>
        <w:ind w:left="351" w:hanging="193"/>
      </w:pPr>
      <w:r>
        <w:rPr>
          <w:rFonts w:ascii="Arial" w:hAnsi="Arial" w:cs="Arial" w:eastAsia="Arial"/>
          <w:color w:val="1B2733"/>
          <w:sz w:val="19"/>
        </w:rPr>
        <w:t>company-level commercial customer relationships. 5. Industry and group sources</w:t>
      </w:r>
    </w:p>
    <w:p>
      <w:pPr>
        <w:pStyle w:val="ListBullet"/>
        <w:spacing w:before="0" w:after="60" w:line="293" w:lineRule="auto"/>
        <w:ind w:left="351" w:hanging="193"/>
      </w:pPr>
      <w:r>
        <w:rPr>
          <w:rFonts w:ascii="Arial" w:hAnsi="Arial" w:cs="Arial" w:eastAsia="Arial"/>
          <w:color w:val="1B2733"/>
          <w:sz w:val="19"/>
        </w:rPr>
        <w:t>historical context and manufacturing scale. Secondary procurement aggregators were used primarily as discovery aids and were not treated as equivalent to primary government records.</w:t>
      </w:r>
    </w:p>
    <w:p>
      <w:pPr>
        <w:pStyle w:val="Heading1"/>
        <w:keepNext/>
        <w:spacing w:before="280" w:after="60" w:line="252" w:lineRule="auto"/>
        <w:pBdr>
          <w:bottom w:val="single" w:sz="12" w:space="4" w:color="1F4E79"/>
        </w:pBdr>
      </w:pPr>
      <w:r>
        <w:rPr>
          <w:rFonts w:ascii="Arial" w:hAnsi="Arial" w:cs="Arial" w:eastAsia="Arial"/>
          <w:b/>
          <w:color w:val="1F4E79"/>
          <w:sz w:val="30"/>
        </w:rPr>
        <w:t>Conclusion</w:t>
      </w:r>
    </w:p>
    <w:p>
      <w:pPr>
        <w:spacing w:before="0" w:after="120" w:line="307" w:lineRule="auto"/>
      </w:pPr>
      <w:r>
        <w:rPr>
          <w:rFonts w:ascii="Arial" w:hAnsi="Arial" w:cs="Arial" w:eastAsia="Arial"/>
          <w:b w:val="0"/>
          <w:i w:val="0"/>
          <w:color w:val="1B2733"/>
          <w:sz w:val="19"/>
        </w:rPr>
        <w:t>This case demonstrates a practical procurement-intelligence methodology for a small Japanese industrial manufacturer: company → product → application → procurement mechanism → installed base → customer → aftermarket → downstream ecosystem. The key analytical lesson is that for specialized Japanese B2B manufacturers, the most reliable customer intelligence may not be found in customer lists at all . It can instead be reconstructed from:</w:t>
      </w:r>
    </w:p>
    <w:p>
      <w:pPr>
        <w:pStyle w:val="ListBullet"/>
        <w:spacing w:before="0" w:after="60" w:line="293" w:lineRule="auto"/>
        <w:ind w:left="351" w:hanging="193"/>
      </w:pPr>
      <w:r>
        <w:rPr>
          <w:rFonts w:ascii="Arial" w:hAnsi="Arial" w:cs="Arial" w:eastAsia="Arial"/>
          <w:color w:val="1B2733"/>
          <w:sz w:val="19"/>
        </w:rPr>
        <w:t>public procurement;</w:t>
      </w:r>
    </w:p>
    <w:p>
      <w:pPr>
        <w:pStyle w:val="ListBullet"/>
        <w:spacing w:before="0" w:after="60" w:line="293" w:lineRule="auto"/>
        <w:ind w:left="351" w:hanging="193"/>
      </w:pPr>
      <w:r>
        <w:rPr>
          <w:rFonts w:ascii="Arial" w:hAnsi="Arial" w:cs="Arial" w:eastAsia="Arial"/>
          <w:color w:val="1B2733"/>
          <w:sz w:val="19"/>
        </w:rPr>
        <w:t>manufacturer-specific repair justifications;</w:t>
      </w:r>
    </w:p>
    <w:p>
      <w:pPr>
        <w:pStyle w:val="ListBullet"/>
        <w:spacing w:before="0" w:after="60" w:line="293" w:lineRule="auto"/>
        <w:ind w:left="351" w:hanging="193"/>
      </w:pPr>
      <w:r>
        <w:rPr>
          <w:rFonts w:ascii="Arial" w:hAnsi="Arial" w:cs="Arial" w:eastAsia="Arial"/>
          <w:color w:val="1B2733"/>
          <w:sz w:val="19"/>
        </w:rPr>
        <w:t>government equipment catalogues;</w:t>
      </w:r>
    </w:p>
    <w:p>
      <w:pPr>
        <w:pStyle w:val="ListBullet"/>
        <w:spacing w:before="0" w:after="60" w:line="293" w:lineRule="auto"/>
        <w:ind w:left="351" w:hanging="193"/>
      </w:pPr>
      <w:r>
        <w:rPr>
          <w:rFonts w:ascii="Arial" w:hAnsi="Arial" w:cs="Arial" w:eastAsia="Arial"/>
          <w:color w:val="1B2733"/>
          <w:sz w:val="19"/>
        </w:rPr>
        <w:t>shipbuilding relationships;</w:t>
      </w:r>
    </w:p>
    <w:p>
      <w:pPr>
        <w:pStyle w:val="ListBullet"/>
        <w:spacing w:before="0" w:after="60" w:line="293" w:lineRule="auto"/>
        <w:ind w:left="351" w:hanging="193"/>
      </w:pPr>
      <w:r>
        <w:rPr>
          <w:rFonts w:ascii="Arial" w:hAnsi="Arial" w:cs="Arial" w:eastAsia="Arial"/>
          <w:color w:val="1B2733"/>
          <w:sz w:val="19"/>
        </w:rPr>
        <w:t>maintenance contracts;</w:t>
      </w:r>
    </w:p>
    <w:p>
      <w:pPr>
        <w:pStyle w:val="ListBullet"/>
        <w:spacing w:before="0" w:after="60" w:line="293" w:lineRule="auto"/>
        <w:ind w:left="351" w:hanging="193"/>
      </w:pPr>
      <w:r>
        <w:rPr>
          <w:rFonts w:ascii="Arial" w:hAnsi="Arial" w:cs="Arial" w:eastAsia="Arial"/>
          <w:color w:val="1B2733"/>
          <w:sz w:val="19"/>
        </w:rPr>
        <w:t>replacement-part procurement;</w:t>
      </w:r>
    </w:p>
    <w:p>
      <w:pPr>
        <w:pStyle w:val="ListBullet"/>
        <w:spacing w:before="0" w:after="60" w:line="293" w:lineRule="auto"/>
        <w:ind w:left="351" w:hanging="193"/>
      </w:pPr>
      <w:r>
        <w:rPr>
          <w:rFonts w:ascii="Arial" w:hAnsi="Arial" w:cs="Arial" w:eastAsia="Arial"/>
          <w:color w:val="1B2733"/>
          <w:sz w:val="19"/>
        </w:rPr>
        <w:t>and long-term installed-base evidence. For Fukushima Seisakusho, this approach produces a defensible downstream map while explicitly preserving the boundary between confirmed customers, strong company-disclosed relationships, probable project links and unsupported leads</w:t>
      </w:r>
    </w:p>
    <w:p>
      <w:pPr>
        <w:spacing w:before="0" w:after="120" w:line="307" w:lineRule="auto"/>
      </w:pPr>
      <w:r>
        <w:rPr>
          <w:rFonts w:ascii="Arial" w:hAnsi="Arial" w:cs="Arial" w:eastAsia="Arial"/>
          <w:b w:val="0"/>
          <w:i w:val="0"/>
          <w:color w:val="1B2733"/>
          <w:sz w:val="19"/>
        </w:rPr>
        <w:t>. That boundary is essential: the objective of the investigation is not to maximize the number of apparent customers, but to maximize the number of independently defensible relationships .</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Fukushima Seisakusho — Customer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