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CORPORATE DUE DILIGENCE</w:t>
      </w:r>
    </w:p>
    <w:p>
      <w:pPr>
        <w:spacing w:before="0" w:after="80" w:line="245" w:lineRule="auto"/>
      </w:pPr>
      <w:r>
        <w:rPr>
          <w:rFonts w:ascii="Arial" w:hAnsi="Arial" w:cs="Arial" w:eastAsia="Arial"/>
          <w:b/>
          <w:i w:val="0"/>
          <w:color w:val="1B2733"/>
          <w:sz w:val="54"/>
        </w:rPr>
        <w:t>Joint Stock Company “Penztyazhpromarmatura” (АО «Пензтяжпромарматура», АО «ПТПА»)</w:t>
      </w:r>
    </w:p>
    <w:p>
      <w:pPr>
        <w:spacing w:before="0" w:after="160" w:line="254" w:lineRule="auto"/>
      </w:pPr>
      <w:r>
        <w:rPr>
          <w:rFonts w:ascii="Arial" w:hAnsi="Arial" w:cs="Arial" w:eastAsia="Arial"/>
          <w:b w:val="0"/>
          <w:i w:val="0"/>
          <w:color w:val="1F4E79"/>
          <w:sz w:val="34"/>
        </w:rPr>
        <w:t>Ownership, industrial assets, nuclear-sector exposure and the limits of the public record</w:t>
      </w:r>
    </w:p>
    <w:p>
      <w:pPr>
        <w:spacing w:before="0" w:after="320" w:line="264" w:lineRule="auto"/>
      </w:pPr>
      <w:r>
        <w:rPr>
          <w:rFonts w:ascii="Arial" w:hAnsi="Arial" w:cs="Arial" w:eastAsia="Arial"/>
          <w:b w:val="0"/>
          <w:i w:val="0"/>
          <w:color w:val="555F6B"/>
          <w:sz w:val="22"/>
        </w:rPr>
        <w:t>Penza, Russia; legal address Moscow, Russian Federation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Object</w:t>
            </w:r>
          </w:p>
        </w:tc>
        <w:tc>
          <w:tcPr>
            <w:tcW w:type="dxa" w:w="7066"/>
          </w:tcPr>
          <w:p>
            <w:pPr>
              <w:spacing w:before="60" w:after="60" w:line="288" w:lineRule="auto"/>
            </w:pPr>
            <w:r>
              <w:rPr>
                <w:rFonts w:ascii="Arial" w:hAnsi="Arial" w:cs="Arial" w:eastAsia="Arial"/>
                <w:color w:val="1B2733"/>
                <w:sz w:val="18"/>
              </w:rPr>
              <w:t>Joint Stock Company “Penztyazhpromarmatura” (АО «Пензтяжпромарматура», АО «ПТПА»)</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Russian Federation</w:t>
            </w:r>
          </w:p>
        </w:tc>
      </w:tr>
      <w:tr>
        <w:tc>
          <w:tcPr>
            <w:tcW w:type="dxa" w:w="2232"/>
            <w:shd w:val="clear" w:color="auto" w:fill="EEF3F8"/>
          </w:tcPr>
          <w:p>
            <w:pPr>
              <w:spacing w:before="60" w:after="60"/>
            </w:pPr>
            <w:r>
              <w:rPr>
                <w:rFonts w:ascii="Arial" w:hAnsi="Arial" w:cs="Arial" w:eastAsia="Arial"/>
                <w:b/>
                <w:color w:val="1F4E79"/>
                <w:sz w:val="17"/>
              </w:rPr>
              <w:t>Primary location</w:t>
            </w:r>
          </w:p>
        </w:tc>
        <w:tc>
          <w:tcPr>
            <w:tcW w:type="dxa" w:w="7066"/>
          </w:tcPr>
          <w:p>
            <w:pPr>
              <w:spacing w:before="60" w:after="60" w:line="288" w:lineRule="auto"/>
            </w:pPr>
            <w:r>
              <w:rPr>
                <w:rFonts w:ascii="Arial" w:hAnsi="Arial" w:cs="Arial" w:eastAsia="Arial"/>
                <w:color w:val="1B2733"/>
                <w:sz w:val="18"/>
              </w:rPr>
              <w:t>Penza, Russia</w:t>
            </w:r>
          </w:p>
        </w:tc>
      </w:tr>
      <w:tr>
        <w:tc>
          <w:tcPr>
            <w:tcW w:type="dxa" w:w="2232"/>
            <w:shd w:val="clear" w:color="auto" w:fill="EEF3F8"/>
          </w:tcPr>
          <w:p>
            <w:pPr>
              <w:spacing w:before="60" w:after="60"/>
            </w:pPr>
            <w:r>
              <w:rPr>
                <w:rFonts w:ascii="Arial" w:hAnsi="Arial" w:cs="Arial" w:eastAsia="Arial"/>
                <w:b/>
                <w:color w:val="1F4E79"/>
                <w:sz w:val="17"/>
              </w:rPr>
              <w:t>Current legal address</w:t>
            </w:r>
          </w:p>
        </w:tc>
        <w:tc>
          <w:tcPr>
            <w:tcW w:type="dxa" w:w="7066"/>
          </w:tcPr>
          <w:p>
            <w:pPr>
              <w:spacing w:before="60" w:after="60" w:line="288" w:lineRule="auto"/>
            </w:pPr>
            <w:r>
              <w:rPr>
                <w:rFonts w:ascii="Arial" w:hAnsi="Arial" w:cs="Arial" w:eastAsia="Arial"/>
                <w:color w:val="1B2733"/>
                <w:sz w:val="18"/>
              </w:rPr>
              <w:t>Moscow, ul. Dorogobuzhskaya 14</w:t>
            </w:r>
          </w:p>
        </w:tc>
      </w:tr>
      <w:tr>
        <w:tc>
          <w:tcPr>
            <w:tcW w:type="dxa" w:w="2232"/>
            <w:shd w:val="clear" w:color="auto" w:fill="EEF3F8"/>
          </w:tcPr>
          <w:p>
            <w:pPr>
              <w:spacing w:before="60" w:after="60"/>
            </w:pPr>
            <w:r>
              <w:rPr>
                <w:rFonts w:ascii="Arial" w:hAnsi="Arial" w:cs="Arial" w:eastAsia="Arial"/>
                <w:b/>
                <w:color w:val="1F4E79"/>
                <w:sz w:val="17"/>
              </w:rPr>
              <w:t>OGRN</w:t>
            </w:r>
          </w:p>
        </w:tc>
        <w:tc>
          <w:tcPr>
            <w:tcW w:type="dxa" w:w="7066"/>
          </w:tcPr>
          <w:p>
            <w:pPr>
              <w:spacing w:before="60" w:after="60" w:line="288" w:lineRule="auto"/>
            </w:pPr>
            <w:r>
              <w:rPr>
                <w:rFonts w:ascii="Arial" w:hAnsi="Arial" w:cs="Arial" w:eastAsia="Arial"/>
                <w:color w:val="1B2733"/>
                <w:sz w:val="18"/>
              </w:rPr>
              <w:t>1025801216275</w:t>
            </w:r>
          </w:p>
        </w:tc>
      </w:tr>
      <w:tr>
        <w:tc>
          <w:tcPr>
            <w:tcW w:type="dxa" w:w="2232"/>
            <w:shd w:val="clear" w:color="auto" w:fill="EEF3F8"/>
          </w:tcPr>
          <w:p>
            <w:pPr>
              <w:spacing w:before="60" w:after="60"/>
            </w:pPr>
            <w:r>
              <w:rPr>
                <w:rFonts w:ascii="Arial" w:hAnsi="Arial" w:cs="Arial" w:eastAsia="Arial"/>
                <w:b/>
                <w:color w:val="1F4E79"/>
                <w:sz w:val="17"/>
              </w:rPr>
              <w:t>INN</w:t>
            </w:r>
          </w:p>
        </w:tc>
        <w:tc>
          <w:tcPr>
            <w:tcW w:type="dxa" w:w="7066"/>
          </w:tcPr>
          <w:p>
            <w:pPr>
              <w:spacing w:before="60" w:after="60" w:line="288" w:lineRule="auto"/>
            </w:pPr>
            <w:r>
              <w:rPr>
                <w:rFonts w:ascii="Arial" w:hAnsi="Arial" w:cs="Arial" w:eastAsia="Arial"/>
                <w:color w:val="1B2733"/>
                <w:sz w:val="18"/>
              </w:rPr>
              <w:t>5835014041</w:t>
            </w:r>
          </w:p>
        </w:tc>
      </w:tr>
      <w:tr>
        <w:tc>
          <w:tcPr>
            <w:tcW w:type="dxa" w:w="2232"/>
            <w:shd w:val="clear" w:color="auto" w:fill="EEF3F8"/>
          </w:tcPr>
          <w:p>
            <w:pPr>
              <w:spacing w:before="60" w:after="60"/>
            </w:pPr>
            <w:r>
              <w:rPr>
                <w:rFonts w:ascii="Arial" w:hAnsi="Arial" w:cs="Arial" w:eastAsia="Arial"/>
                <w:b/>
                <w:color w:val="1F4E79"/>
                <w:sz w:val="17"/>
              </w:rPr>
              <w:t>Primary activity</w:t>
            </w:r>
          </w:p>
        </w:tc>
        <w:tc>
          <w:tcPr>
            <w:tcW w:type="dxa" w:w="7066"/>
          </w:tcPr>
          <w:p>
            <w:pPr>
              <w:spacing w:before="60" w:after="60" w:line="288" w:lineRule="auto"/>
            </w:pPr>
            <w:r>
              <w:rPr>
                <w:rFonts w:ascii="Arial" w:hAnsi="Arial" w:cs="Arial" w:eastAsia="Arial"/>
                <w:color w:val="1B2733"/>
                <w:sz w:val="18"/>
              </w:rPr>
              <w:t>Manufacture of pipeline valves</w:t>
            </w:r>
          </w:p>
        </w:tc>
      </w:tr>
      <w:tr>
        <w:tc>
          <w:tcPr>
            <w:tcW w:type="dxa" w:w="2232"/>
            <w:shd w:val="clear" w:color="auto" w:fill="EEF3F8"/>
          </w:tcPr>
          <w:p>
            <w:pPr>
              <w:spacing w:before="60" w:after="60"/>
            </w:pPr>
            <w:r>
              <w:rPr>
                <w:rFonts w:ascii="Arial" w:hAnsi="Arial" w:cs="Arial" w:eastAsia="Arial"/>
                <w:b/>
                <w:color w:val="1F4E79"/>
                <w:sz w:val="17"/>
              </w:rPr>
              <w:t>Research cut-off</w:t>
            </w:r>
          </w:p>
        </w:tc>
        <w:tc>
          <w:tcPr>
            <w:tcW w:type="dxa" w:w="7066"/>
          </w:tcPr>
          <w:p>
            <w:pPr>
              <w:spacing w:before="60" w:after="60" w:line="288" w:lineRule="auto"/>
            </w:pPr>
            <w:r>
              <w:rPr>
                <w:rFonts w:ascii="Arial" w:hAnsi="Arial" w:cs="Arial" w:eastAsia="Arial"/>
                <w:color w:val="1B2733"/>
                <w:sz w:val="18"/>
              </w:rPr>
              <w:t>29 September 2026</w:t>
            </w:r>
          </w:p>
        </w:tc>
      </w:tr>
    </w:tbl>
    <w:p>
      <w:pPr>
        <w:spacing w:before="0" w:after="2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Object: Joint Stock Company “Penztyazhpromarmatura” (АО «Пензтяжпромарматура», АО «ПТПА») Jurisdiction: Russian Federation Primary location: Penza, Russia Current legal address: Moscow, ul. Dorogobuzhskaya 14 OGRN: 1025801216275 INN: 5835014041 Primary activity: Manufacture of pipeline valves Research cut-off: 29 September 2026</w:t>
      </w:r>
    </w:p>
    <w:p>
      <w:pPr>
        <w:pStyle w:val="Heading1"/>
        <w:keepNext/>
        <w:spacing w:before="280" w:after="60" w:line="252" w:lineRule="auto"/>
        <w:pBdr>
          <w:bottom w:val="single" w:sz="12" w:space="4" w:color="1F4E79"/>
        </w:pBdr>
      </w:pPr>
      <w:r>
        <w:rPr>
          <w:rFonts w:ascii="Arial" w:hAnsi="Arial" w:cs="Arial" w:eastAsia="Arial"/>
          <w:b/>
          <w:color w:val="1F4E79"/>
          <w:sz w:val="30"/>
        </w:rPr>
        <w:t>Executive Summary</w:t>
      </w:r>
    </w:p>
    <w:p>
      <w:pPr>
        <w:spacing w:before="0" w:after="120" w:line="307" w:lineRule="auto"/>
      </w:pPr>
      <w:r>
        <w:rPr>
          <w:rFonts w:ascii="Arial" w:hAnsi="Arial" w:cs="Arial" w:eastAsia="Arial"/>
          <w:b w:val="0"/>
          <w:i w:val="0"/>
          <w:color w:val="1B2733"/>
          <w:sz w:val="19"/>
        </w:rPr>
        <w:t>Open-source research indicates that JSC Penztyazhpromarmatura (“PTPA”) is a long-established Russian industrial valve manufacturer with a large production base in Penza, a historical ownership structure centered on Alexander Anatolyevich Chernyshev and his company NELS, and a substantial network of subsidiaries, affiliated trading structures, industrial customers and legal counterparties. The strongest historical evidence indicates that a company operating under the “Union-Arm” name acquired a controlling stake in PTPA in October 2000. Contemporary reporting identified Alexander Chernyshev, then president of the Union-Arm industrial group, as the person who became the de facto coordinator of the subsequent restructuring and who assumed operational control and the position of general director in April 2002. By 2008, PTPA's disclosed shareholding structure was concentrated among Alexander Chernyshev (40.73%), ООО “NELS” (31.62%), Elena Nazarova (14.22%), and several smaller holders. The same issuer documentation stated that 99% of NELS was owned by Chernyshev and described him as the principal controlling shareholder. On that historical snapshot, Chernyshev's direct and indirect economic interest was approximately 72.0%. Later public reporting continued to show approximately 40.9% directly owned by Chernyshev and approximately 30.4% through NELS, while a separate academic source identifies a 28.7% federal government stake for the relevant historical period. This supports the conclusion that Chernyshev and NELS formed the core private control block during the 2000s and 2010s, although the current shareholder register for 2026 could not be independently established from publicly accessible indexed sources. Accordingly, current beneficial ownership should not be stated as proven solely from historical records. Chernyshev's current management position is much easier to establish than his current ownership. Registry-derived data continue to identify him as the general director of PTPA in 2026, while current corporate disclosure identifies PTPA as an active issuer. The corporate structure has also changed materially in recent years. The strongest example is ООО “BК ТПА” (“BK TPA”), the legal successor of ООО “PTPA-Finance”. Historically controlled by PTPA, BK TPA became 100% owned by ООО “ОТПК” on 17 June 2025. The ownership transition in OTKP itself occurred on 10 April 2025, when Irina Yuryevna Polosukhina acquired 99% and Tatiana Alexandrovna Kashkina retained 1%. The available evidence therefore supports a distinction between: 1. historical control , strongly associated with Chernyshev and NELS; 2. current executive control , still associated with Chernyshev at PTPA itself; 3. current ownership of individual former subsidiaries , in some cases transferred outside the historical PTPA perimeter. PTPA also controls or historically controlled a significant industrial and commercial infrastructure: a large production site in Penza, pipeline-valve engineering and testing capabilities, numerous historical subsidiaries and trading entities, and a manufacturing operation in Hamriyah Free Zone, UAE. Current UAE government data identify PTPA Middle East FZE as a manufacturer and repairer of industrial valves and related accessories. The company's legal history includes material tax litigation. In one major case, the tax authorities assessed more than RUB 364.3 million in taxes, penalties and fines; the final security measures covered company property valued at approximately RUB 349.2 million. The court record also states that previous tax litigation had established findings concerning transactions that the tax authorities and courts considered unreal or formally documented for tax purposes. Commercially, PTPA has documented relationships with major Russian industrial and energy companies. In 2026, a corporate disclosure recorded a proposed contract with JSC Atomstroyexport for the supply of low-pressure gate valves for nuclear power construction, with a maximum transaction value equivalent to RUB 10 billion. The research also identified a substantial state-procurement footprint through ООО “TD PTPA”: 145 government contracts with a cumulative value of approximately RUB 7.54 billion in the available procurement database. No sufficiently reliable open-source evidence was found to establish that PTPA is a direct executor of Russian state defence procurement. Its links to nuclear, oil and gas, power and other strategic industrial sectors are well documented, but these links should not be automatically classified as defence-industry relationships. Overall assessment: the available evidence supports a reconstruction of PTPA as a large private industrial enterprise whose historical ownership and management were centered around Alexander Chernyshev and NELS, while the current corporate perimeter has been undergoing selective restructuring. The evidence is strong on historical control, management, industrial capability and material commercial/legal relationships, but incomplete on the exact 2026 shareholder register and on the ultimate beneficial ownership of certain post-2025 structures.</w:t>
      </w:r>
    </w:p>
    <w:p>
      <w:pPr>
        <w:pStyle w:val="Heading1"/>
        <w:keepNext/>
        <w:spacing w:before="280" w:after="60" w:line="252" w:lineRule="auto"/>
        <w:pBdr>
          <w:bottom w:val="single" w:sz="12" w:space="4" w:color="1F4E79"/>
        </w:pBdr>
      </w:pPr>
      <w:r>
        <w:rPr>
          <w:rFonts w:ascii="Arial" w:hAnsi="Arial" w:cs="Arial" w:eastAsia="Arial"/>
          <w:b/>
          <w:color w:val="1F4E79"/>
          <w:sz w:val="30"/>
        </w:rPr>
        <w:t>1. Corporate Identity</w:t>
      </w:r>
    </w:p>
    <w:p>
      <w:pPr>
        <w:spacing w:before="0" w:after="120" w:line="307" w:lineRule="auto"/>
      </w:pPr>
      <w:r>
        <w:rPr>
          <w:rFonts w:ascii="Arial" w:hAnsi="Arial" w:cs="Arial" w:eastAsia="Arial"/>
          <w:b w:val="0"/>
          <w:i w:val="0"/>
          <w:color w:val="1B2733"/>
          <w:sz w:val="19"/>
        </w:rPr>
        <w:t>JSC Penztyazhpromarmatura was registered in 1992 and remains an active Russian joint-stock company. Its OGRN is 1025801216275, INN 5835014041 and its authorised capital is RUB 177.34 million. The principal registered activity is the manufacture of pipeline valves. Registry-derived information available in September 2026 identifies Alexander Anatolyevich Chernyshev as general director and places the company's legal address in Moscow, while the historical and operational production base remains in Penza. This distinction between legal and operational location is relevant to due diligence. The Moscow registered address should not be interpreted as evidence that manufacturing was moved from Penza. Regulatory and certification documents continue to identify the Penza production site at Prospekt Pobedy 75A.</w:t>
      </w:r>
    </w:p>
    <w:p>
      <w:pPr>
        <w:pStyle w:val="Heading1"/>
        <w:keepNext/>
        <w:spacing w:before="280" w:after="60" w:line="252" w:lineRule="auto"/>
        <w:pBdr>
          <w:bottom w:val="single" w:sz="12" w:space="4" w:color="1F4E79"/>
        </w:pBdr>
      </w:pPr>
      <w:r>
        <w:rPr>
          <w:rFonts w:ascii="Arial" w:hAnsi="Arial" w:cs="Arial" w:eastAsia="Arial"/>
          <w:b/>
          <w:color w:val="1F4E79"/>
          <w:sz w:val="30"/>
        </w:rPr>
        <w:t>2. Historical Control and the Union-Arm</w:t>
      </w:r>
    </w:p>
    <w:p>
      <w:pPr>
        <w:pStyle w:val="Heading1"/>
        <w:keepNext/>
        <w:spacing w:before="280" w:after="60" w:line="252" w:lineRule="auto"/>
        <w:pBdr>
          <w:bottom w:val="single" w:sz="12" w:space="4" w:color="1F4E79"/>
        </w:pBdr>
      </w:pPr>
      <w:r>
        <w:rPr>
          <w:rFonts w:ascii="Arial" w:hAnsi="Arial" w:cs="Arial" w:eastAsia="Arial"/>
          <w:b/>
          <w:color w:val="1F4E79"/>
          <w:sz w:val="30"/>
        </w:rPr>
        <w:t>Transition</w:t>
      </w:r>
    </w:p>
    <w:p>
      <w:pPr>
        <w:spacing w:before="0" w:after="120" w:line="307" w:lineRule="auto"/>
      </w:pPr>
      <w:r>
        <w:rPr>
          <w:rFonts w:ascii="Arial" w:hAnsi="Arial" w:cs="Arial" w:eastAsia="Arial"/>
          <w:b w:val="0"/>
          <w:i w:val="0"/>
          <w:color w:val="1B2733"/>
          <w:sz w:val="19"/>
        </w:rPr>
        <w:t>The earliest strong independent evidence located in this investigation comes from a May 2002 article published by Vedomosti . According to the article, “Union-Arm” had been an official PTPA dealer since 1995 and acquired the factory's controlling stake in October 2000. After the acquisition, Alexander Chernyshev, then president of the Union-Arm industrial group, became the de facto coordinator of the factory's restructuring. In April 2002, operational management and the general-director position were transferred to him. The same article described substantial operational restructuring, including the separation of procurement into a trading house, tender-based raw-material purchasing, tighter price control, supplier qualification and changes to production and quality-management processes. It also stated that Boston Consulting Group assisted with the transformation. This evidence supports the following historical sequence: 1995: Union-Arm becomes an official PTPA dealer. October 2000: Union-Arm acquires a controlling stake in PTPA. 2000-2002: Chernyshev acts as the principal manager of the restructuring. April 2002: Chernyshev becomes general director and assumes operational control. The exact legal entity that formally held the purchased PTPA shares in October 2000 remains unresolved. Several entities using the Union-Arm name can be identified in later Russian corporate records, including a Moscow ZAO and an Elista ООО. The Moscow ZAO “Union-Arm” was registered in 1997 and later listed Chernyshev as its legal-entity head before its liquidation in 2016. However, the open-source evidence reviewed does not provide a sufficiently direct primary document linking that exact ZAO to the 2000 acquisition. It would therefore be inappropriate to state that the 1997 Moscow ZAO was definitively the buyer without further historical registry or transaction documentation. Assessment:</w:t>
      </w:r>
    </w:p>
    <w:p>
      <w:pPr>
        <w:pStyle w:val="ListBullet"/>
        <w:spacing w:before="0" w:after="60" w:line="293" w:lineRule="auto"/>
        <w:ind w:left="351" w:hanging="193"/>
      </w:pPr>
      <w:r>
        <w:rPr>
          <w:rFonts w:ascii="Arial" w:hAnsi="Arial" w:cs="Arial" w:eastAsia="Arial"/>
          <w:color w:val="1B2733"/>
          <w:sz w:val="19"/>
        </w:rPr>
        <w:t>Union-Arm's role in the 2000 change of control: High confidence .</w:t>
      </w:r>
    </w:p>
    <w:p>
      <w:pPr>
        <w:pStyle w:val="ListBullet"/>
        <w:spacing w:before="0" w:after="60" w:line="293" w:lineRule="auto"/>
        <w:ind w:left="351" w:hanging="193"/>
      </w:pPr>
      <w:r>
        <w:rPr>
          <w:rFonts w:ascii="Arial" w:hAnsi="Arial" w:cs="Arial" w:eastAsia="Arial"/>
          <w:color w:val="1B2733"/>
          <w:sz w:val="19"/>
        </w:rPr>
        <w:t>Chernyshev's managerial role in the transition: High confidence .</w:t>
      </w:r>
    </w:p>
    <w:p>
      <w:pPr>
        <w:pStyle w:val="ListBullet"/>
        <w:spacing w:before="0" w:after="60" w:line="293" w:lineRule="auto"/>
        <w:ind w:left="351" w:hanging="193"/>
      </w:pPr>
      <w:r>
        <w:rPr>
          <w:rFonts w:ascii="Arial" w:hAnsi="Arial" w:cs="Arial" w:eastAsia="Arial"/>
          <w:color w:val="1B2733"/>
          <w:sz w:val="19"/>
        </w:rPr>
        <w:t>Identity of the exact legal purchaser: Moderate/low confidence; unresolved .</w:t>
      </w:r>
    </w:p>
    <w:p>
      <w:pPr>
        <w:pStyle w:val="Heading1"/>
        <w:keepNext/>
        <w:spacing w:before="280" w:after="60" w:line="252" w:lineRule="auto"/>
        <w:pBdr>
          <w:bottom w:val="single" w:sz="12" w:space="4" w:color="1F4E79"/>
        </w:pBdr>
      </w:pPr>
      <w:r>
        <w:rPr>
          <w:rFonts w:ascii="Arial" w:hAnsi="Arial" w:cs="Arial" w:eastAsia="Arial"/>
          <w:b/>
          <w:color w:val="1F4E79"/>
          <w:sz w:val="30"/>
        </w:rPr>
        <w:t>3. Historical Shareholding Structure</w:t>
      </w:r>
    </w:p>
    <w:p>
      <w:pPr>
        <w:spacing w:before="0" w:after="120" w:line="307" w:lineRule="auto"/>
      </w:pPr>
      <w:r>
        <w:rPr>
          <w:rFonts w:ascii="Arial" w:hAnsi="Arial" w:cs="Arial" w:eastAsia="Arial"/>
          <w:b w:val="0"/>
          <w:i w:val="0"/>
          <w:color w:val="1B2733"/>
          <w:sz w:val="19"/>
        </w:rPr>
        <w:t>The strongest ownership snapshot located in the research is contained in issuer documentation for PTPA. As of 1 February 2008, the disclosed shareholders were approximately: Shareholder Shareholdin g Alexander Chernyshev 40.73% ООО “NELS” 31.62% Elena Nazarova 14.22% L. I. Borisova 4.86% ZAO “DKK” 3.79% ООО “Accounting System” 3.18% Others 1.61% The document also stated that 99% of NELS belonged to Alexander Chernyshev and described him as the principal controlling shareholder. On that historical snapshot: Direct interest: 40.73% Indirect interest through NELS: 31.62% × 99% = approximately 31.30% Combined direct and indirect economic interest: approximately 72.03% . This calculation represents economic exposure, not a statement that Chernyshev directly held 72.03% of the shares. Legally, the two positions were distinct: Chernyshev held his direct stake personally, while NELS held its own block. Later public material continued to describe a very similar ownership structure. One historical source reported approximately 40.9% for Chernyshev and 30.4% for NELS, while a separate academic source identified a 28.7% federal government stake for the relevant historical period. This is consistent with a three-block structure in which Chernyshev/NELS formed the main private control centre while the state retained a significant minority position during the historical period reviewed. Important limitation: no publicly indexed source reviewed in this investigation provides a sufficiently reliable 2026 shareholder register for PTPA. Therefore, the historical Chernyshev/NELS control structure should not be presented as the current 2026 beneficial-ownership structure.</w:t>
      </w:r>
    </w:p>
    <w:p>
      <w:pPr>
        <w:pStyle w:val="Heading1"/>
        <w:keepNext/>
        <w:spacing w:before="280" w:after="60" w:line="252" w:lineRule="auto"/>
        <w:pBdr>
          <w:bottom w:val="single" w:sz="12" w:space="4" w:color="1F4E79"/>
        </w:pBdr>
      </w:pPr>
      <w:r>
        <w:rPr>
          <w:rFonts w:ascii="Arial" w:hAnsi="Arial" w:cs="Arial" w:eastAsia="Arial"/>
          <w:b/>
          <w:color w:val="1F4E79"/>
          <w:sz w:val="30"/>
        </w:rPr>
        <w:t>4. Alexander Chernyshev</w:t>
      </w:r>
    </w:p>
    <w:p>
      <w:pPr>
        <w:spacing w:before="0" w:after="120" w:line="307" w:lineRule="auto"/>
      </w:pPr>
      <w:r>
        <w:rPr>
          <w:rFonts w:ascii="Arial" w:hAnsi="Arial" w:cs="Arial" w:eastAsia="Arial"/>
          <w:b w:val="0"/>
          <w:i w:val="0"/>
          <w:color w:val="1B2733"/>
          <w:sz w:val="19"/>
        </w:rPr>
        <w:t>Alexander Anatolyevich Chernyshev is the principal historical management and ownership figure identified in the investigation. His documented career at and around PTPA includes:</w:t>
      </w:r>
    </w:p>
    <w:p>
      <w:pPr>
        <w:pStyle w:val="ListBullet"/>
        <w:spacing w:before="0" w:after="60" w:line="293" w:lineRule="auto"/>
        <w:ind w:left="351" w:hanging="193"/>
      </w:pPr>
      <w:r>
        <w:rPr>
          <w:rFonts w:ascii="Arial" w:hAnsi="Arial" w:cs="Arial" w:eastAsia="Arial"/>
          <w:color w:val="1B2733"/>
          <w:sz w:val="19"/>
        </w:rPr>
        <w:t>management of an external-trade enterprise associated with “Union”;</w:t>
      </w:r>
    </w:p>
    <w:p>
      <w:pPr>
        <w:pStyle w:val="ListBullet"/>
        <w:spacing w:before="0" w:after="60" w:line="293" w:lineRule="auto"/>
        <w:ind w:left="351" w:hanging="193"/>
      </w:pPr>
      <w:r>
        <w:rPr>
          <w:rFonts w:ascii="Arial" w:hAnsi="Arial" w:cs="Arial" w:eastAsia="Arial"/>
          <w:color w:val="1B2733"/>
          <w:sz w:val="19"/>
        </w:rPr>
        <w:t>senior management at PTPA;</w:t>
      </w:r>
    </w:p>
    <w:p>
      <w:pPr>
        <w:pStyle w:val="ListBullet"/>
        <w:spacing w:before="0" w:after="60" w:line="293" w:lineRule="auto"/>
        <w:ind w:left="351" w:hanging="193"/>
      </w:pPr>
      <w:r>
        <w:rPr>
          <w:rFonts w:ascii="Arial" w:hAnsi="Arial" w:cs="Arial" w:eastAsia="Arial"/>
          <w:color w:val="1B2733"/>
          <w:sz w:val="19"/>
        </w:rPr>
        <w:t>presidency/management within the Union-Arm group;</w:t>
      </w:r>
    </w:p>
    <w:p>
      <w:pPr>
        <w:pStyle w:val="ListBullet"/>
        <w:spacing w:before="0" w:after="60" w:line="293" w:lineRule="auto"/>
        <w:ind w:left="351" w:hanging="193"/>
      </w:pPr>
      <w:r>
        <w:rPr>
          <w:rFonts w:ascii="Arial" w:hAnsi="Arial" w:cs="Arial" w:eastAsia="Arial"/>
          <w:color w:val="1B2733"/>
          <w:sz w:val="19"/>
        </w:rPr>
        <w:t>general-director position at PTPA from 2002 onward. Current registry-derived information continues to identify Chernyshev as the general director of PTPA in 2026. The investigation also identified a separate corporate ownership vehicle:</w:t>
      </w:r>
    </w:p>
    <w:p>
      <w:pPr>
        <w:pStyle w:val="Heading2"/>
        <w:keepNext/>
        <w:spacing w:before="220" w:after="60" w:line="252" w:lineRule="auto"/>
      </w:pPr>
      <w:r>
        <w:rPr>
          <w:rFonts w:ascii="Arial" w:hAnsi="Arial" w:cs="Arial" w:eastAsia="Arial"/>
          <w:b/>
          <w:color w:val="1B2733"/>
          <w:sz w:val="22"/>
        </w:rPr>
        <w:t>ООО “NELS”</w:t>
      </w:r>
    </w:p>
    <w:p>
      <w:pPr>
        <w:pStyle w:val="ListBullet"/>
        <w:spacing w:before="0" w:after="60" w:line="293" w:lineRule="auto"/>
        <w:ind w:left="351" w:hanging="193"/>
      </w:pPr>
      <w:r>
        <w:rPr>
          <w:rFonts w:ascii="Arial" w:hAnsi="Arial" w:cs="Arial" w:eastAsia="Arial"/>
          <w:color w:val="1B2733"/>
          <w:sz w:val="19"/>
        </w:rPr>
        <w:t>OGRN: 1025801218410</w:t>
      </w:r>
    </w:p>
    <w:p>
      <w:pPr>
        <w:pStyle w:val="ListBullet"/>
        <w:spacing w:before="0" w:after="60" w:line="293" w:lineRule="auto"/>
        <w:ind w:left="351" w:hanging="193"/>
      </w:pPr>
      <w:r>
        <w:rPr>
          <w:rFonts w:ascii="Arial" w:hAnsi="Arial" w:cs="Arial" w:eastAsia="Arial"/>
          <w:color w:val="1B2733"/>
          <w:sz w:val="19"/>
        </w:rPr>
        <w:t>INN: 5835028326</w:t>
      </w:r>
    </w:p>
    <w:p>
      <w:pPr>
        <w:pStyle w:val="ListBullet"/>
        <w:spacing w:before="0" w:after="60" w:line="293" w:lineRule="auto"/>
        <w:ind w:left="351" w:hanging="193"/>
      </w:pPr>
      <w:r>
        <w:rPr>
          <w:rFonts w:ascii="Arial" w:hAnsi="Arial" w:cs="Arial" w:eastAsia="Arial"/>
          <w:color w:val="1B2733"/>
          <w:sz w:val="19"/>
        </w:rPr>
        <w:t>Chernyshev: 100% owner</w:t>
      </w:r>
    </w:p>
    <w:p>
      <w:pPr>
        <w:pStyle w:val="ListBullet"/>
        <w:spacing w:before="0" w:after="60" w:line="293" w:lineRule="auto"/>
        <w:ind w:left="351" w:hanging="193"/>
      </w:pPr>
      <w:r>
        <w:rPr>
          <w:rFonts w:ascii="Arial" w:hAnsi="Arial" w:cs="Arial" w:eastAsia="Arial"/>
          <w:color w:val="1B2733"/>
          <w:sz w:val="19"/>
        </w:rPr>
        <w:t>General director: Natalia V. Nikulinskaya</w:t>
      </w:r>
    </w:p>
    <w:p>
      <w:pPr>
        <w:pStyle w:val="ListBullet"/>
        <w:spacing w:before="0" w:after="60" w:line="293" w:lineRule="auto"/>
        <w:ind w:left="351" w:hanging="193"/>
      </w:pPr>
      <w:r>
        <w:rPr>
          <w:rFonts w:ascii="Arial" w:hAnsi="Arial" w:cs="Arial" w:eastAsia="Arial"/>
          <w:color w:val="1B2733"/>
          <w:sz w:val="19"/>
        </w:rPr>
        <w:t>Address: Penza, Prospekt Pobedy 75A, lit. Yu, premises 313</w:t>
      </w:r>
    </w:p>
    <w:p>
      <w:pPr>
        <w:pStyle w:val="ListBullet"/>
        <w:spacing w:before="0" w:after="60" w:line="293" w:lineRule="auto"/>
        <w:ind w:left="351" w:hanging="193"/>
      </w:pPr>
      <w:r>
        <w:rPr>
          <w:rFonts w:ascii="Arial" w:hAnsi="Arial" w:cs="Arial" w:eastAsia="Arial"/>
          <w:color w:val="1B2733"/>
          <w:sz w:val="19"/>
        </w:rPr>
        <w:t>Staff: approximately one employee according to current registry-derived data. The historical importance of NELS is considerable because it held approximately 30-32% of</w:t>
      </w:r>
    </w:p>
    <w:p>
      <w:pPr>
        <w:spacing w:before="0" w:after="120" w:line="307" w:lineRule="auto"/>
      </w:pPr>
      <w:r>
        <w:rPr>
          <w:rFonts w:ascii="Arial" w:hAnsi="Arial" w:cs="Arial" w:eastAsia="Arial"/>
          <w:b w:val="0"/>
          <w:i w:val="0"/>
          <w:color w:val="1B2733"/>
          <w:sz w:val="19"/>
        </w:rPr>
        <w:t>PTPA while being overwhelmingly owned by Chernyshev. This makes NELS the strongest documented vehicle for Chernyshev's indirect ownership of PTPA. No sufficiently reliable public evidence was identified that would justify attributing other current large personal assets, real estate portfolios or businesses to Chernyshev beyond those specifically supported by corporate records.</w:t>
      </w:r>
    </w:p>
    <w:p>
      <w:pPr>
        <w:pStyle w:val="Heading1"/>
        <w:keepNext/>
        <w:spacing w:before="280" w:after="60" w:line="252" w:lineRule="auto"/>
        <w:pBdr>
          <w:bottom w:val="single" w:sz="12" w:space="4" w:color="1F4E79"/>
        </w:pBdr>
      </w:pPr>
      <w:r>
        <w:rPr>
          <w:rFonts w:ascii="Arial" w:hAnsi="Arial" w:cs="Arial" w:eastAsia="Arial"/>
          <w:b/>
          <w:color w:val="1F4E79"/>
          <w:sz w:val="30"/>
        </w:rPr>
        <w:t>5. Other Companies Historically</w:t>
      </w:r>
    </w:p>
    <w:p>
      <w:pPr>
        <w:pStyle w:val="Heading1"/>
        <w:keepNext/>
        <w:spacing w:before="280" w:after="60" w:line="252" w:lineRule="auto"/>
        <w:pBdr>
          <w:bottom w:val="single" w:sz="12" w:space="4" w:color="1F4E79"/>
        </w:pBdr>
      </w:pPr>
      <w:r>
        <w:rPr>
          <w:rFonts w:ascii="Arial" w:hAnsi="Arial" w:cs="Arial" w:eastAsia="Arial"/>
          <w:b/>
          <w:color w:val="1F4E79"/>
          <w:sz w:val="30"/>
        </w:rPr>
        <w:t>Associated with Chernyshev</w:t>
      </w:r>
    </w:p>
    <w:p>
      <w:pPr>
        <w:pStyle w:val="Heading1"/>
        <w:keepNext/>
        <w:spacing w:before="280" w:after="60" w:line="252" w:lineRule="auto"/>
        <w:pBdr>
          <w:bottom w:val="single" w:sz="12" w:space="4" w:color="1F4E79"/>
        </w:pBdr>
      </w:pPr>
      <w:r>
        <w:rPr>
          <w:rFonts w:ascii="Arial" w:hAnsi="Arial" w:cs="Arial" w:eastAsia="Arial"/>
          <w:b/>
          <w:color w:val="1F4E79"/>
          <w:sz w:val="30"/>
        </w:rPr>
        <w:t>5.1. ООО “Agricultural Company ROST”</w:t>
      </w:r>
    </w:p>
    <w:p>
      <w:pPr>
        <w:spacing w:before="0" w:after="120" w:line="307" w:lineRule="auto"/>
      </w:pPr>
      <w:r>
        <w:rPr>
          <w:rFonts w:ascii="Arial" w:hAnsi="Arial" w:cs="Arial" w:eastAsia="Arial"/>
          <w:b w:val="0"/>
          <w:i w:val="0"/>
          <w:color w:val="1B2733"/>
          <w:sz w:val="19"/>
        </w:rPr>
        <w:t>Chernyshev was an identified participant of ООО “Agropromushlennaya Kompaniya ROST” together with Alexander Yakovlevich Kasper. The company:</w:t>
      </w:r>
    </w:p>
    <w:p>
      <w:pPr>
        <w:pStyle w:val="ListBullet"/>
        <w:spacing w:before="0" w:after="60" w:line="293" w:lineRule="auto"/>
        <w:ind w:left="351" w:hanging="193"/>
      </w:pPr>
      <w:r>
        <w:rPr>
          <w:rFonts w:ascii="Arial" w:hAnsi="Arial" w:cs="Arial" w:eastAsia="Arial"/>
          <w:color w:val="1B2733"/>
          <w:sz w:val="19"/>
        </w:rPr>
        <w:t>OGRN: 1035801301491</w:t>
      </w:r>
    </w:p>
    <w:p>
      <w:pPr>
        <w:pStyle w:val="ListBullet"/>
        <w:spacing w:before="0" w:after="60" w:line="293" w:lineRule="auto"/>
        <w:ind w:left="351" w:hanging="193"/>
      </w:pPr>
      <w:r>
        <w:rPr>
          <w:rFonts w:ascii="Arial" w:hAnsi="Arial" w:cs="Arial" w:eastAsia="Arial"/>
          <w:color w:val="1B2733"/>
          <w:sz w:val="19"/>
        </w:rPr>
        <w:t>INN: 5821004036</w:t>
      </w:r>
    </w:p>
    <w:p>
      <w:pPr>
        <w:pStyle w:val="ListBullet"/>
        <w:spacing w:before="0" w:after="60" w:line="293" w:lineRule="auto"/>
        <w:ind w:left="351" w:hanging="193"/>
      </w:pPr>
      <w:r>
        <w:rPr>
          <w:rFonts w:ascii="Arial" w:hAnsi="Arial" w:cs="Arial" w:eastAsia="Arial"/>
          <w:color w:val="1B2733"/>
          <w:sz w:val="19"/>
        </w:rPr>
        <w:t>address: Lunino, Penza Region, Zavodskaya 60A</w:t>
      </w:r>
    </w:p>
    <w:p>
      <w:pPr>
        <w:pStyle w:val="ListBullet"/>
        <w:spacing w:before="0" w:after="60" w:line="293" w:lineRule="auto"/>
        <w:ind w:left="351" w:hanging="193"/>
      </w:pPr>
      <w:r>
        <w:rPr>
          <w:rFonts w:ascii="Arial" w:hAnsi="Arial" w:cs="Arial" w:eastAsia="Arial"/>
          <w:color w:val="1B2733"/>
          <w:sz w:val="19"/>
        </w:rPr>
        <w:t>registered capital: RUB 10,000</w:t>
      </w:r>
    </w:p>
    <w:p>
      <w:pPr>
        <w:pStyle w:val="ListBullet"/>
        <w:spacing w:before="0" w:after="60" w:line="293" w:lineRule="auto"/>
        <w:ind w:left="351" w:hanging="193"/>
      </w:pPr>
      <w:r>
        <w:rPr>
          <w:rFonts w:ascii="Arial" w:hAnsi="Arial" w:cs="Arial" w:eastAsia="Arial"/>
          <w:color w:val="1B2733"/>
          <w:sz w:val="19"/>
        </w:rPr>
        <w:t>director: Alexander Kasper</w:t>
      </w:r>
    </w:p>
    <w:p>
      <w:pPr>
        <w:pStyle w:val="ListBullet"/>
        <w:spacing w:before="0" w:after="60" w:line="293" w:lineRule="auto"/>
        <w:ind w:left="351" w:hanging="193"/>
      </w:pPr>
      <w:r>
        <w:rPr>
          <w:rFonts w:ascii="Arial" w:hAnsi="Arial" w:cs="Arial" w:eastAsia="Arial"/>
          <w:color w:val="1B2733"/>
          <w:sz w:val="19"/>
        </w:rPr>
        <w:t>liquidated in October 2019. The available public data do not establish the exact percentage owned by Chernyshev. Accordingly, the company should be described as a</w:t>
      </w:r>
    </w:p>
    <w:p>
      <w:pPr>
        <w:spacing w:before="0" w:after="120" w:line="307" w:lineRule="auto"/>
      </w:pPr>
      <w:r>
        <w:rPr>
          <w:rFonts w:ascii="Arial" w:hAnsi="Arial" w:cs="Arial" w:eastAsia="Arial"/>
          <w:b w:val="0"/>
          <w:i w:val="0"/>
          <w:color w:val="1B2733"/>
          <w:sz w:val="19"/>
        </w:rPr>
        <w:t>historical joint ownership relationship , not assigned a specific percentage without the historical extract.</w:t>
      </w:r>
    </w:p>
    <w:p>
      <w:pPr>
        <w:pStyle w:val="Heading1"/>
        <w:keepNext/>
        <w:spacing w:before="280" w:after="60" w:line="252" w:lineRule="auto"/>
        <w:pBdr>
          <w:bottom w:val="single" w:sz="12" w:space="4" w:color="1F4E79"/>
        </w:pBdr>
      </w:pPr>
      <w:r>
        <w:rPr>
          <w:rFonts w:ascii="Arial" w:hAnsi="Arial" w:cs="Arial" w:eastAsia="Arial"/>
          <w:b/>
          <w:color w:val="1F4E79"/>
          <w:sz w:val="30"/>
        </w:rPr>
        <w:t>5.2. Union-Arm entities</w:t>
      </w:r>
    </w:p>
    <w:p>
      <w:pPr>
        <w:spacing w:before="0" w:after="120" w:line="307" w:lineRule="auto"/>
      </w:pPr>
      <w:r>
        <w:rPr>
          <w:rFonts w:ascii="Arial" w:hAnsi="Arial" w:cs="Arial" w:eastAsia="Arial"/>
          <w:b w:val="0"/>
          <w:i w:val="0"/>
          <w:color w:val="1B2733"/>
          <w:sz w:val="19"/>
        </w:rPr>
        <w:t>Chernyshev is associated through management and historical group leadership with several companies carrying the Union-Arm name. One Moscow ZAO registered in 1997 listed him as legal-entity head before liquidation in 2016. The evidence is insufficient to establish that every company carrying the “Union-Arm” name belonged to Chernyshev personally.</w:t>
      </w:r>
    </w:p>
    <w:p>
      <w:pPr>
        <w:pStyle w:val="Heading1"/>
        <w:keepNext/>
        <w:spacing w:before="280" w:after="60" w:line="252" w:lineRule="auto"/>
        <w:pBdr>
          <w:bottom w:val="single" w:sz="12" w:space="4" w:color="1F4E79"/>
        </w:pBdr>
      </w:pPr>
      <w:r>
        <w:rPr>
          <w:rFonts w:ascii="Arial" w:hAnsi="Arial" w:cs="Arial" w:eastAsia="Arial"/>
          <w:b/>
          <w:color w:val="1F4E79"/>
          <w:sz w:val="30"/>
        </w:rPr>
        <w:t>5.3. Business Alliance</w:t>
      </w:r>
    </w:p>
    <w:p>
      <w:pPr>
        <w:spacing w:before="0" w:after="120" w:line="307" w:lineRule="auto"/>
      </w:pPr>
      <w:r>
        <w:rPr>
          <w:rFonts w:ascii="Arial" w:hAnsi="Arial" w:cs="Arial" w:eastAsia="Arial"/>
          <w:b w:val="0"/>
          <w:i w:val="0"/>
          <w:color w:val="1B2733"/>
          <w:sz w:val="19"/>
        </w:rPr>
        <w:t>Chernyshev was a director of ООО “Business Alliance”, but available ownership records identify Mikhail Makalzu­rov as the 100% owner. Therefore the company should not be classified as a Chernyshev asset merely because he managed it. This distinction is important for attribution accuracy.</w:t>
      </w:r>
    </w:p>
    <w:p>
      <w:pPr>
        <w:pStyle w:val="Heading1"/>
        <w:keepNext/>
        <w:spacing w:before="280" w:after="60" w:line="252" w:lineRule="auto"/>
        <w:pBdr>
          <w:bottom w:val="single" w:sz="12" w:space="4" w:color="1F4E79"/>
        </w:pBdr>
      </w:pPr>
      <w:r>
        <w:rPr>
          <w:rFonts w:ascii="Arial" w:hAnsi="Arial" w:cs="Arial" w:eastAsia="Arial"/>
          <w:b/>
          <w:color w:val="1F4E79"/>
          <w:sz w:val="30"/>
        </w:rPr>
        <w:t>6. Elena Nazarova: Historical Corporate</w:t>
      </w:r>
    </w:p>
    <w:p>
      <w:pPr>
        <w:pStyle w:val="Heading1"/>
        <w:keepNext/>
        <w:spacing w:before="280" w:after="60" w:line="252" w:lineRule="auto"/>
        <w:pBdr>
          <w:bottom w:val="single" w:sz="12" w:space="4" w:color="1F4E79"/>
        </w:pBdr>
      </w:pPr>
      <w:r>
        <w:rPr>
          <w:rFonts w:ascii="Arial" w:hAnsi="Arial" w:cs="Arial" w:eastAsia="Arial"/>
          <w:b/>
          <w:color w:val="1F4E79"/>
          <w:sz w:val="30"/>
        </w:rPr>
        <w:t>Counterpart</w:t>
      </w:r>
    </w:p>
    <w:p>
      <w:pPr>
        <w:spacing w:before="0" w:after="120" w:line="307" w:lineRule="auto"/>
      </w:pPr>
      <w:r>
        <w:rPr>
          <w:rFonts w:ascii="Arial" w:hAnsi="Arial" w:cs="Arial" w:eastAsia="Arial"/>
          <w:b w:val="0"/>
          <w:i w:val="0"/>
          <w:color w:val="1B2733"/>
          <w:sz w:val="19"/>
        </w:rPr>
        <w:t>Elena Yuryevna Nazarova is one of the most important individuals in PTPA's historical corporate network. The issuer documentation identifies her as:</w:t>
      </w:r>
    </w:p>
    <w:p>
      <w:pPr>
        <w:pStyle w:val="ListBullet"/>
        <w:spacing w:before="0" w:after="60" w:line="293" w:lineRule="auto"/>
        <w:ind w:left="351" w:hanging="193"/>
      </w:pPr>
      <w:r>
        <w:rPr>
          <w:rFonts w:ascii="Arial" w:hAnsi="Arial" w:cs="Arial" w:eastAsia="Arial"/>
          <w:color w:val="1B2733"/>
          <w:sz w:val="19"/>
        </w:rPr>
        <w:t>holder of approximately 14.22% of PTPA as of 1 February 2008;</w:t>
      </w:r>
    </w:p>
    <w:p>
      <w:pPr>
        <w:pStyle w:val="ListBullet"/>
        <w:spacing w:before="0" w:after="60" w:line="293" w:lineRule="auto"/>
        <w:ind w:left="351" w:hanging="193"/>
      </w:pPr>
      <w:r>
        <w:rPr>
          <w:rFonts w:ascii="Arial" w:hAnsi="Arial" w:cs="Arial" w:eastAsia="Arial"/>
          <w:color w:val="1B2733"/>
          <w:sz w:val="19"/>
        </w:rPr>
        <w:t>chairman of the board of directors;</w:t>
      </w:r>
    </w:p>
    <w:p>
      <w:pPr>
        <w:pStyle w:val="ListBullet"/>
        <w:spacing w:before="0" w:after="60" w:line="293" w:lineRule="auto"/>
        <w:ind w:left="351" w:hanging="193"/>
      </w:pPr>
      <w:r>
        <w:rPr>
          <w:rFonts w:ascii="Arial" w:hAnsi="Arial" w:cs="Arial" w:eastAsia="Arial"/>
          <w:color w:val="1B2733"/>
          <w:sz w:val="19"/>
        </w:rPr>
        <w:t>director for development;</w:t>
      </w:r>
    </w:p>
    <w:p>
      <w:pPr>
        <w:pStyle w:val="ListBullet"/>
        <w:spacing w:before="0" w:after="60" w:line="293" w:lineRule="auto"/>
        <w:ind w:left="351" w:hanging="193"/>
      </w:pPr>
      <w:r>
        <w:rPr>
          <w:rFonts w:ascii="Arial" w:hAnsi="Arial" w:cs="Arial" w:eastAsia="Arial"/>
          <w:color w:val="1B2733"/>
          <w:sz w:val="19"/>
        </w:rPr>
        <w:t>previously general director of ООО “TPP-Partner”. Her career therefore overlaps ownership, governance and operations. She also had a documented management role at TD PTPA and was later replaced as</w:t>
      </w:r>
    </w:p>
    <w:p>
      <w:pPr>
        <w:spacing w:before="0" w:after="120" w:line="307" w:lineRule="auto"/>
      </w:pPr>
      <w:r>
        <w:rPr>
          <w:rFonts w:ascii="Arial" w:hAnsi="Arial" w:cs="Arial" w:eastAsia="Arial"/>
          <w:b w:val="0"/>
          <w:i w:val="0"/>
          <w:color w:val="1B2733"/>
          <w:sz w:val="19"/>
        </w:rPr>
        <w:t>general director in December 2017. The resulting historical pattern is: Nazarova → TPP-Partner → PTPA → TD PTPA → PTPA-Partner with multiple periods in which she combined management and equity positions. This is sufficient to classify Nazarova as a key historical corporate-network node . It is not sufficient to claim that Nazarova and Chernyshev were secret co-beneficial owners, relatives or parties to an undisclosed control agreement. Those hypotheses remain unproven.</w:t>
      </w:r>
    </w:p>
    <w:p>
      <w:pPr>
        <w:pStyle w:val="Heading1"/>
        <w:keepNext/>
        <w:spacing w:before="280" w:after="60" w:line="252" w:lineRule="auto"/>
        <w:pBdr>
          <w:bottom w:val="single" w:sz="12" w:space="4" w:color="1F4E79"/>
        </w:pBdr>
      </w:pPr>
      <w:r>
        <w:rPr>
          <w:rFonts w:ascii="Arial" w:hAnsi="Arial" w:cs="Arial" w:eastAsia="Arial"/>
          <w:b/>
          <w:color w:val="1F4E79"/>
          <w:sz w:val="30"/>
        </w:rPr>
        <w:t>7. Corporate Structure and the BK TPA /</w:t>
      </w:r>
    </w:p>
    <w:p>
      <w:pPr>
        <w:pStyle w:val="Heading1"/>
        <w:keepNext/>
        <w:spacing w:before="280" w:after="60" w:line="252" w:lineRule="auto"/>
        <w:pBdr>
          <w:bottom w:val="single" w:sz="12" w:space="4" w:color="1F4E79"/>
        </w:pBdr>
      </w:pPr>
      <w:r>
        <w:rPr>
          <w:rFonts w:ascii="Arial" w:hAnsi="Arial" w:cs="Arial" w:eastAsia="Arial"/>
          <w:b/>
          <w:color w:val="1F4E79"/>
          <w:sz w:val="30"/>
        </w:rPr>
        <w:t>OTKP Transition</w:t>
      </w:r>
    </w:p>
    <w:p>
      <w:pPr>
        <w:pStyle w:val="Heading1"/>
        <w:keepNext/>
        <w:spacing w:before="280" w:after="60" w:line="252" w:lineRule="auto"/>
        <w:pBdr>
          <w:bottom w:val="single" w:sz="12" w:space="4" w:color="1F4E79"/>
        </w:pBdr>
      </w:pPr>
      <w:r>
        <w:rPr>
          <w:rFonts w:ascii="Arial" w:hAnsi="Arial" w:cs="Arial" w:eastAsia="Arial"/>
          <w:b/>
          <w:color w:val="1F4E79"/>
          <w:sz w:val="30"/>
        </w:rPr>
        <w:t>7.1. BK TPA</w:t>
      </w:r>
    </w:p>
    <w:p>
      <w:pPr>
        <w:spacing w:before="0" w:after="120" w:line="307" w:lineRule="auto"/>
      </w:pPr>
      <w:r>
        <w:rPr>
          <w:rFonts w:ascii="Arial" w:hAnsi="Arial" w:cs="Arial" w:eastAsia="Arial"/>
          <w:b w:val="0"/>
          <w:i w:val="0"/>
          <w:color w:val="1B2733"/>
          <w:sz w:val="19"/>
        </w:rPr>
        <w:t>ООО “Base of Completion Tyazhpromarmatura” / ООО “BK TPA”:</w:t>
      </w:r>
    </w:p>
    <w:p>
      <w:pPr>
        <w:pStyle w:val="ListBullet"/>
        <w:spacing w:before="0" w:after="60" w:line="293" w:lineRule="auto"/>
        <w:ind w:left="351" w:hanging="193"/>
      </w:pPr>
      <w:r>
        <w:rPr>
          <w:rFonts w:ascii="Arial" w:hAnsi="Arial" w:cs="Arial" w:eastAsia="Arial"/>
          <w:color w:val="1B2733"/>
          <w:sz w:val="19"/>
        </w:rPr>
        <w:t>OGRN: 1035802506266</w:t>
      </w:r>
    </w:p>
    <w:p>
      <w:pPr>
        <w:pStyle w:val="ListBullet"/>
        <w:spacing w:before="0" w:after="60" w:line="293" w:lineRule="auto"/>
        <w:ind w:left="351" w:hanging="193"/>
      </w:pPr>
      <w:r>
        <w:rPr>
          <w:rFonts w:ascii="Arial" w:hAnsi="Arial" w:cs="Arial" w:eastAsia="Arial"/>
          <w:color w:val="1B2733"/>
          <w:sz w:val="19"/>
        </w:rPr>
        <w:t>INN: 5835046660</w:t>
      </w:r>
    </w:p>
    <w:p>
      <w:pPr>
        <w:pStyle w:val="ListBullet"/>
        <w:spacing w:before="0" w:after="60" w:line="293" w:lineRule="auto"/>
        <w:ind w:left="351" w:hanging="193"/>
      </w:pPr>
      <w:r>
        <w:rPr>
          <w:rFonts w:ascii="Arial" w:hAnsi="Arial" w:cs="Arial" w:eastAsia="Arial"/>
          <w:color w:val="1B2733"/>
          <w:sz w:val="19"/>
        </w:rPr>
        <w:t>originally registered in Penza;</w:t>
      </w:r>
    </w:p>
    <w:p>
      <w:pPr>
        <w:pStyle w:val="ListBullet"/>
        <w:spacing w:before="0" w:after="60" w:line="293" w:lineRule="auto"/>
        <w:ind w:left="351" w:hanging="193"/>
      </w:pPr>
      <w:r>
        <w:rPr>
          <w:rFonts w:ascii="Arial" w:hAnsi="Arial" w:cs="Arial" w:eastAsia="Arial"/>
          <w:color w:val="1B2733"/>
          <w:sz w:val="19"/>
        </w:rPr>
        <w:t>legal successor of ООО “PTPA-Finance”;</w:t>
      </w:r>
    </w:p>
    <w:p>
      <w:pPr>
        <w:pStyle w:val="ListBullet"/>
        <w:spacing w:before="0" w:after="60" w:line="293" w:lineRule="auto"/>
        <w:ind w:left="351" w:hanging="193"/>
      </w:pPr>
      <w:r>
        <w:rPr>
          <w:rFonts w:ascii="Arial" w:hAnsi="Arial" w:cs="Arial" w:eastAsia="Arial"/>
          <w:color w:val="1B2733"/>
          <w:sz w:val="19"/>
        </w:rPr>
        <w:t>current owner: ООО “OTPK”, 100%. The ownership change was registered on 17 June 2025 : Before:</w:t>
      </w:r>
    </w:p>
    <w:p>
      <w:pPr>
        <w:spacing w:before="0" w:after="120" w:line="307" w:lineRule="auto"/>
      </w:pPr>
      <w:r>
        <w:rPr>
          <w:rFonts w:ascii="Arial" w:hAnsi="Arial" w:cs="Arial" w:eastAsia="Arial"/>
          <w:b w:val="0"/>
          <w:i w:val="0"/>
          <w:color w:val="1B2733"/>
          <w:sz w:val="19"/>
        </w:rPr>
        <w:t>JSC PTPA - 100% After: ООО OTKP - 100%. This represents a genuine change in corporate perimeter rather than merely a change of address. Current operating profile BK TPA remained an active commercial company after the ownership transfer. Its 2025 financial statements show approximately:</w:t>
      </w:r>
    </w:p>
    <w:p>
      <w:pPr>
        <w:pStyle w:val="ListBullet"/>
        <w:spacing w:before="0" w:after="60" w:line="293" w:lineRule="auto"/>
        <w:ind w:left="351" w:hanging="193"/>
      </w:pPr>
      <w:r>
        <w:rPr>
          <w:rFonts w:ascii="Arial" w:hAnsi="Arial" w:cs="Arial" w:eastAsia="Arial"/>
          <w:color w:val="1B2733"/>
          <w:sz w:val="19"/>
        </w:rPr>
        <w:t>revenue: RUB 620.1 million</w:t>
      </w:r>
    </w:p>
    <w:p>
      <w:pPr>
        <w:pStyle w:val="ListBullet"/>
        <w:spacing w:before="0" w:after="60" w:line="293" w:lineRule="auto"/>
        <w:ind w:left="351" w:hanging="193"/>
      </w:pPr>
      <w:r>
        <w:rPr>
          <w:rFonts w:ascii="Arial" w:hAnsi="Arial" w:cs="Arial" w:eastAsia="Arial"/>
          <w:color w:val="1B2733"/>
          <w:sz w:val="19"/>
        </w:rPr>
        <w:t>net profit: RUB 6.0 million</w:t>
      </w:r>
    </w:p>
    <w:p>
      <w:pPr>
        <w:pStyle w:val="ListBullet"/>
        <w:spacing w:before="0" w:after="60" w:line="293" w:lineRule="auto"/>
        <w:ind w:left="351" w:hanging="193"/>
      </w:pPr>
      <w:r>
        <w:rPr>
          <w:rFonts w:ascii="Arial" w:hAnsi="Arial" w:cs="Arial" w:eastAsia="Arial"/>
          <w:color w:val="1B2733"/>
          <w:sz w:val="19"/>
        </w:rPr>
        <w:t>fixed assets: RUB 0</w:t>
      </w:r>
    </w:p>
    <w:p>
      <w:pPr>
        <w:pStyle w:val="ListBullet"/>
        <w:spacing w:before="0" w:after="60" w:line="293" w:lineRule="auto"/>
        <w:ind w:left="351" w:hanging="193"/>
      </w:pPr>
      <w:r>
        <w:rPr>
          <w:rFonts w:ascii="Arial" w:hAnsi="Arial" w:cs="Arial" w:eastAsia="Arial"/>
          <w:color w:val="1B2733"/>
          <w:sz w:val="19"/>
        </w:rPr>
        <w:t>average headcount: approximately 7. The absence of fixed assets is consistent with a trading/distribution business model but does not, by itself, indicate that the company is merely a shell. The current legal address is in Moscow, and its registry history shows several address</w:t>
      </w:r>
    </w:p>
    <w:p>
      <w:pPr>
        <w:spacing w:before="0" w:after="120" w:line="307" w:lineRule="auto"/>
      </w:pPr>
      <w:r>
        <w:rPr>
          <w:rFonts w:ascii="Arial" w:hAnsi="Arial" w:cs="Arial" w:eastAsia="Arial"/>
          <w:b w:val="0"/>
          <w:i w:val="0"/>
          <w:color w:val="1B2733"/>
          <w:sz w:val="19"/>
        </w:rPr>
        <w:t>changes during 2026.</w:t>
      </w:r>
    </w:p>
    <w:p>
      <w:pPr>
        <w:pStyle w:val="Heading1"/>
        <w:keepNext/>
        <w:spacing w:before="280" w:after="60" w:line="252" w:lineRule="auto"/>
        <w:pBdr>
          <w:bottom w:val="single" w:sz="12" w:space="4" w:color="1F4E79"/>
        </w:pBdr>
      </w:pPr>
      <w:r>
        <w:rPr>
          <w:rFonts w:ascii="Arial" w:hAnsi="Arial" w:cs="Arial" w:eastAsia="Arial"/>
          <w:b/>
          <w:color w:val="1F4E79"/>
          <w:sz w:val="30"/>
        </w:rPr>
        <w:t>8. OTKP</w:t>
      </w:r>
    </w:p>
    <w:p>
      <w:pPr>
        <w:spacing w:before="0" w:after="120" w:line="307" w:lineRule="auto"/>
      </w:pPr>
      <w:r>
        <w:rPr>
          <w:rFonts w:ascii="Arial" w:hAnsi="Arial" w:cs="Arial" w:eastAsia="Arial"/>
          <w:b w:val="0"/>
          <w:i w:val="0"/>
          <w:color w:val="1B2733"/>
          <w:sz w:val="19"/>
        </w:rPr>
        <w:t>ООО “OTPK”:</w:t>
      </w:r>
    </w:p>
    <w:p>
      <w:pPr>
        <w:pStyle w:val="ListBullet"/>
        <w:spacing w:before="0" w:after="60" w:line="293" w:lineRule="auto"/>
        <w:ind w:left="351" w:hanging="193"/>
      </w:pPr>
      <w:r>
        <w:rPr>
          <w:rFonts w:ascii="Arial" w:hAnsi="Arial" w:cs="Arial" w:eastAsia="Arial"/>
          <w:color w:val="1B2733"/>
          <w:sz w:val="19"/>
        </w:rPr>
        <w:t>OGRN: 1165835069080</w:t>
      </w:r>
    </w:p>
    <w:p>
      <w:pPr>
        <w:pStyle w:val="ListBullet"/>
        <w:spacing w:before="0" w:after="60" w:line="293" w:lineRule="auto"/>
        <w:ind w:left="351" w:hanging="193"/>
      </w:pPr>
      <w:r>
        <w:rPr>
          <w:rFonts w:ascii="Arial" w:hAnsi="Arial" w:cs="Arial" w:eastAsia="Arial"/>
          <w:color w:val="1B2733"/>
          <w:sz w:val="19"/>
        </w:rPr>
        <w:t>INN: 5837067546</w:t>
      </w:r>
    </w:p>
    <w:p>
      <w:pPr>
        <w:pStyle w:val="ListBullet"/>
        <w:spacing w:before="0" w:after="60" w:line="293" w:lineRule="auto"/>
        <w:ind w:left="351" w:hanging="193"/>
      </w:pPr>
      <w:r>
        <w:rPr>
          <w:rFonts w:ascii="Arial" w:hAnsi="Arial" w:cs="Arial" w:eastAsia="Arial"/>
          <w:color w:val="1B2733"/>
          <w:sz w:val="19"/>
        </w:rPr>
        <w:t>registered in 2016;</w:t>
      </w:r>
    </w:p>
    <w:p>
      <w:pPr>
        <w:pStyle w:val="ListBullet"/>
        <w:spacing w:before="0" w:after="60" w:line="293" w:lineRule="auto"/>
        <w:ind w:left="351" w:hanging="193"/>
      </w:pPr>
      <w:r>
        <w:rPr>
          <w:rFonts w:ascii="Arial" w:hAnsi="Arial" w:cs="Arial" w:eastAsia="Arial"/>
          <w:color w:val="1B2733"/>
          <w:sz w:val="19"/>
        </w:rPr>
        <w:t>principal activity: wholesale trade;</w:t>
      </w:r>
    </w:p>
    <w:p>
      <w:pPr>
        <w:pStyle w:val="ListBullet"/>
        <w:spacing w:before="0" w:after="60" w:line="293" w:lineRule="auto"/>
        <w:ind w:left="351" w:hanging="193"/>
      </w:pPr>
      <w:r>
        <w:rPr>
          <w:rFonts w:ascii="Arial" w:hAnsi="Arial" w:cs="Arial" w:eastAsia="Arial"/>
          <w:color w:val="1B2733"/>
          <w:sz w:val="19"/>
        </w:rPr>
        <w:t>authorised capital: RUB 200,000;</w:t>
      </w:r>
    </w:p>
    <w:p>
      <w:pPr>
        <w:pStyle w:val="ListBullet"/>
        <w:spacing w:before="0" w:after="60" w:line="293" w:lineRule="auto"/>
        <w:ind w:left="351" w:hanging="193"/>
      </w:pPr>
      <w:r>
        <w:rPr>
          <w:rFonts w:ascii="Arial" w:hAnsi="Arial" w:cs="Arial" w:eastAsia="Arial"/>
          <w:color w:val="1B2733"/>
          <w:sz w:val="19"/>
        </w:rPr>
        <w:t>legal address: Moscow, Odesskaya 2, premises 2/2. Its ownership history is particularly relevant: 24 August 2021:</w:t>
      </w:r>
    </w:p>
    <w:p>
      <w:pPr>
        <w:spacing w:before="0" w:after="120" w:line="307" w:lineRule="auto"/>
      </w:pPr>
      <w:r>
        <w:rPr>
          <w:rFonts w:ascii="Arial" w:hAnsi="Arial" w:cs="Arial" w:eastAsia="Arial"/>
          <w:b w:val="0"/>
          <w:i w:val="0"/>
          <w:color w:val="1B2733"/>
          <w:sz w:val="19"/>
        </w:rPr>
        <w:t>Tatiana Kashkina - 100%. 10 April 2025: Irina Polosukhina - 99% Tatiana Kashkina - 1% . 17 June 2025: OTKP becomes 100% owner of BK TPA. The sequence can therefore be reconstructed as: Kashkina acquires OTKP control → Polosukhina acquires 99% of OTKP → OTKP acquires BK TPA. The publicly available record does not establish the economic consideration paid for the transaction or the ultimate beneficial owner behind OTKP beyond the registered participants. Assessment The timing is objectively noteworthy because the acquisition of BK TPA followed the redistribution of OTKP ownership by approximately two months. This supports the hypothesis that OTKP may have functioned as a holding/acquisition vehicle for BK TPA. However, the evidence does not establish why the ownership was structured this way or whether the transaction was intra-group, related-party or at arm's length. Holding-vehicle hypothesis: Moderate confidence. Undisclosed relationship with former PTPA owners: Low-to-moderate confidence; unproven.</w:t>
      </w:r>
    </w:p>
    <w:p>
      <w:pPr>
        <w:pStyle w:val="Heading1"/>
        <w:keepNext/>
        <w:spacing w:before="280" w:after="60" w:line="252" w:lineRule="auto"/>
        <w:pBdr>
          <w:bottom w:val="single" w:sz="12" w:space="4" w:color="1F4E79"/>
        </w:pBdr>
      </w:pPr>
      <w:r>
        <w:rPr>
          <w:rFonts w:ascii="Arial" w:hAnsi="Arial" w:cs="Arial" w:eastAsia="Arial"/>
          <w:b/>
          <w:color w:val="1F4E79"/>
          <w:sz w:val="30"/>
        </w:rPr>
        <w:t>9. Industrial Asset Base</w:t>
      </w:r>
    </w:p>
    <w:p>
      <w:pPr>
        <w:pStyle w:val="Heading1"/>
        <w:keepNext/>
        <w:spacing w:before="280" w:after="60" w:line="252" w:lineRule="auto"/>
        <w:pBdr>
          <w:bottom w:val="single" w:sz="12" w:space="4" w:color="1F4E79"/>
        </w:pBdr>
      </w:pPr>
      <w:r>
        <w:rPr>
          <w:rFonts w:ascii="Arial" w:hAnsi="Arial" w:cs="Arial" w:eastAsia="Arial"/>
          <w:b/>
          <w:color w:val="1F4E79"/>
          <w:sz w:val="30"/>
        </w:rPr>
        <w:t>9.1. Penza production site</w:t>
      </w:r>
    </w:p>
    <w:p>
      <w:pPr>
        <w:spacing w:before="0" w:after="120" w:line="307" w:lineRule="auto"/>
      </w:pPr>
      <w:r>
        <w:rPr>
          <w:rFonts w:ascii="Arial" w:hAnsi="Arial" w:cs="Arial" w:eastAsia="Arial"/>
          <w:b w:val="0"/>
          <w:i w:val="0"/>
          <w:color w:val="1B2733"/>
          <w:sz w:val="19"/>
        </w:rPr>
        <w:t>PTPA's industrial complex is located at: Prospekt Pobedy 75A, Penza. Historical corporate disclosures described the site as approximately 25-28 hectares with extensive production buildings and internal railway infrastructure. Different sources provide different historical figures, so the figures should be treated as time-specific rather than as one immutable current measurement. Regulatory records continue to identify 75A as PTPA's production territory. The address is not, however, a single legally homogeneous asset. Multiple legal entities have used different buildings, letters and premises at 75A. Therefore: Shared address does not equal shared ownership. This is particularly important for the PTPA, NELS, TD PTPA, PromTechService and other related or adjacent entities.</w:t>
      </w:r>
    </w:p>
    <w:p>
      <w:pPr>
        <w:pStyle w:val="Heading1"/>
        <w:keepNext/>
        <w:spacing w:before="280" w:after="60" w:line="252" w:lineRule="auto"/>
        <w:pBdr>
          <w:bottom w:val="single" w:sz="12" w:space="4" w:color="1F4E79"/>
        </w:pBdr>
      </w:pPr>
      <w:r>
        <w:rPr>
          <w:rFonts w:ascii="Arial" w:hAnsi="Arial" w:cs="Arial" w:eastAsia="Arial"/>
          <w:b/>
          <w:color w:val="1F4E79"/>
          <w:sz w:val="30"/>
        </w:rPr>
        <w:t>10. Directly Confirmed Real Estate</w:t>
      </w:r>
    </w:p>
    <w:p>
      <w:pPr>
        <w:pStyle w:val="Heading1"/>
        <w:keepNext/>
        <w:spacing w:before="280" w:after="60" w:line="252" w:lineRule="auto"/>
        <w:pBdr>
          <w:bottom w:val="single" w:sz="12" w:space="4" w:color="1F4E79"/>
        </w:pBdr>
      </w:pPr>
      <w:r>
        <w:rPr>
          <w:rFonts w:ascii="Arial" w:hAnsi="Arial" w:cs="Arial" w:eastAsia="Arial"/>
          <w:b/>
          <w:color w:val="1F4E79"/>
          <w:sz w:val="30"/>
        </w:rPr>
        <w:t>Ownership</w:t>
      </w:r>
    </w:p>
    <w:p>
      <w:pPr>
        <w:spacing w:before="0" w:after="120" w:line="307" w:lineRule="auto"/>
      </w:pPr>
      <w:r>
        <w:rPr>
          <w:rFonts w:ascii="Arial" w:hAnsi="Arial" w:cs="Arial" w:eastAsia="Arial"/>
          <w:b w:val="0"/>
          <w:i w:val="0"/>
          <w:color w:val="1B2733"/>
          <w:sz w:val="19"/>
        </w:rPr>
        <w:t>One of the strongest asset-level findings comes from a 2024 fire-safety declaration in which the owner of the “Block of Workshop No. 3” was explicitly identified as JSC PTPA . The same court record states that the tax authority considered PTPA to have disposed of land plots, real estate and vehicles worth more than RUB 12 million during the relevant period. It also states that PTPA had pledged expensive equipment to banks. These findings establish that PTPA possessed a meaningful asset base beyond the factory buildings themselves.</w:t>
      </w:r>
    </w:p>
    <w:p>
      <w:pPr>
        <w:pStyle w:val="Heading1"/>
        <w:keepNext/>
        <w:spacing w:before="280" w:after="60" w:line="252" w:lineRule="auto"/>
        <w:pBdr>
          <w:bottom w:val="single" w:sz="12" w:space="4" w:color="1F4E79"/>
        </w:pBdr>
      </w:pPr>
      <w:r>
        <w:rPr>
          <w:rFonts w:ascii="Arial" w:hAnsi="Arial" w:cs="Arial" w:eastAsia="Arial"/>
          <w:b/>
          <w:color w:val="1F4E79"/>
          <w:sz w:val="30"/>
        </w:rPr>
        <w:t>11. Land Ownership: What Can and</w:t>
      </w:r>
    </w:p>
    <w:p>
      <w:pPr>
        <w:pStyle w:val="Heading1"/>
        <w:keepNext/>
        <w:spacing w:before="280" w:after="60" w:line="252" w:lineRule="auto"/>
        <w:pBdr>
          <w:bottom w:val="single" w:sz="12" w:space="4" w:color="1F4E79"/>
        </w:pBdr>
      </w:pPr>
      <w:r>
        <w:rPr>
          <w:rFonts w:ascii="Arial" w:hAnsi="Arial" w:cs="Arial" w:eastAsia="Arial"/>
          <w:b/>
          <w:color w:val="1F4E79"/>
          <w:sz w:val="30"/>
        </w:rPr>
        <w:t>Cannot Be Established</w:t>
      </w:r>
    </w:p>
    <w:p>
      <w:pPr>
        <w:spacing w:before="0" w:after="120" w:line="307" w:lineRule="auto"/>
      </w:pPr>
      <w:r>
        <w:rPr>
          <w:rFonts w:ascii="Arial" w:hAnsi="Arial" w:cs="Arial" w:eastAsia="Arial"/>
          <w:b w:val="0"/>
          <w:i w:val="0"/>
          <w:color w:val="1B2733"/>
          <w:sz w:val="19"/>
        </w:rPr>
        <w:t>The research confirms that PTPA has held taxable land interests and operates the industrial territory at 75A. The company paid significant land tax and court materials refer specifically to the disposal of land plots. However, the publicly indexed sources reviewed did not provide a sufficiently reliable, current EGRN extract allowing the entire main 75A land parcel structure to be reconstructed parcel-by-parcel as of 2026. Accordingly, the report should distinguish: Confirmed:</w:t>
      </w:r>
    </w:p>
    <w:p>
      <w:pPr>
        <w:pStyle w:val="ListBullet"/>
        <w:spacing w:before="0" w:after="60" w:line="293" w:lineRule="auto"/>
        <w:ind w:left="351" w:hanging="193"/>
      </w:pPr>
      <w:r>
        <w:rPr>
          <w:rFonts w:ascii="Arial" w:hAnsi="Arial" w:cs="Arial" w:eastAsia="Arial"/>
          <w:color w:val="1B2733"/>
          <w:sz w:val="19"/>
        </w:rPr>
        <w:t>PTPA operates the industrial production site at 75A.</w:t>
      </w:r>
    </w:p>
    <w:p>
      <w:pPr>
        <w:pStyle w:val="ListBullet"/>
        <w:spacing w:before="0" w:after="60" w:line="293" w:lineRule="auto"/>
        <w:ind w:left="351" w:hanging="193"/>
      </w:pPr>
      <w:r>
        <w:rPr>
          <w:rFonts w:ascii="Arial" w:hAnsi="Arial" w:cs="Arial" w:eastAsia="Arial"/>
          <w:color w:val="1B2733"/>
          <w:sz w:val="19"/>
        </w:rPr>
        <w:t>PTPA has historically owned land.</w:t>
      </w:r>
    </w:p>
    <w:p>
      <w:pPr>
        <w:pStyle w:val="ListBullet"/>
        <w:spacing w:before="0" w:after="60" w:line="293" w:lineRule="auto"/>
        <w:ind w:left="351" w:hanging="193"/>
      </w:pPr>
      <w:r>
        <w:rPr>
          <w:rFonts w:ascii="Arial" w:hAnsi="Arial" w:cs="Arial" w:eastAsia="Arial"/>
          <w:color w:val="1B2733"/>
          <w:sz w:val="19"/>
        </w:rPr>
        <w:t>Some land interests were reportedly disposed of.</w:t>
      </w:r>
    </w:p>
    <w:p>
      <w:pPr>
        <w:pStyle w:val="ListBullet"/>
        <w:spacing w:before="0" w:after="60" w:line="293" w:lineRule="auto"/>
        <w:ind w:left="351" w:hanging="193"/>
      </w:pPr>
      <w:r>
        <w:rPr>
          <w:rFonts w:ascii="Arial" w:hAnsi="Arial" w:cs="Arial" w:eastAsia="Arial"/>
          <w:color w:val="1B2733"/>
          <w:sz w:val="19"/>
        </w:rPr>
        <w:t>PTPA owns at least some buildings on the site. Not fully established:</w:t>
      </w:r>
    </w:p>
    <w:p>
      <w:pPr>
        <w:pStyle w:val="ListBullet"/>
        <w:spacing w:before="0" w:after="60" w:line="293" w:lineRule="auto"/>
        <w:ind w:left="351" w:hanging="193"/>
      </w:pPr>
      <w:r>
        <w:rPr>
          <w:rFonts w:ascii="Arial" w:hAnsi="Arial" w:cs="Arial" w:eastAsia="Arial"/>
          <w:color w:val="1B2733"/>
          <w:sz w:val="19"/>
        </w:rPr>
        <w:t>the exact current cadastral composition of the entire industrial campus;</w:t>
      </w:r>
    </w:p>
    <w:p>
      <w:pPr>
        <w:pStyle w:val="ListBullet"/>
        <w:spacing w:before="0" w:after="60" w:line="293" w:lineRule="auto"/>
        <w:ind w:left="351" w:hanging="193"/>
      </w:pPr>
      <w:r>
        <w:rPr>
          <w:rFonts w:ascii="Arial" w:hAnsi="Arial" w:cs="Arial" w:eastAsia="Arial"/>
          <w:color w:val="1B2733"/>
          <w:sz w:val="19"/>
        </w:rPr>
        <w:t>the current legal owner of every parcel under the 75A address;</w:t>
      </w:r>
    </w:p>
    <w:p>
      <w:pPr>
        <w:pStyle w:val="ListBullet"/>
        <w:spacing w:before="0" w:after="60" w:line="293" w:lineRule="auto"/>
        <w:ind w:left="351" w:hanging="193"/>
      </w:pPr>
      <w:r>
        <w:rPr>
          <w:rFonts w:ascii="Arial" w:hAnsi="Arial" w:cs="Arial" w:eastAsia="Arial"/>
          <w:color w:val="1B2733"/>
          <w:sz w:val="19"/>
        </w:rPr>
        <w:t>whether all historically reported 25-28 hectares remain under the same title. This is a material limitation, not a reason to infer ownership.</w:t>
      </w:r>
    </w:p>
    <w:p>
      <w:pPr>
        <w:pStyle w:val="Heading1"/>
        <w:keepNext/>
        <w:spacing w:before="280" w:after="60" w:line="252" w:lineRule="auto"/>
        <w:pBdr>
          <w:bottom w:val="single" w:sz="12" w:space="4" w:color="1F4E79"/>
        </w:pBdr>
      </w:pPr>
      <w:r>
        <w:rPr>
          <w:rFonts w:ascii="Arial" w:hAnsi="Arial" w:cs="Arial" w:eastAsia="Arial"/>
          <w:b/>
          <w:color w:val="1F4E79"/>
          <w:sz w:val="30"/>
        </w:rPr>
        <w:t>12. Other Assets and Encumbrances</w:t>
      </w:r>
    </w:p>
    <w:p>
      <w:pPr>
        <w:spacing w:before="0" w:after="120" w:line="307" w:lineRule="auto"/>
      </w:pPr>
      <w:r>
        <w:rPr>
          <w:rFonts w:ascii="Arial" w:hAnsi="Arial" w:cs="Arial" w:eastAsia="Arial"/>
          <w:b w:val="0"/>
          <w:i w:val="0"/>
          <w:color w:val="1B2733"/>
          <w:sz w:val="19"/>
        </w:rPr>
        <w:t>The court record in A49-11915/2022 provides evidence of several asset categories: Real estate: apartments and industrial property. Land: ownership and subsequent disposals. Transport: company vehicles, including evidence of disposal. Machinery: expensive production equipment pledged to banks. Industrial infrastructure: production workshops, testing facilities and internal infrastructure. The same proceedings resulted in security restrictions covering property with a total value of approximately RUB 349.234 million . This does not mean that PTPA was subject to a permanent asset freeze. The figure reflects the value of property covered by the relevant tax-security measures in that litigation.</w:t>
      </w:r>
    </w:p>
    <w:p>
      <w:pPr>
        <w:pStyle w:val="Heading1"/>
        <w:keepNext/>
        <w:spacing w:before="280" w:after="60" w:line="252" w:lineRule="auto"/>
        <w:pBdr>
          <w:bottom w:val="single" w:sz="12" w:space="4" w:color="1F4E79"/>
        </w:pBdr>
      </w:pPr>
      <w:r>
        <w:rPr>
          <w:rFonts w:ascii="Arial" w:hAnsi="Arial" w:cs="Arial" w:eastAsia="Arial"/>
          <w:b/>
          <w:color w:val="1F4E79"/>
          <w:sz w:val="30"/>
        </w:rPr>
        <w:t>13. PTPA Middle East</w:t>
      </w:r>
    </w:p>
    <w:p>
      <w:pPr>
        <w:spacing w:before="0" w:after="120" w:line="307" w:lineRule="auto"/>
      </w:pPr>
      <w:r>
        <w:rPr>
          <w:rFonts w:ascii="Arial" w:hAnsi="Arial" w:cs="Arial" w:eastAsia="Arial"/>
          <w:b w:val="0"/>
          <w:i w:val="0"/>
          <w:color w:val="1B2733"/>
          <w:sz w:val="19"/>
        </w:rPr>
        <w:t>The international structure contains two distinct layers that should not be merged automatically.</w:t>
      </w:r>
    </w:p>
    <w:p>
      <w:pPr>
        <w:pStyle w:val="Heading1"/>
        <w:keepNext/>
        <w:spacing w:before="280" w:after="60" w:line="252" w:lineRule="auto"/>
        <w:pBdr>
          <w:bottom w:val="single" w:sz="12" w:space="4" w:color="1F4E79"/>
        </w:pBdr>
      </w:pPr>
      <w:r>
        <w:rPr>
          <w:rFonts w:ascii="Arial" w:hAnsi="Arial" w:cs="Arial" w:eastAsia="Arial"/>
          <w:b/>
          <w:color w:val="1F4E79"/>
          <w:sz w:val="30"/>
        </w:rPr>
        <w:t>Russian legal entity</w:t>
      </w:r>
    </w:p>
    <w:p>
      <w:pPr>
        <w:spacing w:before="0" w:after="120" w:line="307" w:lineRule="auto"/>
      </w:pPr>
      <w:r>
        <w:rPr>
          <w:rFonts w:ascii="Arial" w:hAnsi="Arial" w:cs="Arial" w:eastAsia="Arial"/>
          <w:b w:val="0"/>
          <w:i w:val="0"/>
          <w:color w:val="1B2733"/>
          <w:sz w:val="19"/>
        </w:rPr>
        <w:t>ООО “PTPA Middle East” was registered in Penza and has used the same 75A industrial address as other PTPA-related entities. Its historical ownership involved another person named Egor Aleksandrovich Chernyshev . The investigation did not establish that Egor Chernyshev is the same person as Alexander Anatolyevich Chernyshev, nor did it establish a family relationship. This distinction is essential.</w:t>
      </w:r>
    </w:p>
    <w:p>
      <w:pPr>
        <w:pStyle w:val="Heading1"/>
        <w:keepNext/>
        <w:spacing w:before="280" w:after="60" w:line="252" w:lineRule="auto"/>
        <w:pBdr>
          <w:bottom w:val="single" w:sz="12" w:space="4" w:color="1F4E79"/>
        </w:pBdr>
      </w:pPr>
      <w:r>
        <w:rPr>
          <w:rFonts w:ascii="Arial" w:hAnsi="Arial" w:cs="Arial" w:eastAsia="Arial"/>
          <w:b/>
          <w:color w:val="1F4E79"/>
          <w:sz w:val="30"/>
        </w:rPr>
        <w:t>UAE manufacturing entity</w:t>
      </w:r>
    </w:p>
    <w:p>
      <w:pPr>
        <w:spacing w:before="0" w:after="120" w:line="307" w:lineRule="auto"/>
      </w:pPr>
      <w:r>
        <w:rPr>
          <w:rFonts w:ascii="Arial" w:hAnsi="Arial" w:cs="Arial" w:eastAsia="Arial"/>
          <w:b w:val="0"/>
          <w:i w:val="0"/>
          <w:color w:val="1B2733"/>
          <w:sz w:val="19"/>
        </w:rPr>
        <w:t>PTPA Middle East FZE</w:t>
      </w:r>
    </w:p>
    <w:p>
      <w:pPr>
        <w:pStyle w:val="ListBullet"/>
        <w:spacing w:before="0" w:after="60" w:line="293" w:lineRule="auto"/>
        <w:ind w:left="351" w:hanging="193"/>
      </w:pPr>
      <w:r>
        <w:rPr>
          <w:rFonts w:ascii="Arial" w:hAnsi="Arial" w:cs="Arial" w:eastAsia="Arial"/>
          <w:color w:val="1B2733"/>
          <w:sz w:val="19"/>
        </w:rPr>
        <w:t>Registry number: 15171</w:t>
      </w:r>
    </w:p>
    <w:p>
      <w:pPr>
        <w:pStyle w:val="ListBullet"/>
        <w:spacing w:before="0" w:after="60" w:line="293" w:lineRule="auto"/>
        <w:ind w:left="351" w:hanging="193"/>
      </w:pPr>
      <w:r>
        <w:rPr>
          <w:rFonts w:ascii="Arial" w:hAnsi="Arial" w:cs="Arial" w:eastAsia="Arial"/>
          <w:color w:val="1B2733"/>
          <w:sz w:val="19"/>
        </w:rPr>
        <w:t>jurisdiction: Sharjah</w:t>
      </w:r>
    </w:p>
    <w:p>
      <w:pPr>
        <w:pStyle w:val="ListBullet"/>
        <w:spacing w:before="0" w:after="60" w:line="293" w:lineRule="auto"/>
        <w:ind w:left="351" w:hanging="193"/>
      </w:pPr>
      <w:r>
        <w:rPr>
          <w:rFonts w:ascii="Arial" w:hAnsi="Arial" w:cs="Arial" w:eastAsia="Arial"/>
          <w:color w:val="1B2733"/>
          <w:sz w:val="19"/>
        </w:rPr>
        <w:t>Hamriyah Free Zone</w:t>
      </w:r>
    </w:p>
    <w:p>
      <w:pPr>
        <w:pStyle w:val="ListBullet"/>
        <w:spacing w:before="0" w:after="60" w:line="293" w:lineRule="auto"/>
        <w:ind w:left="351" w:hanging="193"/>
      </w:pPr>
      <w:r>
        <w:rPr>
          <w:rFonts w:ascii="Arial" w:hAnsi="Arial" w:cs="Arial" w:eastAsia="Arial"/>
          <w:color w:val="1B2733"/>
          <w:sz w:val="19"/>
        </w:rPr>
        <w:t>Plot 1K-27</w:t>
      </w:r>
    </w:p>
    <w:p>
      <w:pPr>
        <w:pStyle w:val="ListBullet"/>
        <w:spacing w:before="0" w:after="60" w:line="293" w:lineRule="auto"/>
        <w:ind w:left="351" w:hanging="193"/>
      </w:pPr>
      <w:r>
        <w:rPr>
          <w:rFonts w:ascii="Arial" w:hAnsi="Arial" w:cs="Arial" w:eastAsia="Arial"/>
          <w:color w:val="1B2733"/>
          <w:sz w:val="19"/>
        </w:rPr>
        <w:t>PO Box 41917. Current UAE National In-Country Value data identify the entity as engaged in: “Manufacturing and repairing of industrial valves and their related accessories.”</w:t>
      </w:r>
    </w:p>
    <w:p>
      <w:pPr>
        <w:spacing w:before="0" w:after="120" w:line="307" w:lineRule="auto"/>
      </w:pPr>
      <w:r>
        <w:rPr>
          <w:rFonts w:ascii="Arial" w:hAnsi="Arial" w:cs="Arial" w:eastAsia="Arial"/>
          <w:b w:val="0"/>
          <w:i w:val="0"/>
          <w:color w:val="1B2733"/>
          <w:sz w:val="19"/>
        </w:rPr>
        <w:t>This is strong evidence that the UAE operation is not merely a representative or sales office. Available corporate-profile material describes approximately 10,000 m2 of total site area and approximately 3,468 m2 of built-up area, together with engineering, manufacturing, assembly and testing activities. The ultimate beneficial ownership of the UAE entity, however, was not disclosed in the publicly indexed UAE records reviewed. Confirmed: operational existence and manufacturing activity. Unresolved: exact shareholder / UBO chain.</w:t>
      </w:r>
    </w:p>
    <w:p>
      <w:pPr>
        <w:pStyle w:val="Heading1"/>
        <w:keepNext/>
        <w:spacing w:before="280" w:after="60" w:line="252" w:lineRule="auto"/>
        <w:pBdr>
          <w:bottom w:val="single" w:sz="12" w:space="4" w:color="1F4E79"/>
        </w:pBdr>
      </w:pPr>
      <w:r>
        <w:rPr>
          <w:rFonts w:ascii="Arial" w:hAnsi="Arial" w:cs="Arial" w:eastAsia="Arial"/>
          <w:b/>
          <w:color w:val="1F4E79"/>
          <w:sz w:val="30"/>
        </w:rPr>
        <w:t>14. Manufacturing and Technology</w:t>
      </w:r>
    </w:p>
    <w:p>
      <w:pPr>
        <w:spacing w:before="0" w:after="120" w:line="307" w:lineRule="auto"/>
      </w:pPr>
      <w:r>
        <w:rPr>
          <w:rFonts w:ascii="Arial" w:hAnsi="Arial" w:cs="Arial" w:eastAsia="Arial"/>
          <w:b w:val="0"/>
          <w:i w:val="0"/>
          <w:color w:val="1B2733"/>
          <w:sz w:val="19"/>
        </w:rPr>
        <w:t>PTPA's documented manufacturing capabilities extend considerably beyond basic valve assembly. Industry sources describe an integrated production cycle covering:</w:t>
      </w:r>
    </w:p>
    <w:p>
      <w:pPr>
        <w:pStyle w:val="ListBullet"/>
        <w:spacing w:before="0" w:after="60" w:line="293" w:lineRule="auto"/>
        <w:ind w:left="351" w:hanging="193"/>
      </w:pPr>
      <w:r>
        <w:rPr>
          <w:rFonts w:ascii="Arial" w:hAnsi="Arial" w:cs="Arial" w:eastAsia="Arial"/>
          <w:color w:val="1B2733"/>
          <w:sz w:val="19"/>
        </w:rPr>
        <w:t>engineering/design;</w:t>
      </w:r>
    </w:p>
    <w:p>
      <w:pPr>
        <w:pStyle w:val="ListBullet"/>
        <w:spacing w:before="0" w:after="60" w:line="293" w:lineRule="auto"/>
        <w:ind w:left="351" w:hanging="193"/>
      </w:pPr>
      <w:r>
        <w:rPr>
          <w:rFonts w:ascii="Arial" w:hAnsi="Arial" w:cs="Arial" w:eastAsia="Arial"/>
          <w:color w:val="1B2733"/>
          <w:sz w:val="19"/>
        </w:rPr>
        <w:t>machining;</w:t>
      </w:r>
    </w:p>
    <w:p>
      <w:pPr>
        <w:pStyle w:val="ListBullet"/>
        <w:spacing w:before="0" w:after="60" w:line="293" w:lineRule="auto"/>
        <w:ind w:left="351" w:hanging="193"/>
      </w:pPr>
      <w:r>
        <w:rPr>
          <w:rFonts w:ascii="Arial" w:hAnsi="Arial" w:cs="Arial" w:eastAsia="Arial"/>
          <w:color w:val="1B2733"/>
          <w:sz w:val="19"/>
        </w:rPr>
        <w:t>welding and surfacing;</w:t>
      </w:r>
    </w:p>
    <w:p>
      <w:pPr>
        <w:pStyle w:val="ListBullet"/>
        <w:spacing w:before="0" w:after="60" w:line="293" w:lineRule="auto"/>
        <w:ind w:left="351" w:hanging="193"/>
      </w:pPr>
      <w:r>
        <w:rPr>
          <w:rFonts w:ascii="Arial" w:hAnsi="Arial" w:cs="Arial" w:eastAsia="Arial"/>
          <w:color w:val="1B2733"/>
          <w:sz w:val="19"/>
        </w:rPr>
        <w:t>assembly;</w:t>
      </w:r>
    </w:p>
    <w:p>
      <w:pPr>
        <w:pStyle w:val="ListBullet"/>
        <w:spacing w:before="0" w:after="60" w:line="293" w:lineRule="auto"/>
        <w:ind w:left="351" w:hanging="193"/>
      </w:pPr>
      <w:r>
        <w:rPr>
          <w:rFonts w:ascii="Arial" w:hAnsi="Arial" w:cs="Arial" w:eastAsia="Arial"/>
          <w:color w:val="1B2733"/>
          <w:sz w:val="19"/>
        </w:rPr>
        <w:t>testing;</w:t>
      </w:r>
    </w:p>
    <w:p>
      <w:pPr>
        <w:pStyle w:val="ListBullet"/>
        <w:spacing w:before="0" w:after="60" w:line="293" w:lineRule="auto"/>
        <w:ind w:left="351" w:hanging="193"/>
      </w:pPr>
      <w:r>
        <w:rPr>
          <w:rFonts w:ascii="Arial" w:hAnsi="Arial" w:cs="Arial" w:eastAsia="Arial"/>
          <w:color w:val="1B2733"/>
          <w:sz w:val="19"/>
        </w:rPr>
        <w:t>quality assurance;</w:t>
      </w:r>
    </w:p>
    <w:p>
      <w:pPr>
        <w:pStyle w:val="ListBullet"/>
        <w:spacing w:before="0" w:after="60" w:line="293" w:lineRule="auto"/>
        <w:ind w:left="351" w:hanging="193"/>
      </w:pPr>
      <w:r>
        <w:rPr>
          <w:rFonts w:ascii="Arial" w:hAnsi="Arial" w:cs="Arial" w:eastAsia="Arial"/>
          <w:color w:val="1B2733"/>
          <w:sz w:val="19"/>
        </w:rPr>
        <w:t>preservation and shipment. The company has historically used a combination of non-destructive testing and laboratory methods, including ultrasonic, radiographic, magnetic-particle, dye-penetrant and related inspection technologies. Current InterGazCert records demonstrate production of large-diameter and high-pressure</w:t>
      </w:r>
    </w:p>
    <w:p>
      <w:pPr>
        <w:spacing w:before="0" w:after="120" w:line="307" w:lineRule="auto"/>
      </w:pPr>
      <w:r>
        <w:rPr>
          <w:rFonts w:ascii="Arial" w:hAnsi="Arial" w:cs="Arial" w:eastAsia="Arial"/>
          <w:b w:val="0"/>
          <w:i w:val="0"/>
          <w:color w:val="1B2733"/>
          <w:sz w:val="19"/>
        </w:rPr>
        <w:t>products, including:</w:t>
      </w:r>
    </w:p>
    <w:p>
      <w:pPr>
        <w:pStyle w:val="ListBullet"/>
        <w:spacing w:before="0" w:after="60" w:line="293" w:lineRule="auto"/>
        <w:ind w:left="351" w:hanging="193"/>
      </w:pPr>
      <w:r>
        <w:rPr>
          <w:rFonts w:ascii="Arial" w:hAnsi="Arial" w:cs="Arial" w:eastAsia="Arial"/>
          <w:color w:val="1B2733"/>
          <w:sz w:val="19"/>
        </w:rPr>
        <w:t>ball valves DN 1000, PN 12.5 MPa;</w:t>
      </w:r>
    </w:p>
    <w:p>
      <w:pPr>
        <w:pStyle w:val="ListBullet"/>
        <w:spacing w:before="0" w:after="60" w:line="293" w:lineRule="auto"/>
        <w:ind w:left="351" w:hanging="193"/>
      </w:pPr>
      <w:r>
        <w:rPr>
          <w:rFonts w:ascii="Arial" w:hAnsi="Arial" w:cs="Arial" w:eastAsia="Arial"/>
          <w:color w:val="1B2733"/>
          <w:sz w:val="19"/>
        </w:rPr>
        <w:t>ball valves DN 1000-1400, PN 8.0 MPa;</w:t>
      </w:r>
    </w:p>
    <w:p>
      <w:pPr>
        <w:pStyle w:val="ListBullet"/>
        <w:spacing w:before="0" w:after="60" w:line="293" w:lineRule="auto"/>
        <w:ind w:left="351" w:hanging="193"/>
      </w:pPr>
      <w:r>
        <w:rPr>
          <w:rFonts w:ascii="Arial" w:hAnsi="Arial" w:cs="Arial" w:eastAsia="Arial"/>
          <w:color w:val="1B2733"/>
          <w:sz w:val="19"/>
        </w:rPr>
        <w:t>ball valves DN 150-300, PN 1.6-16.0 MPa;</w:t>
      </w:r>
    </w:p>
    <w:p>
      <w:pPr>
        <w:pStyle w:val="ListBullet"/>
        <w:spacing w:before="0" w:after="60" w:line="293" w:lineRule="auto"/>
        <w:ind w:left="351" w:hanging="193"/>
      </w:pPr>
      <w:r>
        <w:rPr>
          <w:rFonts w:ascii="Arial" w:hAnsi="Arial" w:cs="Arial" w:eastAsia="Arial"/>
          <w:color w:val="1B2733"/>
          <w:sz w:val="19"/>
        </w:rPr>
        <w:t>large check valves rated up to approximately 12.5 MPa;</w:t>
      </w:r>
    </w:p>
    <w:p>
      <w:pPr>
        <w:pStyle w:val="ListBullet"/>
        <w:spacing w:before="0" w:after="60" w:line="293" w:lineRule="auto"/>
        <w:ind w:left="351" w:hanging="193"/>
      </w:pPr>
      <w:r>
        <w:rPr>
          <w:rFonts w:ascii="Arial" w:hAnsi="Arial" w:cs="Arial" w:eastAsia="Arial"/>
          <w:color w:val="1B2733"/>
          <w:sz w:val="19"/>
        </w:rPr>
        <w:t>other serial-production valves. The current management-system certification additionally covers the development and production of ball valves and check valves under Gazprom-related standards. Historical sources also document more specialised technology.</w:t>
      </w:r>
    </w:p>
    <w:p>
      <w:pPr>
        <w:spacing w:before="0" w:after="120" w:line="307" w:lineRule="auto"/>
      </w:pPr>
      <w:r>
        <w:rPr>
          <w:rFonts w:ascii="Arial" w:hAnsi="Arial" w:cs="Arial" w:eastAsia="Arial"/>
          <w:b w:val="0"/>
          <w:i w:val="0"/>
          <w:color w:val="1B2733"/>
          <w:sz w:val="19"/>
        </w:rPr>
        <w:t>In the 2000s PTPA implemented T-FLEX PLM and related digital engineering/document-management systems. Industry sources later described subsea manifolds, high-pressure and specialised valve solutions and an expanded testing capability. In the UAE, PTPA Middle East developed a manufacturing and testing facility involving CNC machinery, heavy lifting equipment and dedicated pressure-testing capabilities. The available evidence therefore supports the interpretation that PTPA possesses specialised engineered-valve manufacturing capabilities , rather than operating only as a commodity reseller.</w:t>
      </w:r>
    </w:p>
    <w:p>
      <w:pPr>
        <w:pStyle w:val="Heading1"/>
        <w:keepNext/>
        <w:spacing w:before="280" w:after="60" w:line="252" w:lineRule="auto"/>
        <w:pBdr>
          <w:bottom w:val="single" w:sz="12" w:space="4" w:color="1F4E79"/>
        </w:pBdr>
      </w:pPr>
      <w:r>
        <w:rPr>
          <w:rFonts w:ascii="Arial" w:hAnsi="Arial" w:cs="Arial" w:eastAsia="Arial"/>
          <w:b/>
          <w:color w:val="1F4E79"/>
          <w:sz w:val="30"/>
        </w:rPr>
        <w:t>15. Nuclear and Strategic Industrial</w:t>
      </w:r>
    </w:p>
    <w:p>
      <w:pPr>
        <w:pStyle w:val="Heading1"/>
        <w:keepNext/>
        <w:spacing w:before="280" w:after="60" w:line="252" w:lineRule="auto"/>
        <w:pBdr>
          <w:bottom w:val="single" w:sz="12" w:space="4" w:color="1F4E79"/>
        </w:pBdr>
      </w:pPr>
      <w:r>
        <w:rPr>
          <w:rFonts w:ascii="Arial" w:hAnsi="Arial" w:cs="Arial" w:eastAsia="Arial"/>
          <w:b/>
          <w:color w:val="1F4E79"/>
          <w:sz w:val="30"/>
        </w:rPr>
        <w:t>Exposure</w:t>
      </w:r>
    </w:p>
    <w:p>
      <w:pPr>
        <w:spacing w:before="0" w:after="120" w:line="307" w:lineRule="auto"/>
      </w:pPr>
      <w:r>
        <w:rPr>
          <w:rFonts w:ascii="Arial" w:hAnsi="Arial" w:cs="Arial" w:eastAsia="Arial"/>
          <w:b w:val="0"/>
          <w:i w:val="0"/>
          <w:color w:val="1B2733"/>
          <w:sz w:val="19"/>
        </w:rPr>
        <w:t>The company has substantial documented exposure to the nuclear sector. PTPA products appear in specialist certification and industry registers for equipment used in the nuclear-energy field. A particularly important current event occurred in 2026: corporate disclosure recorded a planned contract with JSC Atomstroyexport for the supply of low-pressure gate valves for construction of nuclear power units under procurement lot 24097/0050 O53-2,3. The maximum transaction value was stated as the equivalent of RUB 10 billion . The transaction was classified as a major transaction for PTPA but within the normal course of business. Earlier procurement data also show PTPA-linked supply to the Ruppur nuclear power project , including individual orders in the tens of millions of rubles. These transactions demonstrate a sustained nuclear-sector commercial footprint rather than a single isolated reference.</w:t>
      </w:r>
    </w:p>
    <w:p>
      <w:pPr>
        <w:pStyle w:val="Heading1"/>
        <w:keepNext/>
        <w:spacing w:before="280" w:after="60" w:line="252" w:lineRule="auto"/>
        <w:pBdr>
          <w:bottom w:val="single" w:sz="12" w:space="4" w:color="1F4E79"/>
        </w:pBdr>
      </w:pPr>
      <w:r>
        <w:rPr>
          <w:rFonts w:ascii="Arial" w:hAnsi="Arial" w:cs="Arial" w:eastAsia="Arial"/>
          <w:b/>
          <w:color w:val="1F4E79"/>
          <w:sz w:val="30"/>
        </w:rPr>
        <w:t>16. Defence-Industry Assessment</w:t>
      </w:r>
    </w:p>
    <w:p>
      <w:pPr>
        <w:spacing w:before="0" w:after="120" w:line="307" w:lineRule="auto"/>
      </w:pPr>
      <w:r>
        <w:rPr>
          <w:rFonts w:ascii="Arial" w:hAnsi="Arial" w:cs="Arial" w:eastAsia="Arial"/>
          <w:b w:val="0"/>
          <w:i w:val="0"/>
          <w:color w:val="1B2733"/>
          <w:sz w:val="19"/>
        </w:rPr>
        <w:t>The investigation specifically tested whether PTPA could be linked to Russian defence procurement. The company has documented relationships with strategic state industrial organisations, including enterprises associated with Rosatom and defence-adjacent industrial infrastructure. However, the evidence reviewed does not establish that PTPA is:</w:t>
      </w:r>
    </w:p>
    <w:p>
      <w:pPr>
        <w:pStyle w:val="ListBullet"/>
        <w:spacing w:before="0" w:after="60" w:line="293" w:lineRule="auto"/>
        <w:ind w:left="351" w:hanging="193"/>
      </w:pPr>
      <w:r>
        <w:rPr>
          <w:rFonts w:ascii="Arial" w:hAnsi="Arial" w:cs="Arial" w:eastAsia="Arial"/>
          <w:color w:val="1B2733"/>
          <w:sz w:val="19"/>
        </w:rPr>
        <w:t>a direct contractor under the state defence order;</w:t>
      </w:r>
    </w:p>
    <w:p>
      <w:pPr>
        <w:pStyle w:val="ListBullet"/>
        <w:spacing w:before="0" w:after="60" w:line="293" w:lineRule="auto"/>
        <w:ind w:left="351" w:hanging="193"/>
      </w:pPr>
      <w:r>
        <w:rPr>
          <w:rFonts w:ascii="Arial" w:hAnsi="Arial" w:cs="Arial" w:eastAsia="Arial"/>
          <w:color w:val="1B2733"/>
          <w:sz w:val="19"/>
        </w:rPr>
        <w:t>a direct supplier to the Russian Ministry of Defence;</w:t>
      </w:r>
    </w:p>
    <w:p>
      <w:pPr>
        <w:pStyle w:val="ListBullet"/>
        <w:spacing w:before="0" w:after="60" w:line="293" w:lineRule="auto"/>
        <w:ind w:left="351" w:hanging="193"/>
      </w:pPr>
      <w:r>
        <w:rPr>
          <w:rFonts w:ascii="Arial" w:hAnsi="Arial" w:cs="Arial" w:eastAsia="Arial"/>
          <w:color w:val="1B2733"/>
          <w:sz w:val="19"/>
        </w:rPr>
        <w:t>a direct supplier to major Rostec defence holdings;</w:t>
      </w:r>
    </w:p>
    <w:p>
      <w:pPr>
        <w:pStyle w:val="ListBullet"/>
        <w:spacing w:before="0" w:after="60" w:line="293" w:lineRule="auto"/>
        <w:ind w:left="351" w:hanging="193"/>
      </w:pPr>
      <w:r>
        <w:rPr>
          <w:rFonts w:ascii="Arial" w:hAnsi="Arial" w:cs="Arial" w:eastAsia="Arial"/>
          <w:color w:val="1B2733"/>
          <w:sz w:val="19"/>
        </w:rPr>
        <w:t>a published direct executor of defence procurement. The company has interacted with JSC Federal Research and Production Center “PO Start” , but the public description of the interaction relates to production-system exchange and industrial cooperation rather than an identified defence procurement contract.</w:t>
      </w:r>
    </w:p>
    <w:p>
      <w:pPr>
        <w:spacing w:before="0" w:after="120" w:line="307" w:lineRule="auto"/>
      </w:pPr>
      <w:r>
        <w:rPr>
          <w:rFonts w:ascii="Arial" w:hAnsi="Arial" w:cs="Arial" w:eastAsia="Arial"/>
          <w:b w:val="0"/>
          <w:i w:val="0"/>
          <w:color w:val="1B2733"/>
          <w:sz w:val="19"/>
        </w:rPr>
        <w:t>Therefore: Direct defence procurement relationship: not established in the open sources reviewed. This should not be interpreted as evidence that no such relationship exists; it means that it could not be demonstrated to the evidentiary standard applied in this investigation.</w:t>
      </w:r>
    </w:p>
    <w:p>
      <w:pPr>
        <w:pStyle w:val="Heading1"/>
        <w:keepNext/>
        <w:spacing w:before="280" w:after="60" w:line="252" w:lineRule="auto"/>
        <w:pBdr>
          <w:bottom w:val="single" w:sz="12" w:space="4" w:color="1F4E79"/>
        </w:pBdr>
      </w:pPr>
      <w:r>
        <w:rPr>
          <w:rFonts w:ascii="Arial" w:hAnsi="Arial" w:cs="Arial" w:eastAsia="Arial"/>
          <w:b/>
          <w:color w:val="1F4E79"/>
          <w:sz w:val="30"/>
        </w:rPr>
        <w:t>17. Commercial and Procurement</w:t>
      </w:r>
    </w:p>
    <w:p>
      <w:pPr>
        <w:pStyle w:val="Heading1"/>
        <w:keepNext/>
        <w:spacing w:before="280" w:after="60" w:line="252" w:lineRule="auto"/>
        <w:pBdr>
          <w:bottom w:val="single" w:sz="12" w:space="4" w:color="1F4E79"/>
        </w:pBdr>
      </w:pPr>
      <w:r>
        <w:rPr>
          <w:rFonts w:ascii="Arial" w:hAnsi="Arial" w:cs="Arial" w:eastAsia="Arial"/>
          <w:b/>
          <w:color w:val="1F4E79"/>
          <w:sz w:val="30"/>
        </w:rPr>
        <w:t>Network</w:t>
      </w:r>
    </w:p>
    <w:p>
      <w:pPr>
        <w:spacing w:before="0" w:after="120" w:line="307" w:lineRule="auto"/>
      </w:pPr>
      <w:r>
        <w:rPr>
          <w:rFonts w:ascii="Arial" w:hAnsi="Arial" w:cs="Arial" w:eastAsia="Arial"/>
          <w:b w:val="0"/>
          <w:i w:val="0"/>
          <w:color w:val="1B2733"/>
          <w:sz w:val="19"/>
        </w:rPr>
        <w:t>The commercial profile is substantial. The PTPA trading subsidiary, TD PTPA , is recorded in the available government-procurement database as a participant in 145 state contracts with a cumulative value of approximately RUB 7.54 billion . The procurement footprint has included large Russian industrial customers and state-linked organisations. The company and its trading structures have been publicly associated with:</w:t>
      </w:r>
    </w:p>
    <w:p>
      <w:pPr>
        <w:pStyle w:val="ListBullet"/>
        <w:spacing w:before="0" w:after="60" w:line="293" w:lineRule="auto"/>
        <w:ind w:left="351" w:hanging="193"/>
      </w:pPr>
      <w:r>
        <w:rPr>
          <w:rFonts w:ascii="Arial" w:hAnsi="Arial" w:cs="Arial" w:eastAsia="Arial"/>
          <w:color w:val="1B2733"/>
          <w:sz w:val="19"/>
        </w:rPr>
        <w:t>Gazprom-related procurement;</w:t>
      </w:r>
    </w:p>
    <w:p>
      <w:pPr>
        <w:pStyle w:val="ListBullet"/>
        <w:spacing w:before="0" w:after="60" w:line="293" w:lineRule="auto"/>
        <w:ind w:left="351" w:hanging="193"/>
      </w:pPr>
      <w:r>
        <w:rPr>
          <w:rFonts w:ascii="Arial" w:hAnsi="Arial" w:cs="Arial" w:eastAsia="Arial"/>
          <w:color w:val="1B2733"/>
          <w:sz w:val="19"/>
        </w:rPr>
        <w:t>Rosatom;</w:t>
      </w:r>
    </w:p>
    <w:p>
      <w:pPr>
        <w:pStyle w:val="ListBullet"/>
        <w:spacing w:before="0" w:after="60" w:line="293" w:lineRule="auto"/>
        <w:ind w:left="351" w:hanging="193"/>
      </w:pPr>
      <w:r>
        <w:rPr>
          <w:rFonts w:ascii="Arial" w:hAnsi="Arial" w:cs="Arial" w:eastAsia="Arial"/>
          <w:color w:val="1B2733"/>
          <w:sz w:val="19"/>
        </w:rPr>
        <w:t>Atomstroyexport;</w:t>
      </w:r>
    </w:p>
    <w:p>
      <w:pPr>
        <w:pStyle w:val="ListBullet"/>
        <w:spacing w:before="0" w:after="60" w:line="293" w:lineRule="auto"/>
        <w:ind w:left="351" w:hanging="193"/>
      </w:pPr>
      <w:r>
        <w:rPr>
          <w:rFonts w:ascii="Arial" w:hAnsi="Arial" w:cs="Arial" w:eastAsia="Arial"/>
          <w:color w:val="1B2733"/>
          <w:sz w:val="19"/>
        </w:rPr>
        <w:t>Transneft;</w:t>
      </w:r>
    </w:p>
    <w:p>
      <w:pPr>
        <w:pStyle w:val="ListBullet"/>
        <w:spacing w:before="0" w:after="60" w:line="293" w:lineRule="auto"/>
        <w:ind w:left="351" w:hanging="193"/>
      </w:pPr>
      <w:r>
        <w:rPr>
          <w:rFonts w:ascii="Arial" w:hAnsi="Arial" w:cs="Arial" w:eastAsia="Arial"/>
          <w:color w:val="1B2733"/>
          <w:sz w:val="19"/>
        </w:rPr>
        <w:t>Rosneft;</w:t>
      </w:r>
    </w:p>
    <w:p>
      <w:pPr>
        <w:pStyle w:val="ListBullet"/>
        <w:spacing w:before="0" w:after="60" w:line="293" w:lineRule="auto"/>
        <w:ind w:left="351" w:hanging="193"/>
      </w:pPr>
      <w:r>
        <w:rPr>
          <w:rFonts w:ascii="Arial" w:hAnsi="Arial" w:cs="Arial" w:eastAsia="Arial"/>
          <w:color w:val="1B2733"/>
          <w:sz w:val="19"/>
        </w:rPr>
        <w:t>LUKOIL;</w:t>
      </w:r>
    </w:p>
    <w:p>
      <w:pPr>
        <w:pStyle w:val="ListBullet"/>
        <w:spacing w:before="0" w:after="60" w:line="293" w:lineRule="auto"/>
        <w:ind w:left="351" w:hanging="193"/>
      </w:pPr>
      <w:r>
        <w:rPr>
          <w:rFonts w:ascii="Arial" w:hAnsi="Arial" w:cs="Arial" w:eastAsia="Arial"/>
          <w:color w:val="1B2733"/>
          <w:sz w:val="19"/>
        </w:rPr>
        <w:t>Sibur;</w:t>
      </w:r>
    </w:p>
    <w:p>
      <w:pPr>
        <w:pStyle w:val="ListBullet"/>
        <w:spacing w:before="0" w:after="60" w:line="293" w:lineRule="auto"/>
        <w:ind w:left="351" w:hanging="193"/>
      </w:pPr>
      <w:r>
        <w:rPr>
          <w:rFonts w:ascii="Arial" w:hAnsi="Arial" w:cs="Arial" w:eastAsia="Arial"/>
          <w:color w:val="1B2733"/>
          <w:sz w:val="19"/>
        </w:rPr>
        <w:t>nuclear-construction projects;</w:t>
      </w:r>
    </w:p>
    <w:p>
      <w:pPr>
        <w:pStyle w:val="ListBullet"/>
        <w:spacing w:before="0" w:after="60" w:line="293" w:lineRule="auto"/>
        <w:ind w:left="351" w:hanging="193"/>
      </w:pPr>
      <w:r>
        <w:rPr>
          <w:rFonts w:ascii="Arial" w:hAnsi="Arial" w:cs="Arial" w:eastAsia="Arial"/>
          <w:color w:val="1B2733"/>
          <w:sz w:val="19"/>
        </w:rPr>
        <w:t>major oil and gas projects. These relationships should be classified according to evidence level. A tender record or corporate disclosure is stronger than a press-release claim, while a general customer list is weaker than an identified contract. The 2026 Atomstroyexport disclosure is particularly strong because it comes from a formal</w:t>
      </w:r>
    </w:p>
    <w:p>
      <w:pPr>
        <w:spacing w:before="0" w:after="120" w:line="307" w:lineRule="auto"/>
      </w:pPr>
      <w:r>
        <w:rPr>
          <w:rFonts w:ascii="Arial" w:hAnsi="Arial" w:cs="Arial" w:eastAsia="Arial"/>
          <w:b w:val="0"/>
          <w:i w:val="0"/>
          <w:color w:val="1B2733"/>
          <w:sz w:val="19"/>
        </w:rPr>
        <w:t>corporate-disclosure source and identifies the procurement lot, product, customer and maximum transaction value.</w:t>
      </w:r>
    </w:p>
    <w:p>
      <w:pPr>
        <w:pStyle w:val="Heading1"/>
        <w:keepNext/>
        <w:spacing w:before="280" w:after="60" w:line="252" w:lineRule="auto"/>
        <w:pBdr>
          <w:bottom w:val="single" w:sz="12" w:space="4" w:color="1F4E79"/>
        </w:pBdr>
      </w:pPr>
      <w:r>
        <w:rPr>
          <w:rFonts w:ascii="Arial" w:hAnsi="Arial" w:cs="Arial" w:eastAsia="Arial"/>
          <w:b/>
          <w:color w:val="1F4E79"/>
          <w:sz w:val="30"/>
        </w:rPr>
        <w:t>18. Litigation</w:t>
      </w:r>
    </w:p>
    <w:p>
      <w:pPr>
        <w:spacing w:before="0" w:after="120" w:line="307" w:lineRule="auto"/>
      </w:pPr>
      <w:r>
        <w:rPr>
          <w:rFonts w:ascii="Arial" w:hAnsi="Arial" w:cs="Arial" w:eastAsia="Arial"/>
          <w:b w:val="0"/>
          <w:i w:val="0"/>
          <w:color w:val="1B2733"/>
          <w:sz w:val="19"/>
        </w:rPr>
        <w:t>PTPA's litigation history is extensive, but raw case counts alone would be misleading. The materiality of the disputes varies significantly.</w:t>
      </w:r>
    </w:p>
    <w:p>
      <w:pPr>
        <w:pStyle w:val="Heading1"/>
        <w:keepNext/>
        <w:spacing w:before="280" w:after="60" w:line="252" w:lineRule="auto"/>
        <w:pBdr>
          <w:bottom w:val="single" w:sz="12" w:space="4" w:color="1F4E79"/>
        </w:pBdr>
      </w:pPr>
      <w:r>
        <w:rPr>
          <w:rFonts w:ascii="Arial" w:hAnsi="Arial" w:cs="Arial" w:eastAsia="Arial"/>
          <w:b/>
          <w:color w:val="1F4E79"/>
          <w:sz w:val="30"/>
        </w:rPr>
        <w:t>18.1. Major tax dispute</w:t>
      </w:r>
    </w:p>
    <w:p>
      <w:pPr>
        <w:spacing w:before="0" w:after="120" w:line="307" w:lineRule="auto"/>
      </w:pPr>
      <w:r>
        <w:rPr>
          <w:rFonts w:ascii="Arial" w:hAnsi="Arial" w:cs="Arial" w:eastAsia="Arial"/>
          <w:b w:val="0"/>
          <w:i w:val="0"/>
          <w:color w:val="1B2733"/>
          <w:sz w:val="19"/>
        </w:rPr>
        <w:t>In case A49-11915/2022 , PTPA challenged tax-enforcement measures. The underlying tax decision imposed approximately: RUB 364.315 million in additional taxes, penalties and fines. Part of the assessment was subsequently cancelled by the regional tax authority, but the court record states that the main underlying tax decision remained upheld in litigation, including earlier proceedings. The court record also states that previous cases had established findings concerning transactions that tax authorities and courts considered to involve unreal performance and formal documentation designed to reduce VAT and profit-tax exposure. Those findings relate to specified transactions and counterparties; they should not be generalized into an assertion that PTPA's entire business was fictitious. The value of property covered by the resulting security measures was approximately: RUB 349.234 million. This represents one of the most material legal events identified in the research.</w:t>
      </w:r>
    </w:p>
    <w:p>
      <w:pPr>
        <w:pStyle w:val="Heading1"/>
        <w:keepNext/>
        <w:spacing w:before="280" w:after="60" w:line="252" w:lineRule="auto"/>
        <w:pBdr>
          <w:bottom w:val="single" w:sz="12" w:space="4" w:color="1F4E79"/>
        </w:pBdr>
      </w:pPr>
      <w:r>
        <w:rPr>
          <w:rFonts w:ascii="Arial" w:hAnsi="Arial" w:cs="Arial" w:eastAsia="Arial"/>
          <w:b/>
          <w:color w:val="1F4E79"/>
          <w:sz w:val="30"/>
        </w:rPr>
        <w:t>18.2. Tax litigation involving TD PTPA</w:t>
      </w:r>
    </w:p>
    <w:p>
      <w:pPr>
        <w:spacing w:before="0" w:after="120" w:line="307" w:lineRule="auto"/>
      </w:pPr>
      <w:r>
        <w:rPr>
          <w:rFonts w:ascii="Arial" w:hAnsi="Arial" w:cs="Arial" w:eastAsia="Arial"/>
          <w:b w:val="0"/>
          <w:i w:val="0"/>
          <w:color w:val="1B2733"/>
          <w:sz w:val="19"/>
        </w:rPr>
        <w:t>The trading subsidiary was separately involved in tax litigation involving assessments on transactions during the 2016-2017 period. One publicly available record references approximately:</w:t>
      </w:r>
    </w:p>
    <w:p>
      <w:pPr>
        <w:pStyle w:val="ListBullet"/>
        <w:spacing w:before="0" w:after="60" w:line="293" w:lineRule="auto"/>
        <w:ind w:left="351" w:hanging="193"/>
      </w:pPr>
      <w:r>
        <w:rPr>
          <w:rFonts w:ascii="Arial" w:hAnsi="Arial" w:cs="Arial" w:eastAsia="Arial"/>
          <w:color w:val="1B2733"/>
          <w:sz w:val="19"/>
        </w:rPr>
        <w:t>RUB 12.49 million in additional VAT;</w:t>
      </w:r>
    </w:p>
    <w:p>
      <w:pPr>
        <w:pStyle w:val="ListBullet"/>
        <w:spacing w:before="0" w:after="60" w:line="293" w:lineRule="auto"/>
        <w:ind w:left="351" w:hanging="193"/>
      </w:pPr>
      <w:r>
        <w:rPr>
          <w:rFonts w:ascii="Arial" w:hAnsi="Arial" w:cs="Arial" w:eastAsia="Arial"/>
          <w:color w:val="1B2733"/>
          <w:sz w:val="19"/>
        </w:rPr>
        <w:t>RUB 33.01 million in profit-tax assessments; plus associated penalties and sanctions. This indicates that the legal risk was not confined to the parent company but extended into</w:t>
      </w:r>
    </w:p>
    <w:p>
      <w:pPr>
        <w:spacing w:before="0" w:after="120" w:line="307" w:lineRule="auto"/>
      </w:pPr>
      <w:r>
        <w:rPr>
          <w:rFonts w:ascii="Arial" w:hAnsi="Arial" w:cs="Arial" w:eastAsia="Arial"/>
          <w:b w:val="0"/>
          <w:i w:val="0"/>
          <w:color w:val="1B2733"/>
          <w:sz w:val="19"/>
        </w:rPr>
        <w:t>the trading perimeter.</w:t>
      </w:r>
    </w:p>
    <w:p>
      <w:pPr>
        <w:pStyle w:val="Heading1"/>
        <w:keepNext/>
        <w:spacing w:before="280" w:after="60" w:line="252" w:lineRule="auto"/>
        <w:pBdr>
          <w:bottom w:val="single" w:sz="12" w:space="4" w:color="1F4E79"/>
        </w:pBdr>
      </w:pPr>
      <w:r>
        <w:rPr>
          <w:rFonts w:ascii="Arial" w:hAnsi="Arial" w:cs="Arial" w:eastAsia="Arial"/>
          <w:b/>
          <w:color w:val="1F4E79"/>
          <w:sz w:val="30"/>
        </w:rPr>
        <w:t>18.3. Bankruptcy litigation involving “Svyatobor”</w:t>
      </w:r>
    </w:p>
    <w:p>
      <w:pPr>
        <w:spacing w:before="0" w:after="120" w:line="307" w:lineRule="auto"/>
      </w:pPr>
      <w:r>
        <w:rPr>
          <w:rFonts w:ascii="Arial" w:hAnsi="Arial" w:cs="Arial" w:eastAsia="Arial"/>
          <w:b w:val="0"/>
          <w:i w:val="0"/>
          <w:color w:val="1B2733"/>
          <w:sz w:val="19"/>
        </w:rPr>
        <w:t>ООО “Svyatobor” operated from the PTPA industrial address and subsequently entered bankruptcy proceedings. PTPA appeared in the bankruptcy litigation as a significant creditor/counterparty. Court materials indicate that Svyatobor's business was heavily dependent on PTPA-related demand, with debtor exposure reported at more than RUB 419 million. This creates an important historical related-party / dependency question, although the current evidence does not establish the exact ownership relationship between PTPA and Svyatobor.</w:t>
      </w:r>
    </w:p>
    <w:p>
      <w:pPr>
        <w:pStyle w:val="Heading1"/>
        <w:keepNext/>
        <w:spacing w:before="280" w:after="60" w:line="252" w:lineRule="auto"/>
        <w:pBdr>
          <w:bottom w:val="single" w:sz="12" w:space="4" w:color="1F4E79"/>
        </w:pBdr>
      </w:pPr>
      <w:r>
        <w:rPr>
          <w:rFonts w:ascii="Arial" w:hAnsi="Arial" w:cs="Arial" w:eastAsia="Arial"/>
          <w:b/>
          <w:color w:val="1F4E79"/>
          <w:sz w:val="30"/>
        </w:rPr>
        <w:t>18.4. BK TPA and STES-Vladimir</w:t>
      </w:r>
    </w:p>
    <w:p>
      <w:pPr>
        <w:spacing w:before="0" w:after="120" w:line="307" w:lineRule="auto"/>
      </w:pPr>
      <w:r>
        <w:rPr>
          <w:rFonts w:ascii="Arial" w:hAnsi="Arial" w:cs="Arial" w:eastAsia="Arial"/>
          <w:b w:val="0"/>
          <w:i w:val="0"/>
          <w:color w:val="1B2733"/>
          <w:sz w:val="19"/>
        </w:rPr>
        <w:t>BK TPA was involved as a creditor in bankruptcy litigation concerning JSC “Company STES-Vladimir”, in proceedings that reached multiple appellate and cassation stages. The case involved multiple institutional creditors, including VEB.RF and the Federal Tax Service. This establishes BK TPA as a commercially active creditor in significant industrial insolvency proceedings rather than merely an internal group vehicle.</w:t>
      </w:r>
    </w:p>
    <w:p>
      <w:pPr>
        <w:pStyle w:val="Heading1"/>
        <w:keepNext/>
        <w:spacing w:before="280" w:after="60" w:line="252" w:lineRule="auto"/>
        <w:pBdr>
          <w:bottom w:val="single" w:sz="12" w:space="4" w:color="1F4E79"/>
        </w:pBdr>
      </w:pPr>
      <w:r>
        <w:rPr>
          <w:rFonts w:ascii="Arial" w:hAnsi="Arial" w:cs="Arial" w:eastAsia="Arial"/>
          <w:b/>
          <w:color w:val="1F4E79"/>
          <w:sz w:val="30"/>
        </w:rPr>
        <w:t>19. Enforcement and FSSP</w:t>
      </w:r>
    </w:p>
    <w:p>
      <w:pPr>
        <w:spacing w:before="0" w:after="120" w:line="307" w:lineRule="auto"/>
      </w:pPr>
      <w:r>
        <w:rPr>
          <w:rFonts w:ascii="Arial" w:hAnsi="Arial" w:cs="Arial" w:eastAsia="Arial"/>
          <w:b w:val="0"/>
          <w:i w:val="0"/>
          <w:color w:val="1B2733"/>
          <w:sz w:val="19"/>
        </w:rPr>
        <w:t>Historical databases record multiple enforcement proceedings against PTPA. However, the most important current finding is that the open-source data reviewed do not indicate a large outstanding enforcement balance as of the latest available snapshot. This distinction matters because historical enforcement counts can remain high even when the underlying claims have been resolved, paid or terminated. Accordingly: Current major outstanding FSSP liability was not established. This finding should not be conflated with the separate, historically material tax litigation described above.</w:t>
      </w:r>
    </w:p>
    <w:p>
      <w:pPr>
        <w:pStyle w:val="Heading1"/>
        <w:keepNext/>
        <w:spacing w:before="280" w:after="60" w:line="252" w:lineRule="auto"/>
        <w:pBdr>
          <w:bottom w:val="single" w:sz="12" w:space="4" w:color="1F4E79"/>
        </w:pBdr>
      </w:pPr>
      <w:r>
        <w:rPr>
          <w:rFonts w:ascii="Arial" w:hAnsi="Arial" w:cs="Arial" w:eastAsia="Arial"/>
          <w:b/>
          <w:color w:val="1F4E79"/>
          <w:sz w:val="30"/>
        </w:rPr>
        <w:t>20. Corporate Network Reconstruction</w:t>
      </w:r>
    </w:p>
    <w:p>
      <w:pPr>
        <w:spacing w:before="0" w:after="120" w:line="307" w:lineRule="auto"/>
      </w:pPr>
      <w:r>
        <w:rPr>
          <w:rFonts w:ascii="Arial" w:hAnsi="Arial" w:cs="Arial" w:eastAsia="Arial"/>
          <w:b w:val="0"/>
          <w:i w:val="0"/>
          <w:color w:val="1B2733"/>
          <w:sz w:val="19"/>
        </w:rPr>
        <w:t>The reconstructed network can be divided into several evidence classes.</w:t>
      </w:r>
    </w:p>
    <w:p>
      <w:pPr>
        <w:pStyle w:val="Heading1"/>
        <w:keepNext/>
        <w:spacing w:before="280" w:after="60" w:line="252" w:lineRule="auto"/>
        <w:pBdr>
          <w:bottom w:val="single" w:sz="12" w:space="4" w:color="1F4E79"/>
        </w:pBdr>
      </w:pPr>
      <w:r>
        <w:rPr>
          <w:rFonts w:ascii="Arial" w:hAnsi="Arial" w:cs="Arial" w:eastAsia="Arial"/>
          <w:b/>
          <w:color w:val="1F4E79"/>
          <w:sz w:val="30"/>
        </w:rPr>
        <w:t>Core historical ownership</w:t>
      </w:r>
    </w:p>
    <w:p>
      <w:pPr>
        <w:spacing w:before="0" w:after="120" w:line="307" w:lineRule="auto"/>
      </w:pPr>
      <w:r>
        <w:rPr>
          <w:rFonts w:ascii="Arial" w:hAnsi="Arial" w:cs="Arial" w:eastAsia="Arial"/>
          <w:b w:val="0"/>
          <w:i w:val="0"/>
          <w:color w:val="1B2733"/>
          <w:sz w:val="19"/>
        </w:rPr>
        <w:t>Alexander Chernyshev → direct PTPA shareholding → 100% NELS → NELS historical PTPA shareholding This is the strongest ownership chain.</w:t>
      </w:r>
    </w:p>
    <w:p>
      <w:pPr>
        <w:pStyle w:val="Heading1"/>
        <w:keepNext/>
        <w:spacing w:before="280" w:after="60" w:line="252" w:lineRule="auto"/>
        <w:pBdr>
          <w:bottom w:val="single" w:sz="12" w:space="4" w:color="1F4E79"/>
        </w:pBdr>
      </w:pPr>
      <w:r>
        <w:rPr>
          <w:rFonts w:ascii="Arial" w:hAnsi="Arial" w:cs="Arial" w:eastAsia="Arial"/>
          <w:b/>
          <w:color w:val="1F4E79"/>
          <w:sz w:val="30"/>
        </w:rPr>
        <w:t>Confirmed or historical PTPA subsidiaries / controlled</w:t>
      </w:r>
    </w:p>
    <w:p>
      <w:pPr>
        <w:pStyle w:val="Heading1"/>
        <w:keepNext/>
        <w:spacing w:before="280" w:after="60" w:line="252" w:lineRule="auto"/>
        <w:pBdr>
          <w:bottom w:val="single" w:sz="12" w:space="4" w:color="1F4E79"/>
        </w:pBdr>
      </w:pPr>
      <w:r>
        <w:rPr>
          <w:rFonts w:ascii="Arial" w:hAnsi="Arial" w:cs="Arial" w:eastAsia="Arial"/>
          <w:b/>
          <w:color w:val="1F4E79"/>
          <w:sz w:val="30"/>
        </w:rPr>
        <w:t>entities</w:t>
      </w:r>
    </w:p>
    <w:p>
      <w:pPr>
        <w:pStyle w:val="ListBullet"/>
        <w:spacing w:before="0" w:after="60" w:line="293" w:lineRule="auto"/>
        <w:ind w:left="351" w:hanging="193"/>
      </w:pPr>
      <w:r>
        <w:rPr>
          <w:rFonts w:ascii="Arial" w:hAnsi="Arial" w:cs="Arial" w:eastAsia="Arial"/>
          <w:color w:val="1B2733"/>
          <w:sz w:val="19"/>
        </w:rPr>
        <w:t>TD PTPA;</w:t>
      </w:r>
    </w:p>
    <w:p>
      <w:pPr>
        <w:pStyle w:val="ListBullet"/>
        <w:spacing w:before="0" w:after="60" w:line="293" w:lineRule="auto"/>
        <w:ind w:left="351" w:hanging="193"/>
      </w:pPr>
      <w:r>
        <w:rPr>
          <w:rFonts w:ascii="Arial" w:hAnsi="Arial" w:cs="Arial" w:eastAsia="Arial"/>
          <w:color w:val="1B2733"/>
          <w:sz w:val="19"/>
        </w:rPr>
        <w:t>PTPA-Finance;</w:t>
      </w:r>
    </w:p>
    <w:p>
      <w:pPr>
        <w:pStyle w:val="ListBullet"/>
        <w:spacing w:before="0" w:after="60" w:line="293" w:lineRule="auto"/>
        <w:ind w:left="351" w:hanging="193"/>
      </w:pPr>
      <w:r>
        <w:rPr>
          <w:rFonts w:ascii="Arial" w:hAnsi="Arial" w:cs="Arial" w:eastAsia="Arial"/>
          <w:color w:val="1B2733"/>
          <w:sz w:val="19"/>
        </w:rPr>
        <w:t>historical PTPA-associated trading and service companies;</w:t>
      </w:r>
    </w:p>
    <w:p>
      <w:pPr>
        <w:pStyle w:val="ListBullet"/>
        <w:spacing w:before="0" w:after="60" w:line="293" w:lineRule="auto"/>
        <w:ind w:left="351" w:hanging="193"/>
      </w:pPr>
      <w:r>
        <w:rPr>
          <w:rFonts w:ascii="Arial" w:hAnsi="Arial" w:cs="Arial" w:eastAsia="Arial"/>
          <w:color w:val="1B2733"/>
          <w:sz w:val="19"/>
        </w:rPr>
        <w:t>PTPA Middle East-related structures.</w:t>
      </w:r>
    </w:p>
    <w:p>
      <w:pPr>
        <w:pStyle w:val="Heading1"/>
        <w:keepNext/>
        <w:spacing w:before="280" w:after="60" w:line="252" w:lineRule="auto"/>
        <w:pBdr>
          <w:bottom w:val="single" w:sz="12" w:space="4" w:color="1F4E79"/>
        </w:pBdr>
      </w:pPr>
      <w:r>
        <w:rPr>
          <w:rFonts w:ascii="Arial" w:hAnsi="Arial" w:cs="Arial" w:eastAsia="Arial"/>
          <w:b/>
          <w:color w:val="1F4E79"/>
          <w:sz w:val="30"/>
        </w:rPr>
        <w:t>Divested / restructured perimeter</w:t>
      </w:r>
    </w:p>
    <w:p>
      <w:pPr>
        <w:spacing w:before="0" w:after="120" w:line="307" w:lineRule="auto"/>
      </w:pPr>
      <w:r>
        <w:rPr>
          <w:rFonts w:ascii="Arial" w:hAnsi="Arial" w:cs="Arial" w:eastAsia="Arial"/>
          <w:b w:val="0"/>
          <w:i w:val="0"/>
          <w:color w:val="1B2733"/>
          <w:sz w:val="19"/>
        </w:rPr>
        <w:t>PTPA → BK TPA → OTKP The ownership of BK TPA left the direct PTPA perimeter in June 2025.</w:t>
      </w:r>
    </w:p>
    <w:p>
      <w:pPr>
        <w:pStyle w:val="Heading1"/>
        <w:keepNext/>
        <w:spacing w:before="280" w:after="60" w:line="252" w:lineRule="auto"/>
        <w:pBdr>
          <w:bottom w:val="single" w:sz="12" w:space="4" w:color="1F4E79"/>
        </w:pBdr>
      </w:pPr>
      <w:r>
        <w:rPr>
          <w:rFonts w:ascii="Arial" w:hAnsi="Arial" w:cs="Arial" w:eastAsia="Arial"/>
          <w:b/>
          <w:color w:val="1F4E79"/>
          <w:sz w:val="30"/>
        </w:rPr>
        <w:t>Parallel historical network</w:t>
      </w:r>
    </w:p>
    <w:p>
      <w:pPr>
        <w:spacing w:before="0" w:after="120" w:line="307" w:lineRule="auto"/>
      </w:pPr>
      <w:r>
        <w:rPr>
          <w:rFonts w:ascii="Arial" w:hAnsi="Arial" w:cs="Arial" w:eastAsia="Arial"/>
          <w:b w:val="0"/>
          <w:i w:val="0"/>
          <w:color w:val="1B2733"/>
          <w:sz w:val="19"/>
        </w:rPr>
        <w:t>Elena Nazarova → TPP-Partner → PTPA-Partner This network overlaps materially with the historical PTPA management and ownership structure but cannot be described as wholly PTPA-owned.</w:t>
      </w:r>
    </w:p>
    <w:p>
      <w:pPr>
        <w:pStyle w:val="Heading1"/>
        <w:keepNext/>
        <w:spacing w:before="280" w:after="60" w:line="252" w:lineRule="auto"/>
        <w:pBdr>
          <w:bottom w:val="single" w:sz="12" w:space="4" w:color="1F4E79"/>
        </w:pBdr>
      </w:pPr>
      <w:r>
        <w:rPr>
          <w:rFonts w:ascii="Arial" w:hAnsi="Arial" w:cs="Arial" w:eastAsia="Arial"/>
          <w:b/>
          <w:color w:val="1F4E79"/>
          <w:sz w:val="30"/>
        </w:rPr>
        <w:t>21. Nominee / Hidden-Control</w:t>
      </w:r>
    </w:p>
    <w:p>
      <w:pPr>
        <w:pStyle w:val="Heading1"/>
        <w:keepNext/>
        <w:spacing w:before="280" w:after="60" w:line="252" w:lineRule="auto"/>
        <w:pBdr>
          <w:bottom w:val="single" w:sz="12" w:space="4" w:color="1F4E79"/>
        </w:pBdr>
      </w:pPr>
      <w:r>
        <w:rPr>
          <w:rFonts w:ascii="Arial" w:hAnsi="Arial" w:cs="Arial" w:eastAsia="Arial"/>
          <w:b/>
          <w:color w:val="1F4E79"/>
          <w:sz w:val="30"/>
        </w:rPr>
        <w:t>Assessment</w:t>
      </w:r>
    </w:p>
    <w:p>
      <w:pPr>
        <w:spacing w:before="0" w:after="120" w:line="307" w:lineRule="auto"/>
      </w:pPr>
      <w:r>
        <w:rPr>
          <w:rFonts w:ascii="Arial" w:hAnsi="Arial" w:cs="Arial" w:eastAsia="Arial"/>
          <w:b w:val="0"/>
          <w:i w:val="0"/>
          <w:color w:val="1B2733"/>
          <w:sz w:val="19"/>
        </w:rPr>
        <w:t>The research identified several individuals whose relationships require additional scrutiny, but the available public evidence does not justify directly labelling them “nominees.”</w:t>
      </w:r>
    </w:p>
    <w:p>
      <w:pPr>
        <w:pStyle w:val="Heading1"/>
        <w:keepNext/>
        <w:spacing w:before="280" w:after="60" w:line="252" w:lineRule="auto"/>
        <w:pBdr>
          <w:bottom w:val="single" w:sz="12" w:space="4" w:color="1F4E79"/>
        </w:pBdr>
      </w:pPr>
      <w:r>
        <w:rPr>
          <w:rFonts w:ascii="Arial" w:hAnsi="Arial" w:cs="Arial" w:eastAsia="Arial"/>
          <w:b/>
          <w:color w:val="1F4E79"/>
          <w:sz w:val="30"/>
        </w:rPr>
        <w:t>Irina Polosukhina</w:t>
      </w:r>
    </w:p>
    <w:p>
      <w:pPr>
        <w:spacing w:before="0" w:after="120" w:line="307" w:lineRule="auto"/>
      </w:pPr>
      <w:r>
        <w:rPr>
          <w:rFonts w:ascii="Arial" w:hAnsi="Arial" w:cs="Arial" w:eastAsia="Arial"/>
          <w:b w:val="0"/>
          <w:i w:val="0"/>
          <w:color w:val="1B2733"/>
          <w:sz w:val="19"/>
        </w:rPr>
        <w:t>Polosukhina acquired 99% of OTKP on 10 April 2025, shortly before OTKP acquired 100% of BK TPA. This timing supports the hypothesis that OTKP was being positioned as the acquisition vehicle for BK TPA. It does not , on its own, prove that Polosukhina was a nominee. Additional evidence would be required to establish hidden control, such as financial consideration, common advisers, common bank accounts, powers of attorney, related-party transactions or other direct documentary links. Hypothesis: Polosukhina may be the beneficial owner of OTKP and/or a vehicle holder for another party. Confidence: Moderate for the holding-vehicle hypothesis; low for nominee status.</w:t>
      </w:r>
    </w:p>
    <w:p>
      <w:pPr>
        <w:pStyle w:val="Heading1"/>
        <w:keepNext/>
        <w:spacing w:before="280" w:after="60" w:line="252" w:lineRule="auto"/>
        <w:pBdr>
          <w:bottom w:val="single" w:sz="12" w:space="4" w:color="1F4E79"/>
        </w:pBdr>
      </w:pPr>
      <w:r>
        <w:rPr>
          <w:rFonts w:ascii="Arial" w:hAnsi="Arial" w:cs="Arial" w:eastAsia="Arial"/>
          <w:b/>
          <w:color w:val="1F4E79"/>
          <w:sz w:val="30"/>
        </w:rPr>
        <w:t>Tatiana Kashkina</w:t>
      </w:r>
    </w:p>
    <w:p>
      <w:pPr>
        <w:spacing w:before="0" w:after="120" w:line="307" w:lineRule="auto"/>
      </w:pPr>
      <w:r>
        <w:rPr>
          <w:rFonts w:ascii="Arial" w:hAnsi="Arial" w:cs="Arial" w:eastAsia="Arial"/>
          <w:b w:val="0"/>
          <w:i w:val="0"/>
          <w:color w:val="1B2733"/>
          <w:sz w:val="19"/>
        </w:rPr>
        <w:t>Kashkina previously owned 100% of OTKP, later retained 1% and remained director. This may indicate continuity of management despite a change in legal ownership. It does not establish nominee status. Hypothesis: Kashkina may represent continuity of control or professional management. Confidence: Moderate as an analytical hypothesis; not proven.</w:t>
      </w:r>
    </w:p>
    <w:p>
      <w:pPr>
        <w:pStyle w:val="Heading1"/>
        <w:keepNext/>
        <w:spacing w:before="280" w:after="60" w:line="252" w:lineRule="auto"/>
        <w:pBdr>
          <w:bottom w:val="single" w:sz="12" w:space="4" w:color="1F4E79"/>
        </w:pBdr>
      </w:pPr>
      <w:r>
        <w:rPr>
          <w:rFonts w:ascii="Arial" w:hAnsi="Arial" w:cs="Arial" w:eastAsia="Arial"/>
          <w:b/>
          <w:color w:val="1F4E79"/>
          <w:sz w:val="30"/>
        </w:rPr>
        <w:t>Dmitry Polosukhin</w:t>
      </w:r>
    </w:p>
    <w:p>
      <w:pPr>
        <w:spacing w:before="0" w:after="120" w:line="307" w:lineRule="auto"/>
      </w:pPr>
      <w:r>
        <w:rPr>
          <w:rFonts w:ascii="Arial" w:hAnsi="Arial" w:cs="Arial" w:eastAsia="Arial"/>
          <w:b w:val="0"/>
          <w:i w:val="0"/>
          <w:color w:val="1B2733"/>
          <w:sz w:val="19"/>
        </w:rPr>
        <w:t>Dmitry Polosukhin became general director of BK TPA in April 2026 and has his own corporate record, including other companies. The shared surname with Irina Polosukhina is not sufficient evidence of family connection. Hypothesis: the appointment may indicate a broader Polosukhin-linked management network. Confidence: Low-to-moderate; relationship not established.</w:t>
      </w:r>
    </w:p>
    <w:p>
      <w:pPr>
        <w:pStyle w:val="Heading1"/>
        <w:keepNext/>
        <w:spacing w:before="280" w:after="60" w:line="252" w:lineRule="auto"/>
        <w:pBdr>
          <w:bottom w:val="single" w:sz="12" w:space="4" w:color="1F4E79"/>
        </w:pBdr>
      </w:pPr>
      <w:r>
        <w:rPr>
          <w:rFonts w:ascii="Arial" w:hAnsi="Arial" w:cs="Arial" w:eastAsia="Arial"/>
          <w:b/>
          <w:color w:val="1F4E79"/>
          <w:sz w:val="30"/>
        </w:rPr>
        <w:t>NATALIA NIKULINSKAYA / NELS</w:t>
      </w:r>
    </w:p>
    <w:p>
      <w:pPr>
        <w:spacing w:before="0" w:after="120" w:line="307" w:lineRule="auto"/>
      </w:pPr>
      <w:r>
        <w:rPr>
          <w:rFonts w:ascii="Arial" w:hAnsi="Arial" w:cs="Arial" w:eastAsia="Arial"/>
          <w:b w:val="0"/>
          <w:i w:val="0"/>
          <w:color w:val="1B2733"/>
          <w:sz w:val="19"/>
        </w:rPr>
        <w:t>NELS is 100% owned by Chernyshev while Nikulinskaya is its long-serving general director. The company has a very small registered staff and uses the PTPA production-site address. This is compatible with NELS functioning as an ownership/holding vehicle. It is not sufficient, however, to prove that Nikulinskaya is a nominee. Hypothesis: NELS primarily serves an ownership/holding function within Chernyshev's corporate structure. Confidence: High. Hypothesis that Nikulinskaya is a nominee owner: Low; no evidence of nominee ownership was identified.</w:t>
      </w:r>
    </w:p>
    <w:p>
      <w:pPr>
        <w:pStyle w:val="Heading1"/>
        <w:keepNext/>
        <w:spacing w:before="280" w:after="60" w:line="252" w:lineRule="auto"/>
        <w:pBdr>
          <w:bottom w:val="single" w:sz="12" w:space="4" w:color="1F4E79"/>
        </w:pBdr>
      </w:pPr>
      <w:r>
        <w:rPr>
          <w:rFonts w:ascii="Arial" w:hAnsi="Arial" w:cs="Arial" w:eastAsia="Arial"/>
          <w:b/>
          <w:color w:val="1F4E79"/>
          <w:sz w:val="30"/>
        </w:rPr>
        <w:t>22. Key Outstanding Questions</w:t>
      </w:r>
    </w:p>
    <w:p>
      <w:pPr>
        <w:spacing w:before="0" w:after="120" w:line="307" w:lineRule="auto"/>
      </w:pPr>
      <w:r>
        <w:rPr>
          <w:rFonts w:ascii="Arial" w:hAnsi="Arial" w:cs="Arial" w:eastAsia="Arial"/>
          <w:b w:val="0"/>
          <w:i w:val="0"/>
          <w:color w:val="1B2733"/>
          <w:sz w:val="19"/>
        </w:rPr>
        <w:t>Several issues could not be fully closed from public indexed material.</w:t>
      </w:r>
    </w:p>
    <w:p>
      <w:pPr>
        <w:pStyle w:val="Heading1"/>
        <w:keepNext/>
        <w:spacing w:before="280" w:after="60" w:line="252" w:lineRule="auto"/>
        <w:pBdr>
          <w:bottom w:val="single" w:sz="12" w:space="4" w:color="1F4E79"/>
        </w:pBdr>
      </w:pPr>
      <w:r>
        <w:rPr>
          <w:rFonts w:ascii="Arial" w:hAnsi="Arial" w:cs="Arial" w:eastAsia="Arial"/>
          <w:b/>
          <w:color w:val="1F4E79"/>
          <w:sz w:val="30"/>
        </w:rPr>
        <w:t>22.1. Current PTPA shareholder register</w:t>
      </w:r>
    </w:p>
    <w:p>
      <w:pPr>
        <w:spacing w:before="0" w:after="120" w:line="307" w:lineRule="auto"/>
      </w:pPr>
      <w:r>
        <w:rPr>
          <w:rFonts w:ascii="Arial" w:hAnsi="Arial" w:cs="Arial" w:eastAsia="Arial"/>
          <w:b w:val="0"/>
          <w:i w:val="0"/>
          <w:color w:val="1B2733"/>
          <w:sz w:val="19"/>
        </w:rPr>
        <w:t>The strongest available ownership records are historical. The exact 2026 shareholder register was not available in a sufficiently reliable public source. Impact: Current beneficial ownership cannot be stated with the same confidence as historical ownership.</w:t>
      </w:r>
    </w:p>
    <w:p>
      <w:pPr>
        <w:pStyle w:val="Heading1"/>
        <w:keepNext/>
        <w:spacing w:before="280" w:after="60" w:line="252" w:lineRule="auto"/>
        <w:pBdr>
          <w:bottom w:val="single" w:sz="12" w:space="4" w:color="1F4E79"/>
        </w:pBdr>
      </w:pPr>
      <w:r>
        <w:rPr>
          <w:rFonts w:ascii="Arial" w:hAnsi="Arial" w:cs="Arial" w:eastAsia="Arial"/>
          <w:b/>
          <w:color w:val="1F4E79"/>
          <w:sz w:val="30"/>
        </w:rPr>
        <w:t>22.2. Main land parcel structure at 75A</w:t>
      </w:r>
    </w:p>
    <w:p>
      <w:pPr>
        <w:spacing w:before="0" w:after="120" w:line="307" w:lineRule="auto"/>
      </w:pPr>
      <w:r>
        <w:rPr>
          <w:rFonts w:ascii="Arial" w:hAnsi="Arial" w:cs="Arial" w:eastAsia="Arial"/>
          <w:b w:val="0"/>
          <w:i w:val="0"/>
          <w:color w:val="1B2733"/>
          <w:sz w:val="19"/>
        </w:rPr>
        <w:t>The industrial site is confirmed, but the entire current cadastral structure was not reconstructed parcel-by-parcel. Impact: the report can establish the industrial asset and some directly owned buildings, but not every current land title.</w:t>
      </w:r>
    </w:p>
    <w:p>
      <w:pPr>
        <w:pStyle w:val="Heading1"/>
        <w:keepNext/>
        <w:spacing w:before="280" w:after="60" w:line="252" w:lineRule="auto"/>
        <w:pBdr>
          <w:bottom w:val="single" w:sz="12" w:space="4" w:color="1F4E79"/>
        </w:pBdr>
      </w:pPr>
      <w:r>
        <w:rPr>
          <w:rFonts w:ascii="Arial" w:hAnsi="Arial" w:cs="Arial" w:eastAsia="Arial"/>
          <w:b/>
          <w:color w:val="1F4E79"/>
          <w:sz w:val="30"/>
        </w:rPr>
        <w:t>22.3. Legal buyer in the 2000 Union-Arm transaction</w:t>
      </w:r>
    </w:p>
    <w:p>
      <w:pPr>
        <w:spacing w:before="0" w:after="120" w:line="307" w:lineRule="auto"/>
      </w:pPr>
      <w:r>
        <w:rPr>
          <w:rFonts w:ascii="Arial" w:hAnsi="Arial" w:cs="Arial" w:eastAsia="Arial"/>
          <w:b w:val="0"/>
          <w:i w:val="0"/>
          <w:color w:val="1B2733"/>
          <w:sz w:val="19"/>
        </w:rPr>
        <w:t>The acquisition of control is documented; the exact purchasing legal entity remains unresolved.</w:t>
      </w:r>
    </w:p>
    <w:p>
      <w:pPr>
        <w:pStyle w:val="Heading1"/>
        <w:keepNext/>
        <w:spacing w:before="280" w:after="60" w:line="252" w:lineRule="auto"/>
        <w:pBdr>
          <w:bottom w:val="single" w:sz="12" w:space="4" w:color="1F4E79"/>
        </w:pBdr>
      </w:pPr>
      <w:r>
        <w:rPr>
          <w:rFonts w:ascii="Arial" w:hAnsi="Arial" w:cs="Arial" w:eastAsia="Arial"/>
          <w:b/>
          <w:color w:val="1F4E79"/>
          <w:sz w:val="30"/>
        </w:rPr>
        <w:t>22.4. UAE beneficial ownership</w:t>
      </w:r>
    </w:p>
    <w:p>
      <w:pPr>
        <w:spacing w:before="0" w:after="120" w:line="307" w:lineRule="auto"/>
      </w:pPr>
      <w:r>
        <w:rPr>
          <w:rFonts w:ascii="Arial" w:hAnsi="Arial" w:cs="Arial" w:eastAsia="Arial"/>
          <w:b w:val="0"/>
          <w:i w:val="0"/>
          <w:color w:val="1B2733"/>
          <w:sz w:val="19"/>
        </w:rPr>
        <w:t>The manufacturing activity of PTPA Middle East FZE is confirmed, but the final UBO chain is not publicly disclosed in the sources reviewed.</w:t>
      </w:r>
    </w:p>
    <w:p>
      <w:pPr>
        <w:pStyle w:val="Heading1"/>
        <w:keepNext/>
        <w:spacing w:before="280" w:after="60" w:line="252" w:lineRule="auto"/>
        <w:pBdr>
          <w:bottom w:val="single" w:sz="12" w:space="4" w:color="1F4E79"/>
        </w:pBdr>
      </w:pPr>
      <w:r>
        <w:rPr>
          <w:rFonts w:ascii="Arial" w:hAnsi="Arial" w:cs="Arial" w:eastAsia="Arial"/>
          <w:b/>
          <w:color w:val="1F4E79"/>
          <w:sz w:val="30"/>
        </w:rPr>
        <w:t>22.5. OTKP / BK TPA ultimate control</w:t>
      </w:r>
    </w:p>
    <w:p>
      <w:pPr>
        <w:spacing w:before="0" w:after="120" w:line="307" w:lineRule="auto"/>
      </w:pPr>
      <w:r>
        <w:rPr>
          <w:rFonts w:ascii="Arial" w:hAnsi="Arial" w:cs="Arial" w:eastAsia="Arial"/>
          <w:b w:val="0"/>
          <w:i w:val="0"/>
          <w:color w:val="1B2733"/>
          <w:sz w:val="19"/>
        </w:rPr>
        <w:t>The legal chain is known through OTKP, Polosukhina and Kashkina, but the economic rationale and ultimate beneficial ownership behind the 2025 restructuring remain unresolved.</w:t>
      </w:r>
    </w:p>
    <w:p>
      <w:pPr>
        <w:pStyle w:val="Heading1"/>
        <w:keepNext/>
        <w:spacing w:before="280" w:after="60" w:line="252" w:lineRule="auto"/>
        <w:pBdr>
          <w:bottom w:val="single" w:sz="12" w:space="4" w:color="1F4E79"/>
        </w:pBdr>
      </w:pPr>
      <w:r>
        <w:rPr>
          <w:rFonts w:ascii="Arial" w:hAnsi="Arial" w:cs="Arial" w:eastAsia="Arial"/>
          <w:b/>
          <w:color w:val="1F4E79"/>
          <w:sz w:val="30"/>
        </w:rPr>
        <w:t>23. Analytical Hypotheses</w:t>
      </w:r>
    </w:p>
    <w:p>
      <w:pPr>
        <w:spacing w:before="0" w:after="120" w:line="307" w:lineRule="auto"/>
      </w:pPr>
      <w:r>
        <w:rPr>
          <w:rFonts w:ascii="Arial" w:hAnsi="Arial" w:cs="Arial" w:eastAsia="Arial"/>
          <w:b w:val="0"/>
          <w:i w:val="0"/>
          <w:color w:val="1B2733"/>
          <w:sz w:val="19"/>
        </w:rPr>
        <w:t>The following should be treated explicitly as hypotheses rather than findings. Hypothesis 1 - Chernyshev remained the central beneficial controller of PTPA after the historical ownership period Basis: long-term management, direct historical shareholding, 100% ownership of NELS and NELS's historical major PTPA block. Confidence: Moderate. Limitation: absence of a current 2026 shareholder register. Hypothesis 2 - NELS functioned primarily as Chernyshev's ownership vehicle Basis: 100% Chernyshev ownership + major historical PTPA stake. Confidence: High. Hypothesis 3 - OTKP was used as an acquisition/holding vehicle for BK</w:t>
      </w:r>
    </w:p>
    <w:p>
      <w:pPr>
        <w:pStyle w:val="Heading2"/>
        <w:keepNext/>
        <w:spacing w:before="220" w:after="60" w:line="252" w:lineRule="auto"/>
      </w:pPr>
      <w:r>
        <w:rPr>
          <w:rFonts w:ascii="Arial" w:hAnsi="Arial" w:cs="Arial" w:eastAsia="Arial"/>
          <w:b/>
          <w:color w:val="1B2733"/>
          <w:sz w:val="22"/>
        </w:rPr>
        <w:t>TPA</w:t>
      </w:r>
    </w:p>
    <w:p>
      <w:pPr>
        <w:spacing w:before="0" w:after="120" w:line="307" w:lineRule="auto"/>
      </w:pPr>
      <w:r>
        <w:rPr>
          <w:rFonts w:ascii="Arial" w:hAnsi="Arial" w:cs="Arial" w:eastAsia="Arial"/>
          <w:b w:val="0"/>
          <w:i w:val="0"/>
          <w:color w:val="1B2733"/>
          <w:sz w:val="19"/>
        </w:rPr>
        <w:t>Basis: ownership restructuring of OTKP on 10 April 2025 followed by acquisition of BK TPA on 17 June 2025. Confidence: Moderate. Hypothesis 4 - The Polosukhin and Kashkina network may represent continuity of beneficial or managerial interests Basis: ownership succession in OTKP and subsequent management of BK TPA. Confidence: Low-to-moderate. Hypothesis 5 - Nazarova was part of a coordinated historical PTPA corporate network rather than an isolated minority shareholder Basis: simultaneous ownership, board chairmanship, senior management, TD PTPA leadership and links to TPP-Partner / PTPA-Partner. Confidence: Moderate. Important limitation: no direct evidence was identified proving an undisclosed agreement between Nazarova and Chernyshev.</w:t>
      </w:r>
    </w:p>
    <w:p>
      <w:pPr>
        <w:pStyle w:val="Heading1"/>
        <w:keepNext/>
        <w:spacing w:before="280" w:after="60" w:line="252" w:lineRule="auto"/>
        <w:pBdr>
          <w:bottom w:val="single" w:sz="12" w:space="4" w:color="1F4E79"/>
        </w:pBdr>
      </w:pPr>
      <w:r>
        <w:rPr>
          <w:rFonts w:ascii="Arial" w:hAnsi="Arial" w:cs="Arial" w:eastAsia="Arial"/>
          <w:b/>
          <w:color w:val="1F4E79"/>
          <w:sz w:val="30"/>
        </w:rPr>
        <w:t>24. Final Assessment</w:t>
      </w:r>
    </w:p>
    <w:p>
      <w:pPr>
        <w:spacing w:before="0" w:after="120" w:line="307" w:lineRule="auto"/>
      </w:pPr>
      <w:r>
        <w:rPr>
          <w:rFonts w:ascii="Arial" w:hAnsi="Arial" w:cs="Arial" w:eastAsia="Arial"/>
          <w:b w:val="0"/>
          <w:i w:val="0"/>
          <w:color w:val="1B2733"/>
          <w:sz w:val="19"/>
        </w:rPr>
        <w:t>The open-source evidence supports the following reconstruction: PTPA is a long-established industrial valve manufacturer whose modern private corporate history can be traced to a change of control associated with Union-Arm in 2000. Alexander Chernyshev emerged as the central managerial figure during the subsequent restructuring and was later documented as a major shareholder directly and indirectly through NELS. The strongest historical ownership evidence places Chernyshev and NELS at the centre of PTPA's private control structure, with Chernyshev's combined direct and indirect economic interest exceeding 70% in the 2008 snapshot. Later historical reporting shows the same basic control architecture. Current executive control remains easier to verify than current share ownership: Chernyshev continues to be identified as PTPA's general director in 2026. The exact current shareholder structure, however, cannot be conclusively reconstructed from the publicly indexed sources reviewed. The corporate perimeter has not remained static. In particular, BK TPA, the legal successor of PTPA-Finance, was transferred from PTPA to OTKP in June 2025. OTKP itself had undergone a significant ownership change two months earlier, when Irina Polosukhina acquired 99% and Tatiana Kashkina retained 1%. The available data establish the legal sequence but do not conclusively identify the ultimate economic rationale or beneficial ownership behind it. PTPA controls or historically controlled a substantial industrial infrastructure centred on the Penza plant, with at least some buildings directly confirmed as owned by PTPA and additional land, real estate, vehicles and pledged equipment documented in litigation. The company has a substantial industrial capability extending into high-pressure and large-diameter valve production, specialised testing and nuclear-sector applications. Its international presence in the UAE is operational rather than purely representative, with current UAE government data identifying PTPA Middle East FZE as a manufacturer and repairer of industrial valves. Commercially, PTPA and its trading structures have extensive relationships with large Russian industrial and state-linked customers. The 2026 Atomstroyexport disclosure, with a maximum transaction value equivalent to RUB 10 billion, is a particularly strong contemporary indicator of the scale of the company's nuclear-sector commercial activity. Legally, PTPA has experienced material tax disputes, including assessments in the hundreds of millions of rubles and associated asset-security measures. However, these findings concern specific tax disputes and should not be generalized into a conclusion that the company's overall business is fraudulent or non-operational. The open-source evidence reviewed did not establish a direct defence-procurement relationship. The evidence is materially stronger for nuclear, oil and gas, energy and other strategic industrial markets. The resulting corporate intelligence picture is therefore: Historical private control: strongly associated with Alexander Chernyshev and NELS. Current management: Alexander Chernyshev, confirmed. Current ultimate ownership: not conclusively established from public indexed records. Corporate network: substantial, historically diversified and partially restructured after 2025. Industrial assets: substantial, with direct ownership of at least some real estate confirmed. International footprint: operational manufacturing presence in the UAE. Commercial footprint: extensive, including large state-linked industrial customers and procurement. Legal exposure: material historical tax and commercial litigation, but no evidence in the reviewed data of a current large FSSP debt balance. Direct defence procurement: not established.</w:t>
      </w:r>
    </w:p>
    <w:p>
      <w:pPr>
        <w:pStyle w:val="Heading1"/>
        <w:keepNext/>
        <w:spacing w:before="280" w:after="60" w:line="252" w:lineRule="auto"/>
        <w:pBdr>
          <w:bottom w:val="single" w:sz="12" w:space="4" w:color="1F4E79"/>
        </w:pBdr>
      </w:pPr>
      <w:r>
        <w:rPr>
          <w:rFonts w:ascii="Arial" w:hAnsi="Arial" w:cs="Arial" w:eastAsia="Arial"/>
          <w:b/>
          <w:color w:val="1F4E79"/>
          <w:sz w:val="30"/>
        </w:rPr>
        <w:t>Sources</w:t>
      </w:r>
    </w:p>
    <w:p>
      <w:pPr>
        <w:spacing w:before="0" w:after="120" w:line="307" w:lineRule="auto"/>
      </w:pPr>
      <w:r>
        <w:rPr>
          <w:rFonts w:ascii="Arial" w:hAnsi="Arial" w:cs="Arial" w:eastAsia="Arial"/>
          <w:b w:val="0"/>
          <w:i w:val="0"/>
          <w:color w:val="1B2733"/>
          <w:sz w:val="19"/>
        </w:rPr>
        <w:t>1. JSC PTPA - Central Bank / issuer information and current corporate status. 2. Vedomosti, 29 May 2002 - “Страшные издержки”: Union-Arm acquisition, Chernyshev's role and PTPA restructuring. 3. PTPA securities / issuer documentation - historical shareholder structure and Chernyshev/NELS ownership. 4. ООО “NELS” - current ownership and management data. 5. ООО “АК “РОСТ” - historical ownership involving Chernyshev. 6. ZAO “Union-Arm” - legal-entity history and Chernyshev management link. 7. ООО “BK TPA” - current owner, legal successor and 2025-2026 registration history. 8. ООО “OTPK” - ownership history and acquisition of BK TPA. 9. Arbitration case A49-11915/2022 - tax assessments, EGRN-confirmed property and asset restrictions. 10. InterGazCert - active PTPA certifications and technical scope. 11. UAE Ministry of Industry and Advanced Technology - National ICV data for PTPA Middle East FZE. 12. ATON corporate disclosure - 2026 Atomstroyexport transaction, maximum RUB 10 billion. 13. TD PTPA - government procurement footprint. 14. MChS / fire-safety declaration - direct ownership evidence for PTPA's Workshop Block No. 3. MChS regulatory declaration</w:t>
      </w:r>
    </w:p>
    <w:p>
      <w:pPr>
        <w:pStyle w:val="Heading1"/>
        <w:keepNext/>
        <w:spacing w:before="280" w:after="60" w:line="252" w:lineRule="auto"/>
        <w:pBdr>
          <w:bottom w:val="single" w:sz="12" w:space="4" w:color="1F4E79"/>
        </w:pBdr>
      </w:pPr>
      <w:r>
        <w:rPr>
          <w:rFonts w:ascii="Arial" w:hAnsi="Arial" w:cs="Arial" w:eastAsia="Arial"/>
          <w:b/>
          <w:color w:val="1F4E79"/>
          <w:sz w:val="30"/>
        </w:rPr>
        <w:t>Source quality note</w:t>
      </w:r>
    </w:p>
    <w:p>
      <w:pPr>
        <w:spacing w:before="0" w:after="120" w:line="307" w:lineRule="auto"/>
      </w:pPr>
      <w:r>
        <w:rPr>
          <w:rFonts w:ascii="Arial" w:hAnsi="Arial" w:cs="Arial" w:eastAsia="Arial"/>
          <w:b w:val="0"/>
          <w:i w:val="0"/>
          <w:color w:val="1B2733"/>
          <w:sz w:val="19"/>
        </w:rPr>
        <w:t>Where possible, priority was given to: Primary / regulatory sources: Central Bank issuer records, court decisions, regulatory certification registers, government UAE data and corporate disclosures. Secondary sources: Vedomosti , Kommersant , industry publications and corporate-information databases. Commercial databases were used primarily to reconstruct historical registration changes and corporate links. Where a conclusion could not be established from a primary source, the wording above has been deliberately limited to the strength of the available evidence.</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JSC Penztyazhpromarmatura — Corporate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