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307" w:lineRule="auto"/>
      </w:pPr>
      <w:r>
        <w:rPr>
          <w:rFonts w:ascii="Arial" w:hAnsi="Arial" w:cs="Arial" w:eastAsia="Arial"/>
          <w:b w:val="0"/>
          <w:i w:val="0"/>
          <w:color w:val="1B2733"/>
          <w:sz w:val="19"/>
        </w:rPr>
      </w:r>
    </w:p>
    <w:p>
      <w:pPr>
        <w:spacing w:before="40" w:after="160"/>
        <w:pBdr>
          <w:bottom w:val="single" w:sz="18" w:space="1" w:color="1F4E79"/>
        </w:pBdr>
      </w:pPr>
    </w:p>
    <w:p>
      <w:pPr>
        <w:spacing w:before="0" w:after="280" w:line="264" w:lineRule="auto"/>
      </w:pPr>
      <w:r>
        <w:rPr>
          <w:rFonts w:ascii="Arial" w:hAnsi="Arial" w:cs="Arial" w:eastAsia="Arial"/>
          <w:b/>
          <w:i w:val="0"/>
          <w:color w:val="1F4E79"/>
          <w:sz w:val="18"/>
        </w:rPr>
        <w:t>GEOINT CASE</w:t>
      </w:r>
    </w:p>
    <w:p>
      <w:pPr>
        <w:spacing w:before="0" w:after="80" w:line="245" w:lineRule="auto"/>
      </w:pPr>
      <w:r>
        <w:rPr>
          <w:rFonts w:ascii="Arial" w:hAnsi="Arial" w:cs="Arial" w:eastAsia="Arial"/>
          <w:b/>
          <w:i w:val="0"/>
          <w:color w:val="1B2733"/>
          <w:sz w:val="54"/>
        </w:rPr>
        <w:t>Operational Assessment of a Regional Distribution Facility (IKEA Logistics)</w:t>
      </w:r>
    </w:p>
    <w:p>
      <w:pPr>
        <w:spacing w:before="0" w:after="160" w:line="254" w:lineRule="auto"/>
      </w:pPr>
      <w:r>
        <w:rPr>
          <w:rFonts w:ascii="Arial" w:hAnsi="Arial" w:cs="Arial" w:eastAsia="Arial"/>
          <w:b w:val="0"/>
          <w:i w:val="0"/>
          <w:color w:val="1F4E79"/>
          <w:sz w:val="34"/>
        </w:rPr>
        <w:t>Throughput and surge capacity of a multimodal regional distribution hub</w:t>
      </w:r>
    </w:p>
    <w:p>
      <w:pPr>
        <w:spacing w:before="0" w:after="320" w:line="264" w:lineRule="auto"/>
      </w:pPr>
      <w:r>
        <w:rPr>
          <w:rFonts w:ascii="Arial" w:hAnsi="Arial" w:cs="Arial" w:eastAsia="Arial"/>
          <w:b w:val="0"/>
          <w:i w:val="0"/>
          <w:color w:val="555F6B"/>
          <w:sz w:val="22"/>
        </w:rPr>
        <w:t>Japan</w:t>
      </w:r>
    </w:p>
    <w:p>
      <w:pPr>
        <w:spacing w:before="40" w:after="160"/>
        <w:pBdr>
          <w:bottom w:val="single" w:sz="18" w:space="1" w:color="1F4E79"/>
        </w:pBdr>
      </w:pPr>
    </w:p>
    <w:p>
      <w:pPr>
        <w:spacing w:before="0" w:after="200" w:line="307" w:lineRule="auto"/>
      </w:pPr>
      <w:r>
        <w:rPr>
          <w:rFonts w:ascii="Arial" w:hAnsi="Arial" w:cs="Arial" w:eastAsia="Arial"/>
          <w:b w:val="0"/>
          <w:i w:val="0"/>
          <w:color w:val="1B2733"/>
          <w:sz w:val="19"/>
        </w:rPr>
      </w:r>
    </w:p>
    <w:tbl>
      <w:tblPr>
        <w:tblW w:type="auto" w:w="0"/>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80" w:type="dxa"/>
          <w:left w:w="120" w:type="dxa"/>
          <w:bottom w:w="80" w:type="dxa"/>
          <w:right w:w="120" w:type="dxa"/>
        </w:tblCellMar>
      </w:tblPr>
      <w:tblGrid>
        <w:gridCol w:w="2232"/>
        <w:gridCol w:w="7066"/>
      </w:tblGrid>
      <w:tr>
        <w:tc>
          <w:tcPr>
            <w:tcW w:type="dxa" w:w="2232"/>
            <w:shd w:val="clear" w:color="auto" w:fill="EEF3F8"/>
          </w:tcPr>
          <w:p>
            <w:pPr>
              <w:spacing w:before="60" w:after="60"/>
            </w:pPr>
            <w:r>
              <w:rPr>
                <w:rFonts w:ascii="Arial" w:hAnsi="Arial" w:cs="Arial" w:eastAsia="Arial"/>
                <w:b/>
                <w:color w:val="1F4E79"/>
                <w:sz w:val="17"/>
              </w:rPr>
              <w:t>Subject</w:t>
            </w:r>
          </w:p>
        </w:tc>
        <w:tc>
          <w:tcPr>
            <w:tcW w:type="dxa" w:w="7066"/>
          </w:tcPr>
          <w:p>
            <w:pPr>
              <w:spacing w:before="60" w:after="60" w:line="288" w:lineRule="auto"/>
            </w:pPr>
            <w:r>
              <w:rPr>
                <w:rFonts w:ascii="Arial" w:hAnsi="Arial" w:cs="Arial" w:eastAsia="Arial"/>
                <w:color w:val="1B2733"/>
                <w:sz w:val="18"/>
              </w:rPr>
              <w:t>Large regional distribution facility assessed by satellite imagery; a dedicated IKEA distribution office is present on site</w:t>
            </w:r>
          </w:p>
        </w:tc>
      </w:tr>
      <w:tr>
        <w:tc>
          <w:tcPr>
            <w:tcW w:type="dxa" w:w="2232"/>
            <w:shd w:val="clear" w:color="auto" w:fill="EEF3F8"/>
          </w:tcPr>
          <w:p>
            <w:pPr>
              <w:spacing w:before="60" w:after="60"/>
            </w:pPr>
            <w:r>
              <w:rPr>
                <w:rFonts w:ascii="Arial" w:hAnsi="Arial" w:cs="Arial" w:eastAsia="Arial"/>
                <w:b/>
                <w:color w:val="1F4E79"/>
                <w:sz w:val="17"/>
              </w:rPr>
              <w:t>Geography</w:t>
            </w:r>
          </w:p>
        </w:tc>
        <w:tc>
          <w:tcPr>
            <w:tcW w:type="dxa" w:w="7066"/>
          </w:tcPr>
          <w:p>
            <w:pPr>
              <w:spacing w:before="60" w:after="60" w:line="288" w:lineRule="auto"/>
            </w:pPr>
            <w:r>
              <w:rPr>
                <w:rFonts w:ascii="Arial" w:hAnsi="Arial" w:cs="Arial" w:eastAsia="Arial"/>
                <w:color w:val="1B2733"/>
                <w:sz w:val="18"/>
              </w:rPr>
              <w:t>Japan — the source states no coordinates</w:t>
            </w:r>
          </w:p>
        </w:tc>
      </w:tr>
      <w:tr>
        <w:tc>
          <w:tcPr>
            <w:tcW w:type="dxa" w:w="2232"/>
            <w:shd w:val="clear" w:color="auto" w:fill="EEF3F8"/>
          </w:tcPr>
          <w:p>
            <w:pPr>
              <w:spacing w:before="60" w:after="60"/>
            </w:pPr>
            <w:r>
              <w:rPr>
                <w:rFonts w:ascii="Arial" w:hAnsi="Arial" w:cs="Arial" w:eastAsia="Arial"/>
                <w:b/>
                <w:color w:val="1F4E79"/>
                <w:sz w:val="17"/>
              </w:rPr>
              <w:t>Imagery basis</w:t>
            </w:r>
          </w:p>
        </w:tc>
        <w:tc>
          <w:tcPr>
            <w:tcW w:type="dxa" w:w="7066"/>
          </w:tcPr>
          <w:p>
            <w:pPr>
              <w:spacing w:before="60" w:after="60" w:line="288" w:lineRule="auto"/>
            </w:pPr>
            <w:r>
              <w:rPr>
                <w:rFonts w:ascii="Arial" w:hAnsi="Arial" w:cs="Arial" w:eastAsia="Arial"/>
                <w:color w:val="1B2733"/>
                <w:sz w:val="18"/>
              </w:rPr>
              <w:t>High-resolution satellite imagery; single-date capture, time of day not stated</w:t>
            </w:r>
          </w:p>
        </w:tc>
      </w:tr>
      <w:tr>
        <w:tc>
          <w:tcPr>
            <w:tcW w:type="dxa" w:w="2232"/>
            <w:shd w:val="clear" w:color="auto" w:fill="EEF3F8"/>
          </w:tcPr>
          <w:p>
            <w:pPr>
              <w:spacing w:before="60" w:after="60"/>
            </w:pPr>
            <w:r>
              <w:rPr>
                <w:rFonts w:ascii="Arial" w:hAnsi="Arial" w:cs="Arial" w:eastAsia="Arial"/>
                <w:b/>
                <w:color w:val="1F4E79"/>
                <w:sz w:val="17"/>
              </w:rPr>
              <w:t>Facility composition</w:t>
            </w:r>
          </w:p>
        </w:tc>
        <w:tc>
          <w:tcPr>
            <w:tcW w:type="dxa" w:w="7066"/>
          </w:tcPr>
          <w:p>
            <w:pPr>
              <w:spacing w:before="60" w:after="60" w:line="288" w:lineRule="auto"/>
            </w:pPr>
            <w:r>
              <w:rPr>
                <w:rFonts w:ascii="Arial" w:hAnsi="Arial" w:cs="Arial" w:eastAsia="Arial"/>
                <w:color w:val="1B2733"/>
                <w:sz w:val="18"/>
              </w:rPr>
              <w:t>Four large warehouse buildings, multiple trailer yards, a container storage area, a designated waiting area, internal rail connections</w:t>
            </w:r>
          </w:p>
        </w:tc>
      </w:tr>
      <w:tr>
        <w:tc>
          <w:tcPr>
            <w:tcW w:type="dxa" w:w="2232"/>
            <w:shd w:val="clear" w:color="auto" w:fill="EEF3F8"/>
          </w:tcPr>
          <w:p>
            <w:pPr>
              <w:spacing w:before="60" w:after="60"/>
            </w:pPr>
            <w:r>
              <w:rPr>
                <w:rFonts w:ascii="Arial" w:hAnsi="Arial" w:cs="Arial" w:eastAsia="Arial"/>
                <w:b/>
                <w:color w:val="1F4E79"/>
                <w:sz w:val="17"/>
              </w:rPr>
              <w:t>Warehouse footprint</w:t>
            </w:r>
          </w:p>
        </w:tc>
        <w:tc>
          <w:tcPr>
            <w:tcW w:type="dxa" w:w="7066"/>
          </w:tcPr>
          <w:p>
            <w:pPr>
              <w:spacing w:before="60" w:after="60" w:line="288" w:lineRule="auto"/>
            </w:pPr>
            <w:r>
              <w:rPr>
                <w:rFonts w:ascii="Arial" w:hAnsi="Arial" w:cs="Arial" w:eastAsia="Arial"/>
                <w:color w:val="1B2733"/>
                <w:sz w:val="18"/>
              </w:rPr>
              <w:t>~375,000 m² total</w:t>
            </w:r>
          </w:p>
        </w:tc>
      </w:tr>
      <w:tr>
        <w:tc>
          <w:tcPr>
            <w:tcW w:type="dxa" w:w="2232"/>
            <w:shd w:val="clear" w:color="auto" w:fill="EEF3F8"/>
          </w:tcPr>
          <w:p>
            <w:pPr>
              <w:spacing w:before="60" w:after="60"/>
            </w:pPr>
            <w:r>
              <w:rPr>
                <w:rFonts w:ascii="Arial" w:hAnsi="Arial" w:cs="Arial" w:eastAsia="Arial"/>
                <w:b/>
                <w:color w:val="1F4E79"/>
                <w:sz w:val="17"/>
              </w:rPr>
              <w:t>Total dock positions</w:t>
            </w:r>
          </w:p>
        </w:tc>
        <w:tc>
          <w:tcPr>
            <w:tcW w:type="dxa" w:w="7066"/>
          </w:tcPr>
          <w:p>
            <w:pPr>
              <w:spacing w:before="60" w:after="60" w:line="288" w:lineRule="auto"/>
            </w:pPr>
            <w:r>
              <w:rPr>
                <w:rFonts w:ascii="Arial" w:hAnsi="Arial" w:cs="Arial" w:eastAsia="Arial"/>
                <w:color w:val="1B2733"/>
                <w:sz w:val="18"/>
              </w:rPr>
              <w:t>405 auto docks; 129 active at time of imaging</w:t>
            </w:r>
          </w:p>
        </w:tc>
      </w:tr>
      <w:tr>
        <w:tc>
          <w:tcPr>
            <w:tcW w:type="dxa" w:w="2232"/>
            <w:shd w:val="clear" w:color="auto" w:fill="EEF3F8"/>
          </w:tcPr>
          <w:p>
            <w:pPr>
              <w:spacing w:before="60" w:after="60"/>
            </w:pPr>
            <w:r>
              <w:rPr>
                <w:rFonts w:ascii="Arial" w:hAnsi="Arial" w:cs="Arial" w:eastAsia="Arial"/>
                <w:b/>
                <w:color w:val="1F4E79"/>
                <w:sz w:val="17"/>
              </w:rPr>
              <w:t>Estimated dock utilization</w:t>
            </w:r>
          </w:p>
        </w:tc>
        <w:tc>
          <w:tcPr>
            <w:tcW w:type="dxa" w:w="7066"/>
          </w:tcPr>
          <w:p>
            <w:pPr>
              <w:spacing w:before="60" w:after="60" w:line="288" w:lineRule="auto"/>
            </w:pPr>
            <w:r>
              <w:rPr>
                <w:rFonts w:ascii="Arial" w:hAnsi="Arial" w:cs="Arial" w:eastAsia="Arial"/>
                <w:color w:val="1B2733"/>
                <w:sz w:val="18"/>
              </w:rPr>
              <w:t>~32% — approx. 68% dock capacity unused</w:t>
            </w:r>
          </w:p>
        </w:tc>
      </w:tr>
      <w:tr>
        <w:tc>
          <w:tcPr>
            <w:tcW w:type="dxa" w:w="2232"/>
            <w:shd w:val="clear" w:color="auto" w:fill="EEF3F8"/>
          </w:tcPr>
          <w:p>
            <w:pPr>
              <w:spacing w:before="60" w:after="60"/>
            </w:pPr>
            <w:r>
              <w:rPr>
                <w:rFonts w:ascii="Arial" w:hAnsi="Arial" w:cs="Arial" w:eastAsia="Arial"/>
                <w:b/>
                <w:color w:val="1F4E79"/>
                <w:sz w:val="17"/>
              </w:rPr>
              <w:t>Stated surge capability</w:t>
            </w:r>
          </w:p>
        </w:tc>
        <w:tc>
          <w:tcPr>
            <w:tcW w:type="dxa" w:w="7066"/>
          </w:tcPr>
          <w:p>
            <w:pPr>
              <w:spacing w:before="60" w:after="60" w:line="288" w:lineRule="auto"/>
            </w:pPr>
            <w:r>
              <w:rPr>
                <w:rFonts w:ascii="Arial" w:hAnsi="Arial" w:cs="Arial" w:eastAsia="Arial"/>
                <w:color w:val="1B2733"/>
                <w:sz w:val="18"/>
              </w:rPr>
              <w:t>30-40% increase in throughput without physical expansion</w:t>
            </w:r>
          </w:p>
        </w:tc>
      </w:tr>
    </w:tbl>
    <w:p>
      <w:pPr>
        <w:spacing w:before="0" w:after="280" w:line="307" w:lineRule="auto"/>
      </w:pPr>
      <w:r>
        <w:rPr>
          <w:rFonts w:ascii="Arial" w:hAnsi="Arial" w:cs="Arial" w:eastAsia="Arial"/>
          <w:b w:val="0"/>
          <w:i w:val="0"/>
          <w:color w:val="1B2733"/>
          <w:sz w:val="19"/>
        </w:rPr>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r/>
            <w:r>
              <w:rPr>
                <w:rFonts w:ascii="Arial" w:hAnsi="Arial" w:cs="Arial" w:eastAsia="Arial"/>
                <w:b/>
                <w:color w:val="1F4E79"/>
                <w:sz w:val="15"/>
              </w:rPr>
              <w:t>RESEARCH QUESTION</w:t>
            </w:r>
          </w:p>
          <w:p>
            <w:pPr>
              <w:spacing w:before="20" w:after="0" w:line="288" w:lineRule="auto"/>
            </w:pPr>
            <w:r>
              <w:rPr>
                <w:rFonts w:ascii="Arial" w:hAnsi="Arial" w:cs="Arial" w:eastAsia="Arial"/>
                <w:b/>
                <w:color w:val="1B2733"/>
                <w:sz w:val="19"/>
              </w:rPr>
              <w:t>The objective of this analysis is to assess the operational utilization and current workload of a large regional distribution facility using high-resolution satellite imagery.</w:t>
            </w:r>
          </w:p>
        </w:tc>
      </w:tr>
    </w:tbl>
    <w:p>
      <w:pPr>
        <w:spacing w:before="0" w:after="80" w:line="307" w:lineRule="auto"/>
      </w:pPr>
      <w:r>
        <w:rPr>
          <w:rFonts w:ascii="Arial" w:hAnsi="Arial" w:cs="Arial" w:eastAsia="Arial"/>
          <w:b w:val="0"/>
          <w:i w:val="0"/>
          <w:color w:val="1B2733"/>
          <w:sz w:val="19"/>
        </w:rPr>
      </w:r>
    </w:p>
    <w:p>
      <w:pPr>
        <w:spacing w:before="0" w:after="160" w:line="307" w:lineRule="auto"/>
      </w:pPr>
      <w:r>
        <w:rPr>
          <w:rFonts w:ascii="Arial" w:hAnsi="Arial" w:cs="Arial" w:eastAsia="Arial"/>
          <w:b w:val="0"/>
          <w:i w:val="0"/>
          <w:color w:val="1B2733"/>
          <w:sz w:val="19"/>
        </w:rPr>
      </w:r>
    </w:p>
    <w:p>
      <w:pPr>
        <w:spacing w:before="0" w:after="0" w:line="312" w:lineRule="auto"/>
      </w:pPr>
      <w:r>
        <w:rPr>
          <w:rFonts w:ascii="Arial" w:hAnsi="Arial" w:cs="Arial" w:eastAsia="Arial"/>
          <w:b w:val="0"/>
          <w:i/>
          <w:color w:val="555F6B"/>
          <w:sz w:val="17"/>
        </w:rPr>
        <w:t>Prepared from public sources only. No private, paid or non-public data was used.</w:t>
      </w:r>
    </w:p>
    <w:p>
      <w:pPr>
        <w:pStyle w:val="Heading1"/>
        <w:keepNext/>
        <w:spacing w:before="280" w:after="60" w:line="252" w:lineRule="auto"/>
        <w:pBdr>
          <w:bottom w:val="single" w:sz="12" w:space="4" w:color="1F4E79"/>
        </w:pBdr>
      </w:pPr>
      <w:r>
        <w:rPr>
          <w:rFonts w:ascii="Arial" w:hAnsi="Arial" w:cs="Arial" w:eastAsia="Arial"/>
          <w:b/>
          <w:color w:val="1F4E79"/>
          <w:sz w:val="30"/>
        </w:rPr>
        <w:t>Objective</w:t>
      </w:r>
    </w:p>
    <w:p>
      <w:pPr>
        <w:spacing w:before="0" w:after="120" w:line="307" w:lineRule="auto"/>
      </w:pPr>
      <w:r>
        <w:rPr>
          <w:rFonts w:ascii="Arial" w:hAnsi="Arial" w:cs="Arial" w:eastAsia="Arial"/>
          <w:b w:val="0"/>
          <w:i w:val="0"/>
          <w:color w:val="1B2733"/>
          <w:sz w:val="19"/>
        </w:rPr>
        <w:t>The objective of this analysis is to assess the operational utilization and current workload of a large regional distribution facility using high-resolution satellite imagery.</w:t>
      </w:r>
    </w:p>
    <w:p>
      <w:pPr>
        <w:spacing w:before="0" w:after="120" w:line="307" w:lineRule="auto"/>
      </w:pPr>
      <w:r>
        <w:rPr>
          <w:rFonts w:ascii="Arial" w:hAnsi="Arial" w:cs="Arial" w:eastAsia="Arial"/>
          <w:b w:val="0"/>
          <w:i w:val="0"/>
          <w:color w:val="1B2733"/>
          <w:sz w:val="19"/>
        </w:rPr>
        <w:t>The assessment focuses on:</w:t>
      </w:r>
    </w:p>
    <w:p>
      <w:pPr>
        <w:pStyle w:val="ListBullet"/>
        <w:spacing w:before="0" w:after="60" w:line="293" w:lineRule="auto"/>
        <w:ind w:left="351" w:hanging="193"/>
      </w:pPr>
      <w:r>
        <w:rPr>
          <w:rFonts w:ascii="Arial" w:hAnsi="Arial" w:cs="Arial" w:eastAsia="Arial"/>
          <w:color w:val="1B2733"/>
          <w:sz w:val="19"/>
        </w:rPr>
        <w:t>Dock utilization</w:t>
      </w:r>
    </w:p>
    <w:p>
      <w:pPr>
        <w:pStyle w:val="ListBullet"/>
        <w:spacing w:before="0" w:after="60" w:line="293" w:lineRule="auto"/>
        <w:ind w:left="351" w:hanging="193"/>
      </w:pPr>
      <w:r>
        <w:rPr>
          <w:rFonts w:ascii="Arial" w:hAnsi="Arial" w:cs="Arial" w:eastAsia="Arial"/>
          <w:color w:val="1B2733"/>
          <w:sz w:val="19"/>
        </w:rPr>
        <w:t>Trailer yard occupancy</w:t>
      </w:r>
    </w:p>
    <w:p>
      <w:pPr>
        <w:pStyle w:val="ListBullet"/>
        <w:spacing w:before="0" w:after="60" w:line="293" w:lineRule="auto"/>
        <w:ind w:left="351" w:hanging="193"/>
      </w:pPr>
      <w:r>
        <w:rPr>
          <w:rFonts w:ascii="Arial" w:hAnsi="Arial" w:cs="Arial" w:eastAsia="Arial"/>
          <w:color w:val="1B2733"/>
          <w:sz w:val="19"/>
        </w:rPr>
        <w:t>Container storage density</w:t>
      </w:r>
    </w:p>
    <w:p>
      <w:pPr>
        <w:pStyle w:val="ListBullet"/>
        <w:spacing w:before="0" w:after="60" w:line="293" w:lineRule="auto"/>
        <w:ind w:left="351" w:hanging="193"/>
      </w:pPr>
      <w:r>
        <w:rPr>
          <w:rFonts w:ascii="Arial" w:hAnsi="Arial" w:cs="Arial" w:eastAsia="Arial"/>
          <w:color w:val="1B2733"/>
          <w:sz w:val="19"/>
        </w:rPr>
        <w:t>Waiting area activity</w:t>
      </w:r>
    </w:p>
    <w:p>
      <w:pPr>
        <w:pStyle w:val="ListBullet"/>
        <w:spacing w:before="0" w:after="60" w:line="293" w:lineRule="auto"/>
        <w:ind w:left="351" w:hanging="193"/>
      </w:pPr>
      <w:r>
        <w:rPr>
          <w:rFonts w:ascii="Arial" w:hAnsi="Arial" w:cs="Arial" w:eastAsia="Arial"/>
          <w:color w:val="1B2733"/>
          <w:sz w:val="19"/>
        </w:rPr>
        <w:t>Rail usage</w:t>
      </w:r>
    </w:p>
    <w:p>
      <w:pPr>
        <w:pStyle w:val="ListBullet"/>
        <w:spacing w:before="0" w:after="60" w:line="293" w:lineRule="auto"/>
        <w:ind w:left="351" w:hanging="193"/>
      </w:pPr>
      <w:r>
        <w:rPr>
          <w:rFonts w:ascii="Arial" w:hAnsi="Arial" w:cs="Arial" w:eastAsia="Arial"/>
          <w:color w:val="1B2733"/>
          <w:sz w:val="19"/>
        </w:rPr>
        <w:t>Overall operational capacity and spare throughput potential</w:t>
      </w:r>
    </w:p>
    <w:p>
      <w:pPr>
        <w:spacing w:before="0" w:after="120" w:line="307" w:lineRule="auto"/>
      </w:pPr>
      <w:r>
        <w:rPr>
          <w:rFonts w:ascii="Arial" w:hAnsi="Arial" w:cs="Arial" w:eastAsia="Arial"/>
          <w:b w:val="0"/>
          <w:i w:val="0"/>
          <w:color w:val="1B2733"/>
          <w:sz w:val="19"/>
        </w:rPr>
        <w:t>The analysis is based on a single-date satellite image and reflects conditions observed at the time of capture.</w:t>
      </w:r>
    </w:p>
    <w:p>
      <w:pPr>
        <w:keepNext/>
        <w:spacing w:before="160" w:after="60" w:line="264" w:lineRule="auto"/>
      </w:pPr>
      <w:r>
        <w:rPr>
          <w:rFonts w:ascii="Arial" w:hAnsi="Arial" w:cs="Arial" w:eastAsia="Arial"/>
          <w:b/>
          <w:i w:val="0"/>
          <w:color w:val="1F4E79"/>
          <w:sz w:val="15"/>
        </w:rPr>
        <w:t>Figure 1. Facility overview at the time of imaging. Observed: four large warehouse buildings, trailer yards to the north-west and south, a container storage area along a rail spur, and a waiting area on the eastern side. Warehouse footprint is stated in the source as approximately 375,000 m².</w:t>
      </w:r>
    </w:p>
    <w:p>
      <w:pPr>
        <w:keepNext/>
        <w:spacing w:before="0" w:after="60"/>
        <w:jc w:val="center"/>
      </w:pPr>
      <w:r>
        <w:drawing>
          <wp:inline xmlns:a="http://schemas.openxmlformats.org/drawingml/2006/main" xmlns:pic="http://schemas.openxmlformats.org/drawingml/2006/picture">
            <wp:extent cx="5904230" cy="5223507"/>
            <wp:docPr id="1" name="Picture 1"/>
            <wp:cNvGraphicFramePr>
              <a:graphicFrameLocks noChangeAspect="1"/>
            </wp:cNvGraphicFramePr>
            <a:graphic>
              <a:graphicData uri="http://schemas.openxmlformats.org/drawingml/2006/picture">
                <pic:pic>
                  <pic:nvPicPr>
                    <pic:cNvPr id="0" name="site_overview.png"/>
                    <pic:cNvPicPr/>
                  </pic:nvPicPr>
                  <pic:blipFill>
                    <a:blip r:embed="rId11"/>
                    <a:stretch>
                      <a:fillRect/>
                    </a:stretch>
                  </pic:blipFill>
                  <pic:spPr>
                    <a:xfrm>
                      <a:off x="0" y="0"/>
                      <a:ext cx="5904230" cy="5223507"/>
                    </a:xfrm>
                    <a:prstGeom prst="rect"/>
                  </pic:spPr>
                </pic:pic>
              </a:graphicData>
            </a:graphic>
          </wp:inline>
        </w:drawing>
      </w:r>
    </w:p>
    <w:p>
      <w:pPr>
        <w:spacing w:before="0" w:after="160" w:line="276" w:lineRule="auto"/>
      </w:pPr>
      <w:r>
        <w:rPr>
          <w:rFonts w:ascii="Arial" w:hAnsi="Arial" w:cs="Arial" w:eastAsia="Arial"/>
          <w:b w:val="0"/>
          <w:i/>
          <w:color w:val="555F6B"/>
          <w:sz w:val="15"/>
        </w:rPr>
        <w:t>Source: high-resolution satellite imagery reproduced from the source case; provider, platform and acquisition date are not stated in the source and are recorded as unknown. Site boundary and building outlines as drawn in the source imagery. Annotation: none added by the formatter.</w:t>
      </w:r>
    </w:p>
    <w:p>
      <w:pPr>
        <w:pStyle w:val="Heading1"/>
        <w:keepNext/>
        <w:spacing w:before="280" w:after="60" w:line="252" w:lineRule="auto"/>
        <w:pBdr>
          <w:bottom w:val="single" w:sz="12" w:space="4" w:color="1F4E79"/>
        </w:pBdr>
      </w:pPr>
      <w:r>
        <w:rPr>
          <w:rFonts w:ascii="Arial" w:hAnsi="Arial" w:cs="Arial" w:eastAsia="Arial"/>
          <w:b/>
          <w:color w:val="1F4E79"/>
          <w:sz w:val="30"/>
        </w:rPr>
        <w:t>Analytical Approach</w:t>
      </w:r>
    </w:p>
    <w:p>
      <w:pPr>
        <w:spacing w:before="0" w:after="120" w:line="307" w:lineRule="auto"/>
      </w:pPr>
      <w:r>
        <w:rPr>
          <w:rFonts w:ascii="Arial" w:hAnsi="Arial" w:cs="Arial" w:eastAsia="Arial"/>
          <w:b w:val="0"/>
          <w:i w:val="0"/>
          <w:color w:val="1B2733"/>
          <w:sz w:val="19"/>
        </w:rPr>
        <w:t>Operational activity was assessed using multiple independent indicators:</w:t>
      </w:r>
    </w:p>
    <w:p>
      <w:pPr>
        <w:pStyle w:val="Heading3"/>
        <w:keepNext/>
        <w:spacing w:before="160" w:after="40" w:line="252" w:lineRule="auto"/>
      </w:pPr>
      <w:r>
        <w:rPr>
          <w:rFonts w:ascii="Arial" w:hAnsi="Arial" w:cs="Arial" w:eastAsia="Arial"/>
          <w:b/>
          <w:color w:val="1F4E79"/>
          <w:sz w:val="19"/>
        </w:rPr>
        <w:t>Primary indicator</w:t>
      </w:r>
    </w:p>
    <w:p>
      <w:pPr>
        <w:pStyle w:val="ListBullet"/>
        <w:spacing w:before="0" w:after="60" w:line="293" w:lineRule="auto"/>
        <w:ind w:left="351" w:hanging="193"/>
      </w:pPr>
      <w:r>
        <w:rPr>
          <w:rFonts w:ascii="Arial" w:hAnsi="Arial" w:cs="Arial" w:eastAsia="Arial"/>
          <w:color w:val="1B2733"/>
          <w:sz w:val="19"/>
        </w:rPr>
        <w:t>Dock occupancy (trailers physically positioned at open dock doors)</w:t>
      </w:r>
    </w:p>
    <w:p>
      <w:pPr>
        <w:pStyle w:val="Heading3"/>
        <w:keepNext/>
        <w:spacing w:before="160" w:after="40" w:line="252" w:lineRule="auto"/>
      </w:pPr>
      <w:r>
        <w:rPr>
          <w:rFonts w:ascii="Arial" w:hAnsi="Arial" w:cs="Arial" w:eastAsia="Arial"/>
          <w:b/>
          <w:color w:val="1F4E79"/>
          <w:sz w:val="19"/>
        </w:rPr>
        <w:t>Secondary indicators</w:t>
      </w:r>
    </w:p>
    <w:p>
      <w:pPr>
        <w:pStyle w:val="ListBullet"/>
        <w:spacing w:before="0" w:after="60" w:line="293" w:lineRule="auto"/>
        <w:ind w:left="351" w:hanging="193"/>
      </w:pPr>
      <w:r>
        <w:rPr>
          <w:rFonts w:ascii="Arial" w:hAnsi="Arial" w:cs="Arial" w:eastAsia="Arial"/>
          <w:color w:val="1B2733"/>
          <w:sz w:val="19"/>
        </w:rPr>
        <w:t>Trailer yard density</w:t>
      </w:r>
    </w:p>
    <w:p>
      <w:pPr>
        <w:pStyle w:val="ListBullet"/>
        <w:spacing w:before="0" w:after="60" w:line="293" w:lineRule="auto"/>
        <w:ind w:left="351" w:hanging="193"/>
      </w:pPr>
      <w:r>
        <w:rPr>
          <w:rFonts w:ascii="Arial" w:hAnsi="Arial" w:cs="Arial" w:eastAsia="Arial"/>
          <w:color w:val="1B2733"/>
          <w:sz w:val="19"/>
        </w:rPr>
        <w:t>Container yard fill level</w:t>
      </w:r>
    </w:p>
    <w:p>
      <w:pPr>
        <w:pStyle w:val="ListBullet"/>
        <w:spacing w:before="0" w:after="60" w:line="293" w:lineRule="auto"/>
        <w:ind w:left="351" w:hanging="193"/>
      </w:pPr>
      <w:r>
        <w:rPr>
          <w:rFonts w:ascii="Arial" w:hAnsi="Arial" w:cs="Arial" w:eastAsia="Arial"/>
          <w:color w:val="1B2733"/>
          <w:sz w:val="19"/>
        </w:rPr>
        <w:t>Waiting area utilization</w:t>
      </w:r>
    </w:p>
    <w:p>
      <w:pPr>
        <w:spacing w:before="0" w:after="120" w:line="307" w:lineRule="auto"/>
      </w:pPr>
      <w:r>
        <w:rPr>
          <w:rFonts w:ascii="Arial" w:hAnsi="Arial" w:cs="Arial" w:eastAsia="Arial"/>
          <w:b w:val="0"/>
          <w:i w:val="0"/>
          <w:color w:val="1B2733"/>
          <w:sz w:val="19"/>
        </w:rPr>
        <w:t>Dock positions were counted across all visible warehouse façades. Only docks with both an open door and a positioned trailer were classified as active.</w:t>
      </w:r>
    </w:p>
    <w:p>
      <w:pPr>
        <w:spacing w:before="0" w:after="120" w:line="307" w:lineRule="auto"/>
      </w:pPr>
      <w:r>
        <w:rPr>
          <w:rFonts w:ascii="Arial" w:hAnsi="Arial" w:cs="Arial" w:eastAsia="Arial"/>
          <w:b w:val="0"/>
          <w:i w:val="0"/>
          <w:color w:val="1B2733"/>
          <w:sz w:val="19"/>
        </w:rPr>
        <w:t>No façades were obscured by shadow or perspective distortion. Visibility conditions were assessed as high.</w:t>
      </w:r>
    </w:p>
    <w:p>
      <w:pPr>
        <w:pStyle w:val="Heading1"/>
        <w:keepNext/>
        <w:spacing w:before="280" w:after="60" w:line="252" w:lineRule="auto"/>
        <w:pBdr>
          <w:bottom w:val="single" w:sz="12" w:space="4" w:color="1F4E79"/>
        </w:pBdr>
      </w:pPr>
      <w:r>
        <w:rPr>
          <w:rFonts w:ascii="Arial" w:hAnsi="Arial" w:cs="Arial" w:eastAsia="Arial"/>
          <w:b/>
          <w:color w:val="1F4E79"/>
          <w:sz w:val="30"/>
        </w:rPr>
        <w:t>Facility Overview</w:t>
      </w:r>
    </w:p>
    <w:p>
      <w:pPr>
        <w:spacing w:before="0" w:after="120" w:line="307" w:lineRule="auto"/>
      </w:pPr>
      <w:r>
        <w:rPr>
          <w:rFonts w:ascii="Arial" w:hAnsi="Arial" w:cs="Arial" w:eastAsia="Arial"/>
          <w:b w:val="0"/>
          <w:i w:val="0"/>
          <w:color w:val="1B2733"/>
          <w:sz w:val="19"/>
        </w:rPr>
        <w:t>The site consists of four large warehouse buildings supported by multiple trailer yards, a container storage area, a designated waiting area, and internal rail connections. The facility functions as a large regional distribution hub , based on:</w:t>
      </w:r>
    </w:p>
    <w:p>
      <w:pPr>
        <w:pStyle w:val="ListBullet"/>
        <w:spacing w:before="0" w:after="60" w:line="293" w:lineRule="auto"/>
        <w:ind w:left="351" w:hanging="193"/>
      </w:pPr>
      <w:r>
        <w:rPr>
          <w:rFonts w:ascii="Arial" w:hAnsi="Arial" w:cs="Arial" w:eastAsia="Arial"/>
          <w:color w:val="1B2733"/>
          <w:sz w:val="19"/>
        </w:rPr>
        <w:t>Total warehouse footprint (~375,000 m2)</w:t>
      </w:r>
    </w:p>
    <w:p>
      <w:pPr>
        <w:pStyle w:val="ListBullet"/>
        <w:spacing w:before="0" w:after="60" w:line="293" w:lineRule="auto"/>
        <w:ind w:left="351" w:hanging="193"/>
      </w:pPr>
      <w:r>
        <w:rPr>
          <w:rFonts w:ascii="Arial" w:hAnsi="Arial" w:cs="Arial" w:eastAsia="Arial"/>
          <w:color w:val="1B2733"/>
          <w:sz w:val="19"/>
        </w:rPr>
        <w:t>High dock count</w:t>
      </w:r>
    </w:p>
    <w:p>
      <w:pPr>
        <w:pStyle w:val="ListBullet"/>
        <w:spacing w:before="0" w:after="60" w:line="293" w:lineRule="auto"/>
        <w:ind w:left="351" w:hanging="193"/>
      </w:pPr>
      <w:r>
        <w:rPr>
          <w:rFonts w:ascii="Arial" w:hAnsi="Arial" w:cs="Arial" w:eastAsia="Arial"/>
          <w:color w:val="1B2733"/>
          <w:sz w:val="19"/>
        </w:rPr>
        <w:t>Multimodal access (truck + rail)</w:t>
      </w:r>
    </w:p>
    <w:p>
      <w:pPr>
        <w:pStyle w:val="ListBullet"/>
        <w:spacing w:before="0" w:after="60" w:line="293" w:lineRule="auto"/>
        <w:ind w:left="351" w:hanging="193"/>
      </w:pPr>
      <w:r>
        <w:rPr>
          <w:rFonts w:ascii="Arial" w:hAnsi="Arial" w:cs="Arial" w:eastAsia="Arial"/>
          <w:color w:val="1B2733"/>
          <w:sz w:val="19"/>
        </w:rPr>
        <w:t>Presence of a dedicated IKEA distribution office</w:t>
      </w:r>
    </w:p>
    <w:p>
      <w:pPr>
        <w:pStyle w:val="Heading1"/>
        <w:keepNext/>
        <w:spacing w:before="280" w:after="60" w:line="252" w:lineRule="auto"/>
        <w:pBdr>
          <w:bottom w:val="single" w:sz="12" w:space="4" w:color="1F4E79"/>
        </w:pBdr>
      </w:pPr>
      <w:r>
        <w:rPr>
          <w:rFonts w:ascii="Arial" w:hAnsi="Arial" w:cs="Arial" w:eastAsia="Arial"/>
          <w:b/>
          <w:color w:val="1F4E79"/>
          <w:sz w:val="30"/>
        </w:rPr>
        <w:t>Dock Utilization</w:t>
      </w:r>
    </w:p>
    <w:p>
      <w:pPr>
        <w:keepNext/>
        <w:spacing w:before="160" w:after="60" w:line="264" w:lineRule="auto"/>
      </w:pPr>
      <w:r>
        <w:rPr>
          <w:rFonts w:ascii="Arial" w:hAnsi="Arial" w:cs="Arial" w:eastAsia="Arial"/>
          <w:b/>
          <w:i w:val="0"/>
          <w:color w:val="1F4E79"/>
          <w:sz w:val="15"/>
        </w:rPr>
        <w:t>Figure 2. Total auto dock positions and docks active at the time of imaging, all warehouses</w:t>
      </w:r>
    </w:p>
    <w:p>
      <w:pPr>
        <w:keepNext/>
        <w:spacing w:before="0" w:after="60"/>
        <w:jc w:val="center"/>
      </w:pPr>
      <w:r>
        <w:drawing>
          <wp:inline xmlns:a="http://schemas.openxmlformats.org/drawingml/2006/main" xmlns:pic="http://schemas.openxmlformats.org/drawingml/2006/picture">
            <wp:extent cx="5077637" cy="2489926"/>
            <wp:docPr id="2" name="Picture 2"/>
            <wp:cNvGraphicFramePr>
              <a:graphicFrameLocks noChangeAspect="1"/>
            </wp:cNvGraphicFramePr>
            <a:graphic>
              <a:graphicData uri="http://schemas.openxmlformats.org/drawingml/2006/picture">
                <pic:pic>
                  <pic:nvPicPr>
                    <pic:cNvPr id="0" name="dock_totals.png"/>
                    <pic:cNvPicPr/>
                  </pic:nvPicPr>
                  <pic:blipFill>
                    <a:blip r:embed="rId12"/>
                    <a:stretch>
                      <a:fillRect/>
                    </a:stretch>
                  </pic:blipFill>
                  <pic:spPr>
                    <a:xfrm>
                      <a:off x="0" y="0"/>
                      <a:ext cx="5077637" cy="2489926"/>
                    </a:xfrm>
                    <a:prstGeom prst="rect"/>
                  </pic:spPr>
                </pic:pic>
              </a:graphicData>
            </a:graphic>
          </wp:inline>
        </w:drawing>
      </w:r>
    </w:p>
    <w:p>
      <w:pPr>
        <w:spacing w:before="0" w:after="160" w:line="276" w:lineRule="auto"/>
      </w:pPr>
      <w:r>
        <w:rPr>
          <w:rFonts w:ascii="Arial" w:hAnsi="Arial" w:cs="Arial" w:eastAsia="Arial"/>
          <w:b w:val="0"/>
          <w:i/>
          <w:color w:val="555F6B"/>
          <w:sz w:val="15"/>
        </w:rPr>
        <w:t>Source: source case, Dock Utilization. Values as stated in the source: 405 total auto dock positions, 129 active, estimated dock utilization ~32%.</w:t>
      </w:r>
    </w:p>
    <w:p>
      <w:pPr>
        <w:keepNext/>
        <w:spacing w:before="160" w:after="80" w:line="264" w:lineRule="auto"/>
      </w:pPr>
      <w:r>
        <w:rPr>
          <w:rFonts w:ascii="Arial" w:hAnsi="Arial" w:cs="Arial" w:eastAsia="Arial"/>
          <w:b/>
          <w:i w:val="0"/>
          <w:color w:val="1F4E79"/>
          <w:sz w:val="15"/>
        </w:rPr>
        <w:t>Table 1. Dock positions and activity, all warehouses</w:t>
      </w:r>
    </w:p>
    <w:tbl>
      <w:tblPr>
        <w:tblW w:type="auto" w:w="0"/>
        <w:jc w:val="left"/>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60" w:type="dxa"/>
          <w:left w:w="100" w:type="dxa"/>
          <w:bottom w:w="60" w:type="dxa"/>
          <w:right w:w="100" w:type="dxa"/>
        </w:tblCellMar>
      </w:tblPr>
      <w:tblGrid>
        <w:gridCol w:w="6137"/>
        <w:gridCol w:w="3161"/>
      </w:tblGrid>
      <w:tr>
        <w:trPr>
          <w:tblHeader/>
        </w:trPr>
        <w:tc>
          <w:tcPr>
            <w:tcW w:type="dxa" w:w="6137"/>
            <w:shd w:val="clear" w:color="auto" w:fill="1F4E79"/>
          </w:tcPr>
          <w:p>
            <w:pPr>
              <w:spacing w:before="60" w:after="60" w:line="269" w:lineRule="auto"/>
            </w:pPr>
            <w:r>
              <w:rPr>
                <w:rFonts w:ascii="Arial" w:hAnsi="Arial" w:cs="Arial" w:eastAsia="Arial"/>
                <w:b/>
                <w:color w:val="FFFFFF"/>
                <w:sz w:val="18"/>
              </w:rPr>
              <w:t>Measure</w:t>
            </w:r>
          </w:p>
        </w:tc>
        <w:tc>
          <w:tcPr>
            <w:tcW w:type="dxa" w:w="3161"/>
            <w:shd w:val="clear" w:color="auto" w:fill="1F4E79"/>
          </w:tcPr>
          <w:p>
            <w:pPr>
              <w:spacing w:before="60" w:after="60" w:line="269" w:lineRule="auto"/>
            </w:pPr>
            <w:r>
              <w:rPr>
                <w:rFonts w:ascii="Arial" w:hAnsi="Arial" w:cs="Arial" w:eastAsia="Arial"/>
                <w:b/>
                <w:color w:val="FFFFFF"/>
                <w:sz w:val="18"/>
              </w:rPr>
              <w:t>Value as stated in the source</w:t>
            </w:r>
          </w:p>
        </w:tc>
      </w:tr>
      <w:tr>
        <w:tc>
          <w:tcPr>
            <w:tcW w:type="dxa" w:w="6137"/>
          </w:tcPr>
          <w:p>
            <w:pPr>
              <w:spacing w:before="50" w:after="50" w:line="276" w:lineRule="auto"/>
            </w:pPr>
            <w:r>
              <w:rPr>
                <w:rFonts w:ascii="Arial" w:hAnsi="Arial" w:cs="Arial" w:eastAsia="Arial"/>
                <w:b/>
                <w:color w:val="1B2733"/>
                <w:sz w:val="18"/>
              </w:rPr>
              <w:t>Total auto dock positions across all warehouses</w:t>
            </w:r>
          </w:p>
        </w:tc>
        <w:tc>
          <w:tcPr>
            <w:tcW w:type="dxa" w:w="3161"/>
          </w:tcPr>
          <w:p>
            <w:pPr>
              <w:spacing w:before="50" w:after="50" w:line="276" w:lineRule="auto"/>
            </w:pPr>
            <w:r>
              <w:rPr>
                <w:rFonts w:ascii="Arial" w:hAnsi="Arial" w:cs="Arial" w:eastAsia="Arial"/>
                <w:b w:val="0"/>
                <w:color w:val="2B333B"/>
                <w:sz w:val="18"/>
              </w:rPr>
              <w:t>405</w:t>
            </w:r>
          </w:p>
        </w:tc>
      </w:tr>
      <w:tr>
        <w:tc>
          <w:tcPr>
            <w:tcW w:type="dxa" w:w="6137"/>
            <w:shd w:val="clear" w:color="auto" w:fill="F4F6F8"/>
          </w:tcPr>
          <w:p>
            <w:pPr>
              <w:spacing w:before="50" w:after="50" w:line="276" w:lineRule="auto"/>
            </w:pPr>
            <w:r>
              <w:rPr>
                <w:rFonts w:ascii="Arial" w:hAnsi="Arial" w:cs="Arial" w:eastAsia="Arial"/>
                <w:b/>
                <w:color w:val="1B2733"/>
                <w:sz w:val="18"/>
              </w:rPr>
              <w:t>Active at time of imaging</w:t>
            </w:r>
          </w:p>
        </w:tc>
        <w:tc>
          <w:tcPr>
            <w:tcW w:type="dxa" w:w="3161"/>
            <w:shd w:val="clear" w:color="auto" w:fill="F4F6F8"/>
          </w:tcPr>
          <w:p>
            <w:pPr>
              <w:spacing w:before="50" w:after="50" w:line="276" w:lineRule="auto"/>
            </w:pPr>
            <w:r>
              <w:rPr>
                <w:rFonts w:ascii="Arial" w:hAnsi="Arial" w:cs="Arial" w:eastAsia="Arial"/>
                <w:b w:val="0"/>
                <w:color w:val="2B333B"/>
                <w:sz w:val="18"/>
              </w:rPr>
              <w:t>129</w:t>
            </w:r>
          </w:p>
        </w:tc>
      </w:tr>
      <w:tr>
        <w:tc>
          <w:tcPr>
            <w:tcW w:type="dxa" w:w="6137"/>
          </w:tcPr>
          <w:p>
            <w:pPr>
              <w:spacing w:before="50" w:after="50" w:line="276" w:lineRule="auto"/>
            </w:pPr>
            <w:r>
              <w:rPr>
                <w:rFonts w:ascii="Arial" w:hAnsi="Arial" w:cs="Arial" w:eastAsia="Arial"/>
                <w:b/>
                <w:color w:val="1B2733"/>
                <w:sz w:val="18"/>
              </w:rPr>
              <w:t>Estimated dock utilization</w:t>
            </w:r>
          </w:p>
        </w:tc>
        <w:tc>
          <w:tcPr>
            <w:tcW w:type="dxa" w:w="3161"/>
          </w:tcPr>
          <w:p>
            <w:pPr>
              <w:spacing w:before="50" w:after="50" w:line="276" w:lineRule="auto"/>
            </w:pPr>
            <w:r>
              <w:rPr>
                <w:rFonts w:ascii="Arial" w:hAnsi="Arial" w:cs="Arial" w:eastAsia="Arial"/>
                <w:b w:val="0"/>
                <w:color w:val="2B333B"/>
                <w:sz w:val="18"/>
              </w:rPr>
              <w:t>~32%</w:t>
            </w:r>
          </w:p>
        </w:tc>
      </w:tr>
    </w:tbl>
    <w:p>
      <w:pPr>
        <w:spacing w:before="0" w:after="80" w:line="307" w:lineRule="auto"/>
      </w:pPr>
      <w:r>
        <w:rPr>
          <w:rFonts w:ascii="Arial" w:hAnsi="Arial" w:cs="Arial" w:eastAsia="Arial"/>
          <w:b w:val="0"/>
          <w:i w:val="0"/>
          <w:color w:val="1B2733"/>
          <w:sz w:val="19"/>
        </w:rPr>
      </w:r>
    </w:p>
    <w:p>
      <w:pPr>
        <w:spacing w:before="0" w:after="120" w:line="307" w:lineRule="auto"/>
      </w:pPr>
      <w:r>
        <w:rPr>
          <w:rFonts w:ascii="Arial" w:hAnsi="Arial" w:cs="Arial" w:eastAsia="Arial"/>
          <w:b w:val="0"/>
          <w:i w:val="0"/>
          <w:color w:val="1B2733"/>
          <w:sz w:val="19"/>
        </w:rPr>
        <w:t>Large numbers of empty dock positions were observed across all buildings, indicating significant available processing capacity.</w:t>
      </w:r>
    </w:p>
    <w:p>
      <w:pPr>
        <w:pStyle w:val="Heading2"/>
        <w:keepNext/>
        <w:spacing w:before="220" w:after="60" w:line="252" w:lineRule="auto"/>
      </w:pPr>
      <w:r>
        <w:rPr>
          <w:rFonts w:ascii="Arial" w:hAnsi="Arial" w:cs="Arial" w:eastAsia="Arial"/>
          <w:b/>
          <w:color w:val="1B2733"/>
          <w:sz w:val="22"/>
        </w:rPr>
        <w:t>Warehouse Breakdown</w:t>
      </w:r>
    </w:p>
    <w:p>
      <w:pPr>
        <w:keepNext/>
        <w:spacing w:before="160" w:after="80" w:line="264" w:lineRule="auto"/>
      </w:pPr>
      <w:r>
        <w:rPr>
          <w:rFonts w:ascii="Arial" w:hAnsi="Arial" w:cs="Arial" w:eastAsia="Arial"/>
          <w:b/>
          <w:i w:val="0"/>
          <w:color w:val="1F4E79"/>
          <w:sz w:val="15"/>
        </w:rPr>
        <w:t>Table 2. Dock positions and active docks by warehouse</w:t>
      </w:r>
    </w:p>
    <w:tbl>
      <w:tblPr>
        <w:tblW w:type="auto" w:w="0"/>
        <w:jc w:val="left"/>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60" w:type="dxa"/>
          <w:left w:w="100" w:type="dxa"/>
          <w:bottom w:w="60" w:type="dxa"/>
          <w:right w:w="100" w:type="dxa"/>
        </w:tblCellMar>
      </w:tblPr>
      <w:tblGrid>
        <w:gridCol w:w="5207"/>
        <w:gridCol w:w="2046"/>
        <w:gridCol w:w="2046"/>
      </w:tblGrid>
      <w:tr>
        <w:trPr>
          <w:tblHeader/>
        </w:trPr>
        <w:tc>
          <w:tcPr>
            <w:tcW w:type="dxa" w:w="5207"/>
            <w:shd w:val="clear" w:color="auto" w:fill="1F4E79"/>
          </w:tcPr>
          <w:p>
            <w:pPr>
              <w:spacing w:before="60" w:after="60" w:line="269" w:lineRule="auto"/>
            </w:pPr>
            <w:r>
              <w:rPr>
                <w:rFonts w:ascii="Arial" w:hAnsi="Arial" w:cs="Arial" w:eastAsia="Arial"/>
                <w:b/>
                <w:color w:val="FFFFFF"/>
                <w:sz w:val="18"/>
              </w:rPr>
              <w:t>Façade / facility element</w:t>
            </w:r>
          </w:p>
        </w:tc>
        <w:tc>
          <w:tcPr>
            <w:tcW w:type="dxa" w:w="2046"/>
            <w:shd w:val="clear" w:color="auto" w:fill="1F4E79"/>
          </w:tcPr>
          <w:p>
            <w:pPr>
              <w:spacing w:before="60" w:after="60" w:line="269" w:lineRule="auto"/>
            </w:pPr>
            <w:r>
              <w:rPr>
                <w:rFonts w:ascii="Arial" w:hAnsi="Arial" w:cs="Arial" w:eastAsia="Arial"/>
                <w:b/>
                <w:color w:val="FFFFFF"/>
                <w:sz w:val="18"/>
              </w:rPr>
              <w:t>Docks</w:t>
            </w:r>
          </w:p>
        </w:tc>
        <w:tc>
          <w:tcPr>
            <w:tcW w:type="dxa" w:w="2046"/>
            <w:shd w:val="clear" w:color="auto" w:fill="1F4E79"/>
          </w:tcPr>
          <w:p>
            <w:pPr>
              <w:spacing w:before="60" w:after="60" w:line="269" w:lineRule="auto"/>
            </w:pPr>
            <w:r>
              <w:rPr>
                <w:rFonts w:ascii="Arial" w:hAnsi="Arial" w:cs="Arial" w:eastAsia="Arial"/>
                <w:b/>
                <w:color w:val="FFFFFF"/>
                <w:sz w:val="18"/>
              </w:rPr>
              <w:t>Active</w:t>
            </w:r>
          </w:p>
        </w:tc>
      </w:tr>
      <w:tr>
        <w:tc>
          <w:tcPr>
            <w:tcW w:type="dxa" w:w="5207"/>
          </w:tcPr>
          <w:p>
            <w:pPr>
              <w:spacing w:before="50" w:after="50" w:line="276" w:lineRule="auto"/>
            </w:pPr>
            <w:r>
              <w:rPr>
                <w:rFonts w:ascii="Arial" w:hAnsi="Arial" w:cs="Arial" w:eastAsia="Arial"/>
                <w:b/>
                <w:color w:val="1B2733"/>
                <w:sz w:val="18"/>
              </w:rPr>
              <w:t>Warehouse 1 — north docks</w:t>
            </w:r>
          </w:p>
        </w:tc>
        <w:tc>
          <w:tcPr>
            <w:tcW w:type="dxa" w:w="2046"/>
          </w:tcPr>
          <w:p>
            <w:pPr>
              <w:spacing w:before="50" w:after="50" w:line="276" w:lineRule="auto"/>
            </w:pPr>
            <w:r>
              <w:rPr>
                <w:rFonts w:ascii="Arial" w:hAnsi="Arial" w:cs="Arial" w:eastAsia="Arial"/>
                <w:b w:val="0"/>
                <w:color w:val="2B333B"/>
                <w:sz w:val="18"/>
              </w:rPr>
              <w:t>98</w:t>
            </w:r>
          </w:p>
        </w:tc>
        <w:tc>
          <w:tcPr>
            <w:tcW w:type="dxa" w:w="2046"/>
          </w:tcPr>
          <w:p>
            <w:pPr>
              <w:spacing w:before="50" w:after="50" w:line="276" w:lineRule="auto"/>
            </w:pPr>
            <w:r>
              <w:rPr>
                <w:rFonts w:ascii="Arial" w:hAnsi="Arial" w:cs="Arial" w:eastAsia="Arial"/>
                <w:b w:val="0"/>
                <w:color w:val="2B333B"/>
                <w:sz w:val="18"/>
              </w:rPr>
              <w:t>18</w:t>
            </w:r>
          </w:p>
        </w:tc>
      </w:tr>
      <w:tr>
        <w:tc>
          <w:tcPr>
            <w:tcW w:type="dxa" w:w="5207"/>
            <w:shd w:val="clear" w:color="auto" w:fill="F4F6F8"/>
          </w:tcPr>
          <w:p>
            <w:pPr>
              <w:spacing w:before="50" w:after="50" w:line="276" w:lineRule="auto"/>
            </w:pPr>
            <w:r>
              <w:rPr>
                <w:rFonts w:ascii="Arial" w:hAnsi="Arial" w:cs="Arial" w:eastAsia="Arial"/>
                <w:b/>
                <w:color w:val="1B2733"/>
                <w:sz w:val="18"/>
              </w:rPr>
              <w:t>Warehouse 1 — south docks</w:t>
            </w:r>
          </w:p>
        </w:tc>
        <w:tc>
          <w:tcPr>
            <w:tcW w:type="dxa" w:w="2046"/>
            <w:shd w:val="clear" w:color="auto" w:fill="F4F6F8"/>
          </w:tcPr>
          <w:p>
            <w:pPr>
              <w:spacing w:before="50" w:after="50" w:line="276" w:lineRule="auto"/>
            </w:pPr>
            <w:r>
              <w:rPr>
                <w:rFonts w:ascii="Arial" w:hAnsi="Arial" w:cs="Arial" w:eastAsia="Arial"/>
                <w:b w:val="0"/>
                <w:color w:val="2B333B"/>
                <w:sz w:val="18"/>
              </w:rPr>
              <w:t>98</w:t>
            </w:r>
          </w:p>
        </w:tc>
        <w:tc>
          <w:tcPr>
            <w:tcW w:type="dxa" w:w="2046"/>
            <w:shd w:val="clear" w:color="auto" w:fill="F4F6F8"/>
          </w:tcPr>
          <w:p>
            <w:pPr>
              <w:spacing w:before="50" w:after="50" w:line="276" w:lineRule="auto"/>
            </w:pPr>
            <w:r>
              <w:rPr>
                <w:rFonts w:ascii="Arial" w:hAnsi="Arial" w:cs="Arial" w:eastAsia="Arial"/>
                <w:b w:val="0"/>
                <w:color w:val="2B333B"/>
                <w:sz w:val="18"/>
              </w:rPr>
              <w:t>14</w:t>
            </w:r>
          </w:p>
        </w:tc>
      </w:tr>
      <w:tr>
        <w:tc>
          <w:tcPr>
            <w:tcW w:type="dxa" w:w="5207"/>
          </w:tcPr>
          <w:p>
            <w:pPr>
              <w:spacing w:before="50" w:after="50" w:line="276" w:lineRule="auto"/>
            </w:pPr>
            <w:r>
              <w:rPr>
                <w:rFonts w:ascii="Arial" w:hAnsi="Arial" w:cs="Arial" w:eastAsia="Arial"/>
                <w:b/>
                <w:color w:val="1B2733"/>
                <w:sz w:val="18"/>
              </w:rPr>
              <w:t>Warehouse 2 — north docks</w:t>
            </w:r>
          </w:p>
        </w:tc>
        <w:tc>
          <w:tcPr>
            <w:tcW w:type="dxa" w:w="2046"/>
          </w:tcPr>
          <w:p>
            <w:pPr>
              <w:spacing w:before="50" w:after="50" w:line="276" w:lineRule="auto"/>
            </w:pPr>
            <w:r>
              <w:rPr>
                <w:rFonts w:ascii="Arial" w:hAnsi="Arial" w:cs="Arial" w:eastAsia="Arial"/>
                <w:b w:val="0"/>
                <w:color w:val="2B333B"/>
                <w:sz w:val="18"/>
              </w:rPr>
              <w:t>98</w:t>
            </w:r>
          </w:p>
        </w:tc>
        <w:tc>
          <w:tcPr>
            <w:tcW w:type="dxa" w:w="2046"/>
          </w:tcPr>
          <w:p>
            <w:pPr>
              <w:spacing w:before="50" w:after="50" w:line="276" w:lineRule="auto"/>
            </w:pPr>
            <w:r>
              <w:rPr>
                <w:rFonts w:ascii="Arial" w:hAnsi="Arial" w:cs="Arial" w:eastAsia="Arial"/>
                <w:b w:val="0"/>
                <w:color w:val="2B333B"/>
                <w:sz w:val="18"/>
              </w:rPr>
              <w:t>19</w:t>
            </w:r>
          </w:p>
        </w:tc>
      </w:tr>
      <w:tr>
        <w:tc>
          <w:tcPr>
            <w:tcW w:type="dxa" w:w="5207"/>
            <w:shd w:val="clear" w:color="auto" w:fill="F4F6F8"/>
          </w:tcPr>
          <w:p>
            <w:pPr>
              <w:spacing w:before="50" w:after="50" w:line="276" w:lineRule="auto"/>
            </w:pPr>
            <w:r>
              <w:rPr>
                <w:rFonts w:ascii="Arial" w:hAnsi="Arial" w:cs="Arial" w:eastAsia="Arial"/>
                <w:b/>
                <w:color w:val="1B2733"/>
                <w:sz w:val="18"/>
              </w:rPr>
              <w:t>Warehouse 2 — south docks</w:t>
            </w:r>
          </w:p>
        </w:tc>
        <w:tc>
          <w:tcPr>
            <w:tcW w:type="dxa" w:w="2046"/>
            <w:shd w:val="clear" w:color="auto" w:fill="F4F6F8"/>
          </w:tcPr>
          <w:p>
            <w:pPr>
              <w:spacing w:before="50" w:after="50" w:line="276" w:lineRule="auto"/>
            </w:pPr>
            <w:r>
              <w:rPr>
                <w:rFonts w:ascii="Arial" w:hAnsi="Arial" w:cs="Arial" w:eastAsia="Arial"/>
                <w:b w:val="0"/>
                <w:color w:val="2B333B"/>
                <w:sz w:val="18"/>
              </w:rPr>
              <w:t>97</w:t>
            </w:r>
          </w:p>
        </w:tc>
        <w:tc>
          <w:tcPr>
            <w:tcW w:type="dxa" w:w="2046"/>
            <w:shd w:val="clear" w:color="auto" w:fill="F4F6F8"/>
          </w:tcPr>
          <w:p>
            <w:pPr>
              <w:spacing w:before="50" w:after="50" w:line="276" w:lineRule="auto"/>
            </w:pPr>
            <w:r>
              <w:rPr>
                <w:rFonts w:ascii="Arial" w:hAnsi="Arial" w:cs="Arial" w:eastAsia="Arial"/>
                <w:b w:val="0"/>
                <w:color w:val="2B333B"/>
                <w:sz w:val="18"/>
              </w:rPr>
              <w:t>25</w:t>
            </w:r>
          </w:p>
        </w:tc>
      </w:tr>
      <w:tr>
        <w:tc>
          <w:tcPr>
            <w:tcW w:type="dxa" w:w="5207"/>
          </w:tcPr>
          <w:p>
            <w:pPr>
              <w:spacing w:before="50" w:after="50" w:line="276" w:lineRule="auto"/>
            </w:pPr>
            <w:r>
              <w:rPr>
                <w:rFonts w:ascii="Arial" w:hAnsi="Arial" w:cs="Arial" w:eastAsia="Arial"/>
                <w:b/>
                <w:color w:val="1B2733"/>
                <w:sz w:val="18"/>
              </w:rPr>
              <w:t>Warehouse 3 — west docks</w:t>
            </w:r>
          </w:p>
        </w:tc>
        <w:tc>
          <w:tcPr>
            <w:tcW w:type="dxa" w:w="2046"/>
          </w:tcPr>
          <w:p>
            <w:pPr>
              <w:spacing w:before="50" w:after="50" w:line="276" w:lineRule="auto"/>
            </w:pPr>
            <w:r>
              <w:rPr>
                <w:rFonts w:ascii="Arial" w:hAnsi="Arial" w:cs="Arial" w:eastAsia="Arial"/>
                <w:b w:val="0"/>
                <w:color w:val="2B333B"/>
                <w:sz w:val="18"/>
              </w:rPr>
              <w:t>61</w:t>
            </w:r>
          </w:p>
        </w:tc>
        <w:tc>
          <w:tcPr>
            <w:tcW w:type="dxa" w:w="2046"/>
          </w:tcPr>
          <w:p>
            <w:pPr>
              <w:spacing w:before="50" w:after="50" w:line="276" w:lineRule="auto"/>
            </w:pPr>
            <w:r>
              <w:rPr>
                <w:rFonts w:ascii="Arial" w:hAnsi="Arial" w:cs="Arial" w:eastAsia="Arial"/>
                <w:b w:val="0"/>
                <w:color w:val="2B333B"/>
                <w:sz w:val="18"/>
              </w:rPr>
              <w:t>12</w:t>
            </w:r>
          </w:p>
        </w:tc>
      </w:tr>
      <w:tr>
        <w:tc>
          <w:tcPr>
            <w:tcW w:type="dxa" w:w="5207"/>
            <w:shd w:val="clear" w:color="auto" w:fill="F4F6F8"/>
          </w:tcPr>
          <w:p>
            <w:pPr>
              <w:spacing w:before="50" w:after="50" w:line="276" w:lineRule="auto"/>
            </w:pPr>
            <w:r>
              <w:rPr>
                <w:rFonts w:ascii="Arial" w:hAnsi="Arial" w:cs="Arial" w:eastAsia="Arial"/>
                <w:b/>
                <w:color w:val="1B2733"/>
                <w:sz w:val="18"/>
              </w:rPr>
              <w:t>Warehouse 3 — east docks</w:t>
            </w:r>
          </w:p>
        </w:tc>
        <w:tc>
          <w:tcPr>
            <w:tcW w:type="dxa" w:w="2046"/>
            <w:shd w:val="clear" w:color="auto" w:fill="F4F6F8"/>
          </w:tcPr>
          <w:p>
            <w:pPr>
              <w:spacing w:before="50" w:after="50" w:line="276" w:lineRule="auto"/>
            </w:pPr>
            <w:r>
              <w:rPr>
                <w:rFonts w:ascii="Arial" w:hAnsi="Arial" w:cs="Arial" w:eastAsia="Arial"/>
                <w:b w:val="0"/>
                <w:color w:val="2B333B"/>
                <w:sz w:val="18"/>
              </w:rPr>
              <w:t>60</w:t>
            </w:r>
          </w:p>
        </w:tc>
        <w:tc>
          <w:tcPr>
            <w:tcW w:type="dxa" w:w="2046"/>
            <w:shd w:val="clear" w:color="auto" w:fill="F4F6F8"/>
          </w:tcPr>
          <w:p>
            <w:pPr>
              <w:spacing w:before="50" w:after="50" w:line="276" w:lineRule="auto"/>
            </w:pPr>
            <w:r>
              <w:rPr>
                <w:rFonts w:ascii="Arial" w:hAnsi="Arial" w:cs="Arial" w:eastAsia="Arial"/>
                <w:b w:val="0"/>
                <w:color w:val="2B333B"/>
                <w:sz w:val="18"/>
              </w:rPr>
              <w:t>7</w:t>
            </w:r>
          </w:p>
        </w:tc>
      </w:tr>
      <w:tr>
        <w:tc>
          <w:tcPr>
            <w:tcW w:type="dxa" w:w="5207"/>
          </w:tcPr>
          <w:p>
            <w:pPr>
              <w:spacing w:before="50" w:after="50" w:line="276" w:lineRule="auto"/>
            </w:pPr>
            <w:r>
              <w:rPr>
                <w:rFonts w:ascii="Arial" w:hAnsi="Arial" w:cs="Arial" w:eastAsia="Arial"/>
                <w:b/>
                <w:color w:val="1B2733"/>
                <w:sz w:val="18"/>
              </w:rPr>
              <w:t>Warehouse 4 — north docks</w:t>
            </w:r>
          </w:p>
        </w:tc>
        <w:tc>
          <w:tcPr>
            <w:tcW w:type="dxa" w:w="2046"/>
          </w:tcPr>
          <w:p>
            <w:pPr>
              <w:spacing w:before="50" w:after="50" w:line="276" w:lineRule="auto"/>
            </w:pPr>
            <w:r>
              <w:rPr>
                <w:rFonts w:ascii="Arial" w:hAnsi="Arial" w:cs="Arial" w:eastAsia="Arial"/>
                <w:b w:val="0"/>
                <w:color w:val="2B333B"/>
                <w:sz w:val="18"/>
              </w:rPr>
              <w:t>46</w:t>
            </w:r>
          </w:p>
        </w:tc>
        <w:tc>
          <w:tcPr>
            <w:tcW w:type="dxa" w:w="2046"/>
          </w:tcPr>
          <w:p>
            <w:pPr>
              <w:spacing w:before="50" w:after="50" w:line="276" w:lineRule="auto"/>
            </w:pPr>
            <w:r>
              <w:rPr>
                <w:rFonts w:ascii="Arial" w:hAnsi="Arial" w:cs="Arial" w:eastAsia="Arial"/>
                <w:b w:val="0"/>
                <w:color w:val="2B333B"/>
                <w:sz w:val="18"/>
              </w:rPr>
              <w:t>16</w:t>
            </w:r>
          </w:p>
        </w:tc>
      </w:tr>
      <w:tr>
        <w:tc>
          <w:tcPr>
            <w:tcW w:type="dxa" w:w="5207"/>
            <w:shd w:val="clear" w:color="auto" w:fill="F4F6F8"/>
          </w:tcPr>
          <w:p>
            <w:pPr>
              <w:spacing w:before="50" w:after="50" w:line="276" w:lineRule="auto"/>
            </w:pPr>
            <w:r>
              <w:rPr>
                <w:rFonts w:ascii="Arial" w:hAnsi="Arial" w:cs="Arial" w:eastAsia="Arial"/>
                <w:b/>
                <w:color w:val="1B2733"/>
                <w:sz w:val="18"/>
              </w:rPr>
              <w:t>Warehouse 4 — south docks</w:t>
            </w:r>
          </w:p>
        </w:tc>
        <w:tc>
          <w:tcPr>
            <w:tcW w:type="dxa" w:w="2046"/>
            <w:shd w:val="clear" w:color="auto" w:fill="F4F6F8"/>
          </w:tcPr>
          <w:p>
            <w:pPr>
              <w:spacing w:before="50" w:after="50" w:line="276" w:lineRule="auto"/>
            </w:pPr>
            <w:r>
              <w:rPr>
                <w:rFonts w:ascii="Arial" w:hAnsi="Arial" w:cs="Arial" w:eastAsia="Arial"/>
                <w:b w:val="0"/>
                <w:color w:val="2B333B"/>
                <w:sz w:val="18"/>
              </w:rPr>
              <w:t>42</w:t>
            </w:r>
          </w:p>
        </w:tc>
        <w:tc>
          <w:tcPr>
            <w:tcW w:type="dxa" w:w="2046"/>
            <w:shd w:val="clear" w:color="auto" w:fill="F4F6F8"/>
          </w:tcPr>
          <w:p>
            <w:pPr>
              <w:spacing w:before="50" w:after="50" w:line="276" w:lineRule="auto"/>
            </w:pPr>
            <w:r>
              <w:rPr>
                <w:rFonts w:ascii="Arial" w:hAnsi="Arial" w:cs="Arial" w:eastAsia="Arial"/>
                <w:b w:val="0"/>
                <w:color w:val="2B333B"/>
                <w:sz w:val="18"/>
              </w:rPr>
              <w:t>18</w:t>
            </w:r>
          </w:p>
        </w:tc>
      </w:tr>
      <w:tr>
        <w:tc>
          <w:tcPr>
            <w:tcW w:type="dxa" w:w="5207"/>
          </w:tcPr>
          <w:p>
            <w:pPr>
              <w:spacing w:before="50" w:after="50" w:line="276" w:lineRule="auto"/>
            </w:pPr>
            <w:r>
              <w:rPr>
                <w:rFonts w:ascii="Arial" w:hAnsi="Arial" w:cs="Arial" w:eastAsia="Arial"/>
                <w:b/>
                <w:color w:val="1B2733"/>
                <w:sz w:val="18"/>
              </w:rPr>
              <w:t>Rail docks — Warehouse 1</w:t>
            </w:r>
          </w:p>
        </w:tc>
        <w:tc>
          <w:tcPr>
            <w:tcW w:type="dxa" w:w="2046"/>
          </w:tcPr>
          <w:p>
            <w:pPr>
              <w:spacing w:before="50" w:after="50" w:line="276" w:lineRule="auto"/>
            </w:pPr>
            <w:r>
              <w:rPr>
                <w:rFonts w:ascii="Arial" w:hAnsi="Arial" w:cs="Arial" w:eastAsia="Arial"/>
                <w:b w:val="0"/>
                <w:color w:val="2B333B"/>
                <w:sz w:val="18"/>
              </w:rPr>
              <w:t>2</w:t>
            </w:r>
          </w:p>
        </w:tc>
        <w:tc>
          <w:tcPr>
            <w:tcW w:type="dxa" w:w="2046"/>
          </w:tcPr>
          <w:p>
            <w:pPr>
              <w:spacing w:before="50" w:after="50" w:line="276" w:lineRule="auto"/>
            </w:pPr>
            <w:r>
              <w:rPr>
                <w:rFonts w:ascii="Arial" w:hAnsi="Arial" w:cs="Arial" w:eastAsia="Arial"/>
                <w:b w:val="0"/>
                <w:color w:val="2B333B"/>
                <w:sz w:val="18"/>
              </w:rPr>
              <w:t>not stated</w:t>
            </w:r>
          </w:p>
        </w:tc>
      </w:tr>
      <w:tr>
        <w:tc>
          <w:tcPr>
            <w:tcW w:type="dxa" w:w="5207"/>
            <w:shd w:val="clear" w:color="auto" w:fill="F4F6F8"/>
          </w:tcPr>
          <w:p>
            <w:pPr>
              <w:spacing w:before="50" w:after="50" w:line="276" w:lineRule="auto"/>
            </w:pPr>
            <w:r>
              <w:rPr>
                <w:rFonts w:ascii="Arial" w:hAnsi="Arial" w:cs="Arial" w:eastAsia="Arial"/>
                <w:b/>
                <w:color w:val="1B2733"/>
                <w:sz w:val="18"/>
              </w:rPr>
              <w:t>Rail docks — Warehouse 2</w:t>
            </w:r>
          </w:p>
        </w:tc>
        <w:tc>
          <w:tcPr>
            <w:tcW w:type="dxa" w:w="2046"/>
            <w:shd w:val="clear" w:color="auto" w:fill="F4F6F8"/>
          </w:tcPr>
          <w:p>
            <w:pPr>
              <w:spacing w:before="50" w:after="50" w:line="276" w:lineRule="auto"/>
            </w:pPr>
            <w:r>
              <w:rPr>
                <w:rFonts w:ascii="Arial" w:hAnsi="Arial" w:cs="Arial" w:eastAsia="Arial"/>
                <w:b w:val="0"/>
                <w:color w:val="2B333B"/>
                <w:sz w:val="18"/>
              </w:rPr>
              <w:t>2</w:t>
            </w:r>
          </w:p>
        </w:tc>
        <w:tc>
          <w:tcPr>
            <w:tcW w:type="dxa" w:w="2046"/>
            <w:shd w:val="clear" w:color="auto" w:fill="F4F6F8"/>
          </w:tcPr>
          <w:p>
            <w:pPr>
              <w:spacing w:before="50" w:after="50" w:line="276" w:lineRule="auto"/>
            </w:pPr>
            <w:r>
              <w:rPr>
                <w:rFonts w:ascii="Arial" w:hAnsi="Arial" w:cs="Arial" w:eastAsia="Arial"/>
                <w:b w:val="0"/>
                <w:color w:val="2B333B"/>
                <w:sz w:val="18"/>
              </w:rPr>
              <w:t>not stated</w:t>
            </w:r>
          </w:p>
        </w:tc>
      </w:tr>
      <w:tr>
        <w:tc>
          <w:tcPr>
            <w:tcW w:type="dxa" w:w="5207"/>
          </w:tcPr>
          <w:p>
            <w:pPr>
              <w:spacing w:before="50" w:after="50" w:line="276" w:lineRule="auto"/>
            </w:pPr>
            <w:r>
              <w:rPr>
                <w:rFonts w:ascii="Arial" w:hAnsi="Arial" w:cs="Arial" w:eastAsia="Arial"/>
                <w:b/>
                <w:color w:val="1B2733"/>
                <w:sz w:val="18"/>
              </w:rPr>
              <w:t>Rail docks — Warehouse 3</w:t>
            </w:r>
          </w:p>
        </w:tc>
        <w:tc>
          <w:tcPr>
            <w:tcW w:type="dxa" w:w="2046"/>
          </w:tcPr>
          <w:p>
            <w:pPr>
              <w:spacing w:before="50" w:after="50" w:line="276" w:lineRule="auto"/>
            </w:pPr>
            <w:r>
              <w:rPr>
                <w:rFonts w:ascii="Arial" w:hAnsi="Arial" w:cs="Arial" w:eastAsia="Arial"/>
                <w:b w:val="0"/>
                <w:color w:val="2B333B"/>
                <w:sz w:val="18"/>
              </w:rPr>
              <w:t>2</w:t>
            </w:r>
          </w:p>
        </w:tc>
        <w:tc>
          <w:tcPr>
            <w:tcW w:type="dxa" w:w="2046"/>
          </w:tcPr>
          <w:p>
            <w:pPr>
              <w:spacing w:before="50" w:after="50" w:line="276" w:lineRule="auto"/>
            </w:pPr>
            <w:r>
              <w:rPr>
                <w:rFonts w:ascii="Arial" w:hAnsi="Arial" w:cs="Arial" w:eastAsia="Arial"/>
                <w:b w:val="0"/>
                <w:color w:val="2B333B"/>
                <w:sz w:val="18"/>
              </w:rPr>
              <w:t>not stated</w:t>
            </w:r>
          </w:p>
        </w:tc>
      </w:tr>
      <w:tr>
        <w:tc>
          <w:tcPr>
            <w:tcW w:type="dxa" w:w="5207"/>
            <w:shd w:val="clear" w:color="auto" w:fill="F4F6F8"/>
          </w:tcPr>
          <w:p>
            <w:pPr>
              <w:spacing w:before="50" w:after="50" w:line="276" w:lineRule="auto"/>
            </w:pPr>
            <w:r>
              <w:rPr>
                <w:rFonts w:ascii="Arial" w:hAnsi="Arial" w:cs="Arial" w:eastAsia="Arial"/>
                <w:b/>
                <w:color w:val="1B2733"/>
                <w:sz w:val="18"/>
              </w:rPr>
              <w:t>Rail connection — Warehouse 4</w:t>
            </w:r>
          </w:p>
        </w:tc>
        <w:tc>
          <w:tcPr>
            <w:tcW w:type="dxa" w:w="2046"/>
            <w:shd w:val="clear" w:color="auto" w:fill="F4F6F8"/>
          </w:tcPr>
          <w:p>
            <w:pPr>
              <w:spacing w:before="50" w:after="50" w:line="276" w:lineRule="auto"/>
            </w:pPr>
            <w:r>
              <w:rPr>
                <w:rFonts w:ascii="Arial" w:hAnsi="Arial" w:cs="Arial" w:eastAsia="Arial"/>
                <w:b w:val="0"/>
                <w:color w:val="2B333B"/>
                <w:sz w:val="18"/>
              </w:rPr>
              <w:t>No rail connection</w:t>
            </w:r>
          </w:p>
        </w:tc>
        <w:tc>
          <w:tcPr>
            <w:tcW w:type="dxa" w:w="2046"/>
            <w:shd w:val="clear" w:color="auto" w:fill="F4F6F8"/>
          </w:tcPr>
          <w:p>
            <w:pPr>
              <w:spacing w:before="50" w:after="50" w:line="276" w:lineRule="auto"/>
            </w:pPr>
            <w:r>
              <w:rPr>
                <w:rFonts w:ascii="Arial" w:hAnsi="Arial" w:cs="Arial" w:eastAsia="Arial"/>
                <w:b w:val="0"/>
                <w:color w:val="2B333B"/>
                <w:sz w:val="18"/>
              </w:rPr>
              <w:t>—</w:t>
            </w:r>
          </w:p>
        </w:tc>
      </w:tr>
    </w:tbl>
    <w:p>
      <w:pPr>
        <w:spacing w:before="0" w:after="80" w:line="307" w:lineRule="auto"/>
      </w:pPr>
      <w:r>
        <w:rPr>
          <w:rFonts w:ascii="Arial" w:hAnsi="Arial" w:cs="Arial" w:eastAsia="Arial"/>
          <w:b w:val="0"/>
          <w:i w:val="0"/>
          <w:color w:val="1B2733"/>
          <w:sz w:val="19"/>
        </w:rPr>
      </w:r>
    </w:p>
    <w:p>
      <w:pPr>
        <w:keepNext/>
        <w:spacing w:before="160" w:after="60" w:line="264" w:lineRule="auto"/>
      </w:pPr>
      <w:r>
        <w:rPr>
          <w:rFonts w:ascii="Arial" w:hAnsi="Arial" w:cs="Arial" w:eastAsia="Arial"/>
          <w:b/>
          <w:i w:val="0"/>
          <w:color w:val="1F4E79"/>
          <w:sz w:val="15"/>
        </w:rPr>
        <w:t>Figure 3. Active docks by warehouse façade at the time of imaging</w:t>
      </w:r>
    </w:p>
    <w:p>
      <w:pPr>
        <w:keepNext/>
        <w:spacing w:before="0" w:after="60"/>
        <w:jc w:val="center"/>
      </w:pPr>
      <w:r>
        <w:drawing>
          <wp:inline xmlns:a="http://schemas.openxmlformats.org/drawingml/2006/main" xmlns:pic="http://schemas.openxmlformats.org/drawingml/2006/picture">
            <wp:extent cx="5077637" cy="2494696"/>
            <wp:docPr id="3" name="Picture 3"/>
            <wp:cNvGraphicFramePr>
              <a:graphicFrameLocks noChangeAspect="1"/>
            </wp:cNvGraphicFramePr>
            <a:graphic>
              <a:graphicData uri="http://schemas.openxmlformats.org/drawingml/2006/picture">
                <pic:pic>
                  <pic:nvPicPr>
                    <pic:cNvPr id="0" name="active_by_facade.png"/>
                    <pic:cNvPicPr/>
                  </pic:nvPicPr>
                  <pic:blipFill>
                    <a:blip r:embed="rId13"/>
                    <a:stretch>
                      <a:fillRect/>
                    </a:stretch>
                  </pic:blipFill>
                  <pic:spPr>
                    <a:xfrm>
                      <a:off x="0" y="0"/>
                      <a:ext cx="5077637" cy="2494696"/>
                    </a:xfrm>
                    <a:prstGeom prst="rect"/>
                  </pic:spPr>
                </pic:pic>
              </a:graphicData>
            </a:graphic>
          </wp:inline>
        </w:drawing>
      </w:r>
    </w:p>
    <w:p>
      <w:pPr>
        <w:spacing w:before="0" w:after="160" w:line="276" w:lineRule="auto"/>
      </w:pPr>
      <w:r>
        <w:rPr>
          <w:rFonts w:ascii="Arial" w:hAnsi="Arial" w:cs="Arial" w:eastAsia="Arial"/>
          <w:b w:val="0"/>
          <w:i/>
          <w:color w:val="555F6B"/>
          <w:sz w:val="15"/>
        </w:rPr>
        <w:t>Source: source case, Warehouse Breakdown. Counts as stated in the source; the source states no façade-level activity rate. The sum of the façade counts is not reconciled here against the stated total of 405 auto dock positions.</w:t>
      </w:r>
    </w:p>
    <w:p>
      <w:pPr>
        <w:pStyle w:val="Heading3"/>
        <w:keepNext/>
        <w:spacing w:before="160" w:after="40" w:line="252" w:lineRule="auto"/>
      </w:pPr>
      <w:r>
        <w:rPr>
          <w:rFonts w:ascii="Arial" w:hAnsi="Arial" w:cs="Arial" w:eastAsia="Arial"/>
          <w:b/>
          <w:color w:val="1F4E79"/>
          <w:sz w:val="19"/>
        </w:rPr>
        <w:t>Warehouse 1</w:t>
      </w:r>
    </w:p>
    <w:p>
      <w:pPr>
        <w:pStyle w:val="ListBullet"/>
        <w:spacing w:before="0" w:after="60" w:line="293" w:lineRule="auto"/>
        <w:ind w:left="351" w:hanging="193"/>
      </w:pPr>
      <w:r>
        <w:rPr>
          <w:rFonts w:ascii="Arial" w:hAnsi="Arial" w:cs="Arial" w:eastAsia="Arial"/>
          <w:color w:val="1B2733"/>
          <w:sz w:val="19"/>
        </w:rPr>
        <w:t>98 north docks (18 active)</w:t>
      </w:r>
    </w:p>
    <w:p>
      <w:pPr>
        <w:pStyle w:val="ListBullet"/>
        <w:spacing w:before="0" w:after="60" w:line="293" w:lineRule="auto"/>
        <w:ind w:left="351" w:hanging="193"/>
      </w:pPr>
      <w:r>
        <w:rPr>
          <w:rFonts w:ascii="Arial" w:hAnsi="Arial" w:cs="Arial" w:eastAsia="Arial"/>
          <w:color w:val="1B2733"/>
          <w:sz w:val="19"/>
        </w:rPr>
        <w:t>98 south docks (14 active)</w:t>
      </w:r>
    </w:p>
    <w:p>
      <w:pPr>
        <w:pStyle w:val="ListBullet"/>
        <w:spacing w:before="0" w:after="60" w:line="293" w:lineRule="auto"/>
        <w:ind w:left="351" w:hanging="193"/>
      </w:pPr>
      <w:r>
        <w:rPr>
          <w:rFonts w:ascii="Arial" w:hAnsi="Arial" w:cs="Arial" w:eastAsia="Arial"/>
          <w:color w:val="1B2733"/>
          <w:sz w:val="19"/>
        </w:rPr>
        <w:t>2 rail docks</w:t>
      </w:r>
    </w:p>
    <w:p>
      <w:pPr>
        <w:pStyle w:val="Heading3"/>
        <w:keepNext/>
        <w:spacing w:before="160" w:after="40" w:line="252" w:lineRule="auto"/>
      </w:pPr>
      <w:r>
        <w:rPr>
          <w:rFonts w:ascii="Arial" w:hAnsi="Arial" w:cs="Arial" w:eastAsia="Arial"/>
          <w:b/>
          <w:color w:val="1F4E79"/>
          <w:sz w:val="19"/>
        </w:rPr>
        <w:t>Warehouse 2</w:t>
      </w:r>
    </w:p>
    <w:p>
      <w:pPr>
        <w:pStyle w:val="ListBullet"/>
        <w:spacing w:before="0" w:after="60" w:line="293" w:lineRule="auto"/>
        <w:ind w:left="351" w:hanging="193"/>
      </w:pPr>
      <w:r>
        <w:rPr>
          <w:rFonts w:ascii="Arial" w:hAnsi="Arial" w:cs="Arial" w:eastAsia="Arial"/>
          <w:color w:val="1B2733"/>
          <w:sz w:val="19"/>
        </w:rPr>
        <w:t>98 north docks (19 active)</w:t>
      </w:r>
    </w:p>
    <w:p>
      <w:pPr>
        <w:pStyle w:val="ListBullet"/>
        <w:spacing w:before="0" w:after="60" w:line="293" w:lineRule="auto"/>
        <w:ind w:left="351" w:hanging="193"/>
      </w:pPr>
      <w:r>
        <w:rPr>
          <w:rFonts w:ascii="Arial" w:hAnsi="Arial" w:cs="Arial" w:eastAsia="Arial"/>
          <w:color w:val="1B2733"/>
          <w:sz w:val="19"/>
        </w:rPr>
        <w:t>97 south docks (25 active)</w:t>
      </w:r>
    </w:p>
    <w:p>
      <w:pPr>
        <w:pStyle w:val="ListBullet"/>
        <w:spacing w:before="0" w:after="60" w:line="293" w:lineRule="auto"/>
        <w:ind w:left="351" w:hanging="193"/>
      </w:pPr>
      <w:r>
        <w:rPr>
          <w:rFonts w:ascii="Arial" w:hAnsi="Arial" w:cs="Arial" w:eastAsia="Arial"/>
          <w:color w:val="1B2733"/>
          <w:sz w:val="19"/>
        </w:rPr>
        <w:t>2 rail docks</w:t>
      </w:r>
    </w:p>
    <w:p>
      <w:pPr>
        <w:pStyle w:val="Heading3"/>
        <w:keepNext/>
        <w:spacing w:before="160" w:after="40" w:line="252" w:lineRule="auto"/>
      </w:pPr>
      <w:r>
        <w:rPr>
          <w:rFonts w:ascii="Arial" w:hAnsi="Arial" w:cs="Arial" w:eastAsia="Arial"/>
          <w:b/>
          <w:color w:val="1F4E79"/>
          <w:sz w:val="19"/>
        </w:rPr>
        <w:t>Warehouse 3</w:t>
      </w:r>
    </w:p>
    <w:p>
      <w:pPr>
        <w:pStyle w:val="ListBullet"/>
        <w:spacing w:before="0" w:after="60" w:line="293" w:lineRule="auto"/>
        <w:ind w:left="351" w:hanging="193"/>
      </w:pPr>
      <w:r>
        <w:rPr>
          <w:rFonts w:ascii="Arial" w:hAnsi="Arial" w:cs="Arial" w:eastAsia="Arial"/>
          <w:color w:val="1B2733"/>
          <w:sz w:val="19"/>
        </w:rPr>
        <w:t>61 west docks (12 active)</w:t>
      </w:r>
    </w:p>
    <w:p>
      <w:pPr>
        <w:pStyle w:val="ListBullet"/>
        <w:spacing w:before="0" w:after="60" w:line="293" w:lineRule="auto"/>
        <w:ind w:left="351" w:hanging="193"/>
      </w:pPr>
      <w:r>
        <w:rPr>
          <w:rFonts w:ascii="Arial" w:hAnsi="Arial" w:cs="Arial" w:eastAsia="Arial"/>
          <w:color w:val="1B2733"/>
          <w:sz w:val="19"/>
        </w:rPr>
        <w:t>60 east docks (7 active)</w:t>
      </w:r>
    </w:p>
    <w:p>
      <w:pPr>
        <w:pStyle w:val="ListBullet"/>
        <w:spacing w:before="0" w:after="60" w:line="293" w:lineRule="auto"/>
        <w:ind w:left="351" w:hanging="193"/>
      </w:pPr>
      <w:r>
        <w:rPr>
          <w:rFonts w:ascii="Arial" w:hAnsi="Arial" w:cs="Arial" w:eastAsia="Arial"/>
          <w:color w:val="1B2733"/>
          <w:sz w:val="19"/>
        </w:rPr>
        <w:t>2 rail docks</w:t>
      </w:r>
    </w:p>
    <w:p>
      <w:pPr>
        <w:pStyle w:val="Heading3"/>
        <w:keepNext/>
        <w:spacing w:before="160" w:after="40" w:line="252" w:lineRule="auto"/>
      </w:pPr>
      <w:r>
        <w:rPr>
          <w:rFonts w:ascii="Arial" w:hAnsi="Arial" w:cs="Arial" w:eastAsia="Arial"/>
          <w:b/>
          <w:color w:val="1F4E79"/>
          <w:sz w:val="19"/>
        </w:rPr>
        <w:t>Warehouse 4</w:t>
      </w:r>
    </w:p>
    <w:p>
      <w:pPr>
        <w:pStyle w:val="ListBullet"/>
        <w:spacing w:before="0" w:after="60" w:line="293" w:lineRule="auto"/>
        <w:ind w:left="351" w:hanging="193"/>
      </w:pPr>
      <w:r>
        <w:rPr>
          <w:rFonts w:ascii="Arial" w:hAnsi="Arial" w:cs="Arial" w:eastAsia="Arial"/>
          <w:color w:val="1B2733"/>
          <w:sz w:val="19"/>
        </w:rPr>
        <w:t>46 north docks (16 active)</w:t>
      </w:r>
    </w:p>
    <w:p>
      <w:pPr>
        <w:pStyle w:val="ListBullet"/>
        <w:spacing w:before="0" w:after="60" w:line="293" w:lineRule="auto"/>
        <w:ind w:left="351" w:hanging="193"/>
      </w:pPr>
      <w:r>
        <w:rPr>
          <w:rFonts w:ascii="Arial" w:hAnsi="Arial" w:cs="Arial" w:eastAsia="Arial"/>
          <w:color w:val="1B2733"/>
          <w:sz w:val="19"/>
        </w:rPr>
        <w:t>42 south docks (18 active)</w:t>
      </w:r>
    </w:p>
    <w:p>
      <w:pPr>
        <w:pStyle w:val="ListBullet"/>
        <w:spacing w:before="0" w:after="60" w:line="293" w:lineRule="auto"/>
        <w:ind w:left="351" w:hanging="193"/>
      </w:pPr>
      <w:r>
        <w:rPr>
          <w:rFonts w:ascii="Arial" w:hAnsi="Arial" w:cs="Arial" w:eastAsia="Arial"/>
          <w:color w:val="1B2733"/>
          <w:sz w:val="19"/>
        </w:rPr>
        <w:t>No rail connection</w:t>
      </w:r>
    </w:p>
    <w:p>
      <w:pPr>
        <w:spacing w:before="0" w:after="120" w:line="307" w:lineRule="auto"/>
      </w:pPr>
      <w:r>
        <w:rPr>
          <w:rFonts w:ascii="Arial" w:hAnsi="Arial" w:cs="Arial" w:eastAsia="Arial"/>
          <w:b w:val="0"/>
          <w:i w:val="0"/>
          <w:color w:val="1B2733"/>
          <w:sz w:val="19"/>
        </w:rPr>
        <w:t>Overall dock activity levels are low to moderate , with significant spare handling capacity.</w:t>
      </w:r>
    </w:p>
    <w:p>
      <w:pPr>
        <w:pStyle w:val="Heading1"/>
        <w:keepNext/>
        <w:spacing w:before="280" w:after="60" w:line="252" w:lineRule="auto"/>
        <w:pBdr>
          <w:bottom w:val="single" w:sz="12" w:space="4" w:color="1F4E79"/>
        </w:pBdr>
      </w:pPr>
      <w:r>
        <w:rPr>
          <w:rFonts w:ascii="Arial" w:hAnsi="Arial" w:cs="Arial" w:eastAsia="Arial"/>
          <w:b/>
          <w:color w:val="1F4E79"/>
          <w:sz w:val="30"/>
        </w:rPr>
        <w:t>Yard and Staging Areas</w:t>
      </w:r>
    </w:p>
    <w:p>
      <w:pPr>
        <w:spacing w:before="0" w:after="120" w:line="307" w:lineRule="auto"/>
      </w:pPr>
      <w:r>
        <w:rPr>
          <w:rFonts w:ascii="Arial" w:hAnsi="Arial" w:cs="Arial" w:eastAsia="Arial"/>
          <w:b w:val="0"/>
          <w:i w:val="0"/>
          <w:color w:val="1B2733"/>
          <w:sz w:val="19"/>
        </w:rPr>
        <w:t>Trailer yard utilization varies across the facility but remains below full capacity.</w:t>
      </w:r>
    </w:p>
    <w:p>
      <w:pPr>
        <w:pStyle w:val="Heading2"/>
        <w:keepNext/>
        <w:spacing w:before="220" w:after="60" w:line="252" w:lineRule="auto"/>
      </w:pPr>
      <w:r>
        <w:rPr>
          <w:rFonts w:ascii="Arial" w:hAnsi="Arial" w:cs="Arial" w:eastAsia="Arial"/>
          <w:b/>
          <w:color w:val="1B2733"/>
          <w:sz w:val="22"/>
        </w:rPr>
        <w:t>Southern Trailer Yard</w:t>
      </w:r>
    </w:p>
    <w:p>
      <w:pPr>
        <w:spacing w:before="0" w:after="120" w:line="307" w:lineRule="auto"/>
      </w:pPr>
      <w:r>
        <w:rPr>
          <w:rFonts w:ascii="Arial" w:hAnsi="Arial" w:cs="Arial" w:eastAsia="Arial"/>
          <w:b w:val="0"/>
          <w:i w:val="0"/>
          <w:color w:val="1B2733"/>
          <w:sz w:val="19"/>
        </w:rPr>
        <w:t>Approximate area: 60,000 m2 Estimated utilization: ~75%</w:t>
      </w:r>
    </w:p>
    <w:p>
      <w:pPr>
        <w:pStyle w:val="Heading2"/>
        <w:keepNext/>
        <w:spacing w:before="220" w:after="60" w:line="252" w:lineRule="auto"/>
      </w:pPr>
      <w:r>
        <w:rPr>
          <w:rFonts w:ascii="Arial" w:hAnsi="Arial" w:cs="Arial" w:eastAsia="Arial"/>
          <w:b/>
          <w:color w:val="1B2733"/>
          <w:sz w:val="22"/>
        </w:rPr>
        <w:t>Northwest Trailer Yard</w:t>
      </w:r>
    </w:p>
    <w:p>
      <w:pPr>
        <w:spacing w:before="0" w:after="120" w:line="307" w:lineRule="auto"/>
      </w:pPr>
      <w:r>
        <w:rPr>
          <w:rFonts w:ascii="Arial" w:hAnsi="Arial" w:cs="Arial" w:eastAsia="Arial"/>
          <w:b w:val="0"/>
          <w:i w:val="0"/>
          <w:color w:val="1B2733"/>
          <w:sz w:val="19"/>
        </w:rPr>
        <w:t>Approximate area: 45,000 m2 Estimated utilization: 40-50%</w:t>
      </w:r>
    </w:p>
    <w:p>
      <w:pPr>
        <w:keepNext/>
        <w:spacing w:before="160" w:after="60" w:line="264" w:lineRule="auto"/>
      </w:pPr>
      <w:r>
        <w:rPr>
          <w:rFonts w:ascii="Arial" w:hAnsi="Arial" w:cs="Arial" w:eastAsia="Arial"/>
          <w:b/>
          <w:i w:val="0"/>
          <w:color w:val="1F4E79"/>
          <w:sz w:val="15"/>
        </w:rPr>
        <w:t>Figure 4. Northern part of the facility. Observed: warehouse 3 and warehouse 4 outlines, the north-west trailer yard, and trailers in the northern staging lanes. Labels are as drawn in the source imagery.</w:t>
      </w:r>
    </w:p>
    <w:p>
      <w:pPr>
        <w:keepNext/>
        <w:spacing w:before="0" w:after="60"/>
        <w:jc w:val="center"/>
      </w:pPr>
      <w:r>
        <w:drawing>
          <wp:inline xmlns:a="http://schemas.openxmlformats.org/drawingml/2006/main" xmlns:pic="http://schemas.openxmlformats.org/drawingml/2006/picture">
            <wp:extent cx="5904230" cy="3653676"/>
            <wp:docPr id="4" name="Picture 4"/>
            <wp:cNvGraphicFramePr>
              <a:graphicFrameLocks noChangeAspect="1"/>
            </wp:cNvGraphicFramePr>
            <a:graphic>
              <a:graphicData uri="http://schemas.openxmlformats.org/drawingml/2006/picture">
                <pic:pic>
                  <pic:nvPicPr>
                    <pic:cNvPr id="0" name="northwest_yard.png"/>
                    <pic:cNvPicPr/>
                  </pic:nvPicPr>
                  <pic:blipFill>
                    <a:blip r:embed="rId14"/>
                    <a:stretch>
                      <a:fillRect/>
                    </a:stretch>
                  </pic:blipFill>
                  <pic:spPr>
                    <a:xfrm>
                      <a:off x="0" y="0"/>
                      <a:ext cx="5904230" cy="3653676"/>
                    </a:xfrm>
                    <a:prstGeom prst="rect"/>
                  </pic:spPr>
                </pic:pic>
              </a:graphicData>
            </a:graphic>
          </wp:inline>
        </w:drawing>
      </w:r>
    </w:p>
    <w:p>
      <w:pPr>
        <w:spacing w:before="0" w:after="160" w:line="276" w:lineRule="auto"/>
      </w:pPr>
      <w:r>
        <w:rPr>
          <w:rFonts w:ascii="Arial" w:hAnsi="Arial" w:cs="Arial" w:eastAsia="Arial"/>
          <w:b w:val="0"/>
          <w:i/>
          <w:color w:val="555F6B"/>
          <w:sz w:val="15"/>
        </w:rPr>
        <w:t>Source: high-resolution satellite imagery reproduced from the source case; provider, platform and acquisition date are not stated in the source and are recorded as unknown. Site boundary and building outlines as drawn in the source imagery. Annotation: none added by the formatter.</w:t>
      </w:r>
    </w:p>
    <w:p>
      <w:pPr>
        <w:pStyle w:val="Heading2"/>
        <w:keepNext/>
        <w:spacing w:before="220" w:after="60" w:line="252" w:lineRule="auto"/>
      </w:pPr>
      <w:r>
        <w:rPr>
          <w:rFonts w:ascii="Arial" w:hAnsi="Arial" w:cs="Arial" w:eastAsia="Arial"/>
          <w:b/>
          <w:color w:val="1B2733"/>
          <w:sz w:val="22"/>
        </w:rPr>
        <w:t>Waiting Area (Eastern Zone)</w:t>
      </w:r>
    </w:p>
    <w:p>
      <w:pPr>
        <w:spacing w:before="0" w:after="120" w:line="307" w:lineRule="auto"/>
      </w:pPr>
      <w:r>
        <w:rPr>
          <w:rFonts w:ascii="Arial" w:hAnsi="Arial" w:cs="Arial" w:eastAsia="Arial"/>
          <w:b w:val="0"/>
          <w:i w:val="0"/>
          <w:color w:val="1B2733"/>
          <w:sz w:val="19"/>
        </w:rPr>
        <w:t>Approximate area: 30,000 m2 Estimated utilization: 15-20%</w:t>
      </w:r>
    </w:p>
    <w:p>
      <w:pPr>
        <w:spacing w:before="0" w:after="120" w:line="307" w:lineRule="auto"/>
      </w:pPr>
      <w:r>
        <w:rPr>
          <w:rFonts w:ascii="Arial" w:hAnsi="Arial" w:cs="Arial" w:eastAsia="Arial"/>
          <w:b w:val="0"/>
          <w:i w:val="0"/>
          <w:color w:val="1B2733"/>
          <w:sz w:val="19"/>
        </w:rPr>
        <w:t>Only heavy vehicles (trailers and tractor-trailer combinations) were observed.</w:t>
      </w:r>
    </w:p>
    <w:p>
      <w:pPr>
        <w:spacing w:before="0" w:after="120" w:line="307" w:lineRule="auto"/>
      </w:pPr>
      <w:r>
        <w:rPr>
          <w:rFonts w:ascii="Arial" w:hAnsi="Arial" w:cs="Arial" w:eastAsia="Arial"/>
          <w:b w:val="0"/>
          <w:i w:val="0"/>
          <w:color w:val="1B2733"/>
          <w:sz w:val="19"/>
        </w:rPr>
        <w:t>Low occupancy suggests limited inbound queuing pressure .</w:t>
      </w:r>
    </w:p>
    <w:p>
      <w:pPr>
        <w:pStyle w:val="Heading1"/>
        <w:keepNext/>
        <w:spacing w:before="280" w:after="60" w:line="252" w:lineRule="auto"/>
        <w:pBdr>
          <w:bottom w:val="single" w:sz="12" w:space="4" w:color="1F4E79"/>
        </w:pBdr>
      </w:pPr>
      <w:r>
        <w:rPr>
          <w:rFonts w:ascii="Arial" w:hAnsi="Arial" w:cs="Arial" w:eastAsia="Arial"/>
          <w:b/>
          <w:color w:val="1F4E79"/>
          <w:sz w:val="30"/>
        </w:rPr>
        <w:t>Container Storage and Rail Activity</w:t>
      </w:r>
    </w:p>
    <w:p>
      <w:pPr>
        <w:spacing w:before="0" w:after="120" w:line="307" w:lineRule="auto"/>
      </w:pPr>
      <w:r>
        <w:rPr>
          <w:rFonts w:ascii="Arial" w:hAnsi="Arial" w:cs="Arial" w:eastAsia="Arial"/>
          <w:b w:val="0"/>
          <w:i w:val="0"/>
          <w:color w:val="1B2733"/>
          <w:sz w:val="19"/>
        </w:rPr>
        <w:t>The southern part of the facility contains a linear container storage area positioned along a rail spur.</w:t>
      </w:r>
    </w:p>
    <w:p>
      <w:pPr>
        <w:pStyle w:val="ListBullet"/>
        <w:spacing w:before="0" w:after="60" w:line="293" w:lineRule="auto"/>
        <w:ind w:left="351" w:hanging="193"/>
      </w:pPr>
      <w:r>
        <w:rPr>
          <w:rFonts w:ascii="Arial" w:hAnsi="Arial" w:cs="Arial" w:eastAsia="Arial"/>
          <w:color w:val="1B2733"/>
          <w:sz w:val="19"/>
        </w:rPr>
        <w:t>Container storage length: ~500 m</w:t>
      </w:r>
    </w:p>
    <w:p>
      <w:pPr>
        <w:pStyle w:val="ListBullet"/>
        <w:spacing w:before="0" w:after="60" w:line="293" w:lineRule="auto"/>
        <w:ind w:left="351" w:hanging="193"/>
      </w:pPr>
      <w:r>
        <w:rPr>
          <w:rFonts w:ascii="Arial" w:hAnsi="Arial" w:cs="Arial" w:eastAsia="Arial"/>
          <w:color w:val="1B2733"/>
          <w:sz w:val="19"/>
        </w:rPr>
        <w:t>Ground storage nearly fully occupied</w:t>
      </w:r>
    </w:p>
    <w:p>
      <w:pPr>
        <w:pStyle w:val="ListBullet"/>
        <w:spacing w:before="0" w:after="60" w:line="293" w:lineRule="auto"/>
        <w:ind w:left="351" w:hanging="193"/>
      </w:pPr>
      <w:r>
        <w:rPr>
          <w:rFonts w:ascii="Arial" w:hAnsi="Arial" w:cs="Arial" w:eastAsia="Arial"/>
          <w:color w:val="1B2733"/>
          <w:sz w:val="19"/>
        </w:rPr>
        <w:t>No railcars observed on tracks at time of imaging</w:t>
      </w:r>
    </w:p>
    <w:p>
      <w:pPr>
        <w:spacing w:before="0" w:after="120" w:line="307" w:lineRule="auto"/>
      </w:pPr>
      <w:r>
        <w:rPr>
          <w:rFonts w:ascii="Arial" w:hAnsi="Arial" w:cs="Arial" w:eastAsia="Arial"/>
          <w:b w:val="0"/>
          <w:i w:val="0"/>
          <w:color w:val="1B2733"/>
          <w:sz w:val="19"/>
        </w:rPr>
        <w:t>This indicates:</w:t>
      </w:r>
    </w:p>
    <w:p>
      <w:pPr>
        <w:pStyle w:val="ListBullet"/>
        <w:spacing w:before="0" w:after="60" w:line="293" w:lineRule="auto"/>
        <w:ind w:left="351" w:hanging="193"/>
      </w:pPr>
      <w:r>
        <w:rPr>
          <w:rFonts w:ascii="Arial" w:hAnsi="Arial" w:cs="Arial" w:eastAsia="Arial"/>
          <w:color w:val="1B2733"/>
          <w:sz w:val="19"/>
        </w:rPr>
        <w:t>Active container throughput capability</w:t>
      </w:r>
    </w:p>
    <w:p>
      <w:pPr>
        <w:pStyle w:val="ListBullet"/>
        <w:spacing w:before="0" w:after="60" w:line="293" w:lineRule="auto"/>
        <w:ind w:left="351" w:hanging="193"/>
      </w:pPr>
      <w:r>
        <w:rPr>
          <w:rFonts w:ascii="Arial" w:hAnsi="Arial" w:cs="Arial" w:eastAsia="Arial"/>
          <w:color w:val="1B2733"/>
          <w:sz w:val="19"/>
        </w:rPr>
        <w:t>No rail movement at the moment of capture</w:t>
      </w:r>
    </w:p>
    <w:p>
      <w:pPr>
        <w:pStyle w:val="ListBullet"/>
        <w:spacing w:before="0" w:after="60" w:line="293" w:lineRule="auto"/>
        <w:ind w:left="351" w:hanging="193"/>
      </w:pPr>
      <w:r>
        <w:rPr>
          <w:rFonts w:ascii="Arial" w:hAnsi="Arial" w:cs="Arial" w:eastAsia="Arial"/>
          <w:color w:val="1B2733"/>
          <w:sz w:val="19"/>
        </w:rPr>
        <w:t>Rail infrastructure remains operational based on layout and cargo positioning</w:t>
      </w:r>
    </w:p>
    <w:p>
      <w:pPr>
        <w:keepNext/>
        <w:spacing w:before="160" w:after="60" w:line="264" w:lineRule="auto"/>
      </w:pPr>
      <w:r>
        <w:rPr>
          <w:rFonts w:ascii="Arial" w:hAnsi="Arial" w:cs="Arial" w:eastAsia="Arial"/>
          <w:b/>
          <w:i w:val="0"/>
          <w:color w:val="1F4E79"/>
          <w:sz w:val="15"/>
        </w:rPr>
        <w:t>Figure 5. Southern part of the facility. Observed: warehouse 1 and warehouse 2 outlines, the south trailer yard, the south container yard with containers ranked along the rail spur, and the waiting area on the eastern side. Labels are as drawn in the source imagery.</w:t>
      </w:r>
    </w:p>
    <w:p>
      <w:pPr>
        <w:keepNext/>
        <w:spacing w:before="0" w:after="60"/>
        <w:jc w:val="center"/>
      </w:pPr>
      <w:r>
        <w:drawing>
          <wp:inline xmlns:a="http://schemas.openxmlformats.org/drawingml/2006/main" xmlns:pic="http://schemas.openxmlformats.org/drawingml/2006/picture">
            <wp:extent cx="5904230" cy="4143380"/>
            <wp:docPr id="5" name="Picture 5"/>
            <wp:cNvGraphicFramePr>
              <a:graphicFrameLocks noChangeAspect="1"/>
            </wp:cNvGraphicFramePr>
            <a:graphic>
              <a:graphicData uri="http://schemas.openxmlformats.org/drawingml/2006/picture">
                <pic:pic>
                  <pic:nvPicPr>
                    <pic:cNvPr id="0" name="south_yards.png"/>
                    <pic:cNvPicPr/>
                  </pic:nvPicPr>
                  <pic:blipFill>
                    <a:blip r:embed="rId15"/>
                    <a:stretch>
                      <a:fillRect/>
                    </a:stretch>
                  </pic:blipFill>
                  <pic:spPr>
                    <a:xfrm>
                      <a:off x="0" y="0"/>
                      <a:ext cx="5904230" cy="4143380"/>
                    </a:xfrm>
                    <a:prstGeom prst="rect"/>
                  </pic:spPr>
                </pic:pic>
              </a:graphicData>
            </a:graphic>
          </wp:inline>
        </w:drawing>
      </w:r>
    </w:p>
    <w:p>
      <w:pPr>
        <w:spacing w:before="0" w:after="160" w:line="276" w:lineRule="auto"/>
      </w:pPr>
      <w:r>
        <w:rPr>
          <w:rFonts w:ascii="Arial" w:hAnsi="Arial" w:cs="Arial" w:eastAsia="Arial"/>
          <w:b w:val="0"/>
          <w:i/>
          <w:color w:val="555F6B"/>
          <w:sz w:val="15"/>
        </w:rPr>
        <w:t>Source: high-resolution satellite imagery reproduced from the source case; provider, platform and acquisition date are not stated in the source and are recorded as unknown. Site boundary and building outlines as drawn in the source imagery. Annotation: none added by the formatter.</w:t>
      </w:r>
    </w:p>
    <w:p>
      <w:pPr>
        <w:pStyle w:val="Heading1"/>
        <w:keepNext/>
        <w:spacing w:before="280" w:after="60" w:line="252" w:lineRule="auto"/>
        <w:pBdr>
          <w:bottom w:val="single" w:sz="12" w:space="4" w:color="1F4E79"/>
        </w:pBdr>
      </w:pPr>
      <w:r>
        <w:rPr>
          <w:rFonts w:ascii="Arial" w:hAnsi="Arial" w:cs="Arial" w:eastAsia="Arial"/>
          <w:b/>
          <w:color w:val="1F4E79"/>
          <w:sz w:val="30"/>
        </w:rPr>
        <w:t>Rail Assessment</w:t>
      </w:r>
    </w:p>
    <w:p>
      <w:pPr>
        <w:spacing w:before="0" w:after="120" w:line="307" w:lineRule="auto"/>
      </w:pPr>
      <w:r>
        <w:rPr>
          <w:rFonts w:ascii="Arial" w:hAnsi="Arial" w:cs="Arial" w:eastAsia="Arial"/>
          <w:b w:val="0"/>
          <w:i w:val="0"/>
          <w:color w:val="1B2733"/>
          <w:sz w:val="19"/>
        </w:rPr>
        <w:t>Rail lines connect directly to Warehouses 1, 2, and 3.</w:t>
      </w:r>
    </w:p>
    <w:p>
      <w:pPr>
        <w:spacing w:before="0" w:after="120" w:line="307" w:lineRule="auto"/>
      </w:pPr>
      <w:r>
        <w:rPr>
          <w:rFonts w:ascii="Arial" w:hAnsi="Arial" w:cs="Arial" w:eastAsia="Arial"/>
          <w:b w:val="0"/>
          <w:i w:val="0"/>
          <w:color w:val="1B2733"/>
          <w:sz w:val="19"/>
        </w:rPr>
        <w:t>Although no rolling stock was observed, the following indicators suggest operational use:</w:t>
      </w:r>
    </w:p>
    <w:p>
      <w:pPr>
        <w:pStyle w:val="ListBullet"/>
        <w:spacing w:before="0" w:after="60" w:line="293" w:lineRule="auto"/>
        <w:ind w:left="351" w:hanging="193"/>
      </w:pPr>
      <w:r>
        <w:rPr>
          <w:rFonts w:ascii="Arial" w:hAnsi="Arial" w:cs="Arial" w:eastAsia="Arial"/>
          <w:color w:val="1B2733"/>
          <w:sz w:val="19"/>
        </w:rPr>
        <w:t>Internal rail penetration into buildings</w:t>
      </w:r>
    </w:p>
    <w:p>
      <w:pPr>
        <w:pStyle w:val="ListBullet"/>
        <w:spacing w:before="0" w:after="60" w:line="293" w:lineRule="auto"/>
        <w:ind w:left="351" w:hanging="193"/>
      </w:pPr>
      <w:r>
        <w:rPr>
          <w:rFonts w:ascii="Arial" w:hAnsi="Arial" w:cs="Arial" w:eastAsia="Arial"/>
          <w:color w:val="1B2733"/>
          <w:sz w:val="19"/>
        </w:rPr>
        <w:t>Container staging aligned with rail spur</w:t>
      </w:r>
    </w:p>
    <w:p>
      <w:pPr>
        <w:pStyle w:val="ListBullet"/>
        <w:spacing w:before="0" w:after="60" w:line="293" w:lineRule="auto"/>
        <w:ind w:left="351" w:hanging="193"/>
      </w:pPr>
      <w:r>
        <w:rPr>
          <w:rFonts w:ascii="Arial" w:hAnsi="Arial" w:cs="Arial" w:eastAsia="Arial"/>
          <w:color w:val="1B2733"/>
          <w:sz w:val="19"/>
        </w:rPr>
        <w:t>Dedicated rail dock positions</w:t>
      </w:r>
    </w:p>
    <w:p>
      <w:pPr>
        <w:spacing w:before="0" w:after="120" w:line="307" w:lineRule="auto"/>
      </w:pPr>
      <w:r>
        <w:rPr>
          <w:rFonts w:ascii="Arial" w:hAnsi="Arial" w:cs="Arial" w:eastAsia="Arial"/>
          <w:b w:val="0"/>
          <w:i w:val="0"/>
          <w:color w:val="1B2733"/>
          <w:sz w:val="19"/>
        </w:rPr>
        <w:t>Assessment:</w:t>
      </w:r>
    </w:p>
    <w:p>
      <w:pPr>
        <w:spacing w:before="60" w:after="20" w:line="264" w:lineRule="auto"/>
      </w:pPr>
      <w:r>
        <w:rPr>
          <w:rFonts w:ascii="Arial" w:hAnsi="Arial" w:cs="Arial" w:eastAsia="Arial"/>
          <w:b/>
          <w:i/>
          <w:color w:val="1F4E79"/>
          <w:sz w:val="16"/>
        </w:rPr>
        <w:t>Assessment</w:t>
      </w:r>
    </w:p>
    <w:p>
      <w:pPr>
        <w:keepNext/>
        <w:spacing w:before="0" w:after="120" w:line="307" w:lineRule="auto"/>
      </w:pPr>
      <w:r>
        <w:rPr>
          <w:rFonts w:ascii="Arial" w:hAnsi="Arial" w:cs="Arial" w:eastAsia="Arial"/>
          <w:b w:val="0"/>
          <w:i/>
          <w:color w:val="1B2733"/>
          <w:sz w:val="19"/>
        </w:rPr>
        <w:t>Rail active periodically but not continuously</w:t>
      </w:r>
    </w:p>
    <w:p>
      <w:pPr>
        <w:pStyle w:val="Heading1"/>
        <w:keepNext/>
        <w:spacing w:before="280" w:after="60" w:line="252" w:lineRule="auto"/>
        <w:pBdr>
          <w:bottom w:val="single" w:sz="12" w:space="4" w:color="1F4E79"/>
        </w:pBdr>
      </w:pPr>
      <w:r>
        <w:rPr>
          <w:rFonts w:ascii="Arial" w:hAnsi="Arial" w:cs="Arial" w:eastAsia="Arial"/>
          <w:b/>
          <w:color w:val="1F4E79"/>
          <w:sz w:val="30"/>
        </w:rPr>
        <w:t>Integrated Operational Assessment</w:t>
      </w:r>
    </w:p>
    <w:p>
      <w:pPr>
        <w:spacing w:before="0" w:after="120" w:line="307" w:lineRule="auto"/>
      </w:pPr>
      <w:r>
        <w:rPr>
          <w:rFonts w:ascii="Arial" w:hAnsi="Arial" w:cs="Arial" w:eastAsia="Arial"/>
          <w:b w:val="0"/>
          <w:i w:val="0"/>
          <w:color w:val="1B2733"/>
          <w:sz w:val="19"/>
        </w:rPr>
        <w:t>Indicators observed:</w:t>
      </w:r>
    </w:p>
    <w:p>
      <w:pPr>
        <w:keepNext/>
        <w:spacing w:before="160" w:after="80" w:line="264" w:lineRule="auto"/>
      </w:pPr>
      <w:r>
        <w:rPr>
          <w:rFonts w:ascii="Arial" w:hAnsi="Arial" w:cs="Arial" w:eastAsia="Arial"/>
          <w:b/>
          <w:i w:val="0"/>
          <w:color w:val="1F4E79"/>
          <w:sz w:val="15"/>
        </w:rPr>
        <w:t>Table 3. Operational indicators observed in the imagery</w:t>
      </w:r>
    </w:p>
    <w:tbl>
      <w:tblPr>
        <w:tblW w:type="auto" w:w="0"/>
        <w:jc w:val="left"/>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60" w:type="dxa"/>
          <w:left w:w="100" w:type="dxa"/>
          <w:bottom w:w="60" w:type="dxa"/>
          <w:right w:w="100" w:type="dxa"/>
        </w:tblCellMar>
      </w:tblPr>
      <w:tblGrid>
        <w:gridCol w:w="3905"/>
        <w:gridCol w:w="5393"/>
      </w:tblGrid>
      <w:tr>
        <w:trPr>
          <w:tblHeader/>
        </w:trPr>
        <w:tc>
          <w:tcPr>
            <w:tcW w:type="dxa" w:w="3905"/>
            <w:shd w:val="clear" w:color="auto" w:fill="1F4E79"/>
          </w:tcPr>
          <w:p>
            <w:pPr>
              <w:spacing w:before="60" w:after="60" w:line="269" w:lineRule="auto"/>
            </w:pPr>
            <w:r>
              <w:rPr>
                <w:rFonts w:ascii="Arial" w:hAnsi="Arial" w:cs="Arial" w:eastAsia="Arial"/>
                <w:b/>
                <w:color w:val="FFFFFF"/>
                <w:sz w:val="18"/>
              </w:rPr>
              <w:t>Indicator</w:t>
            </w:r>
          </w:p>
        </w:tc>
        <w:tc>
          <w:tcPr>
            <w:tcW w:type="dxa" w:w="5393"/>
            <w:shd w:val="clear" w:color="auto" w:fill="1F4E79"/>
          </w:tcPr>
          <w:p>
            <w:pPr>
              <w:spacing w:before="60" w:after="60" w:line="269" w:lineRule="auto"/>
            </w:pPr>
            <w:r>
              <w:rPr>
                <w:rFonts w:ascii="Arial" w:hAnsi="Arial" w:cs="Arial" w:eastAsia="Arial"/>
                <w:b/>
                <w:color w:val="FFFFFF"/>
                <w:sz w:val="18"/>
              </w:rPr>
              <w:t>Assessment</w:t>
            </w:r>
          </w:p>
        </w:tc>
      </w:tr>
      <w:tr>
        <w:tc>
          <w:tcPr>
            <w:tcW w:type="dxa" w:w="3905"/>
          </w:tcPr>
          <w:p>
            <w:pPr>
              <w:spacing w:before="50" w:after="50" w:line="276" w:lineRule="auto"/>
            </w:pPr>
            <w:r>
              <w:rPr>
                <w:rFonts w:ascii="Arial" w:hAnsi="Arial" w:cs="Arial" w:eastAsia="Arial"/>
                <w:b/>
                <w:color w:val="1B2733"/>
                <w:sz w:val="18"/>
              </w:rPr>
              <w:t>Dock utilization</w:t>
            </w:r>
          </w:p>
        </w:tc>
        <w:tc>
          <w:tcPr>
            <w:tcW w:type="dxa" w:w="5393"/>
          </w:tcPr>
          <w:p>
            <w:pPr>
              <w:spacing w:before="50" w:after="50" w:line="276" w:lineRule="auto"/>
            </w:pPr>
            <w:r>
              <w:rPr>
                <w:rFonts w:ascii="Arial" w:hAnsi="Arial" w:cs="Arial" w:eastAsia="Arial"/>
                <w:b w:val="0"/>
                <w:color w:val="2B333B"/>
                <w:sz w:val="18"/>
              </w:rPr>
              <w:t>Low-Moderate (~32%)</w:t>
            </w:r>
          </w:p>
        </w:tc>
      </w:tr>
      <w:tr>
        <w:tc>
          <w:tcPr>
            <w:tcW w:type="dxa" w:w="3905"/>
            <w:shd w:val="clear" w:color="auto" w:fill="F4F6F8"/>
          </w:tcPr>
          <w:p>
            <w:pPr>
              <w:spacing w:before="50" w:after="50" w:line="276" w:lineRule="auto"/>
            </w:pPr>
            <w:r>
              <w:rPr>
                <w:rFonts w:ascii="Arial" w:hAnsi="Arial" w:cs="Arial" w:eastAsia="Arial"/>
                <w:b/>
                <w:color w:val="1B2733"/>
                <w:sz w:val="18"/>
              </w:rPr>
              <w:t>Trailer yards</w:t>
            </w:r>
          </w:p>
        </w:tc>
        <w:tc>
          <w:tcPr>
            <w:tcW w:type="dxa" w:w="5393"/>
            <w:shd w:val="clear" w:color="auto" w:fill="F4F6F8"/>
          </w:tcPr>
          <w:p>
            <w:pPr>
              <w:spacing w:before="50" w:after="50" w:line="276" w:lineRule="auto"/>
            </w:pPr>
            <w:r>
              <w:rPr>
                <w:rFonts w:ascii="Arial" w:hAnsi="Arial" w:cs="Arial" w:eastAsia="Arial"/>
                <w:b w:val="0"/>
                <w:color w:val="2B333B"/>
                <w:sz w:val="18"/>
              </w:rPr>
              <w:t>Partially filled</w:t>
            </w:r>
          </w:p>
        </w:tc>
      </w:tr>
      <w:tr>
        <w:tc>
          <w:tcPr>
            <w:tcW w:type="dxa" w:w="3905"/>
          </w:tcPr>
          <w:p>
            <w:pPr>
              <w:spacing w:before="50" w:after="50" w:line="276" w:lineRule="auto"/>
            </w:pPr>
            <w:r>
              <w:rPr>
                <w:rFonts w:ascii="Arial" w:hAnsi="Arial" w:cs="Arial" w:eastAsia="Arial"/>
                <w:b/>
                <w:color w:val="1B2733"/>
                <w:sz w:val="18"/>
              </w:rPr>
              <w:t>Container yard</w:t>
            </w:r>
          </w:p>
        </w:tc>
        <w:tc>
          <w:tcPr>
            <w:tcW w:type="dxa" w:w="5393"/>
          </w:tcPr>
          <w:p>
            <w:pPr>
              <w:spacing w:before="50" w:after="50" w:line="276" w:lineRule="auto"/>
            </w:pPr>
            <w:r>
              <w:rPr>
                <w:rFonts w:ascii="Arial" w:hAnsi="Arial" w:cs="Arial" w:eastAsia="Arial"/>
                <w:b w:val="0"/>
                <w:color w:val="2B333B"/>
                <w:sz w:val="18"/>
              </w:rPr>
              <w:t>High occupancy</w:t>
            </w:r>
          </w:p>
        </w:tc>
      </w:tr>
      <w:tr>
        <w:tc>
          <w:tcPr>
            <w:tcW w:type="dxa" w:w="3905"/>
            <w:shd w:val="clear" w:color="auto" w:fill="F4F6F8"/>
          </w:tcPr>
          <w:p>
            <w:pPr>
              <w:spacing w:before="50" w:after="50" w:line="276" w:lineRule="auto"/>
            </w:pPr>
            <w:r>
              <w:rPr>
                <w:rFonts w:ascii="Arial" w:hAnsi="Arial" w:cs="Arial" w:eastAsia="Arial"/>
                <w:b/>
                <w:color w:val="1B2733"/>
                <w:sz w:val="18"/>
              </w:rPr>
              <w:t>Waiting area</w:t>
            </w:r>
          </w:p>
        </w:tc>
        <w:tc>
          <w:tcPr>
            <w:tcW w:type="dxa" w:w="5393"/>
            <w:shd w:val="clear" w:color="auto" w:fill="F4F6F8"/>
          </w:tcPr>
          <w:p>
            <w:pPr>
              <w:spacing w:before="50" w:after="50" w:line="276" w:lineRule="auto"/>
            </w:pPr>
            <w:r>
              <w:rPr>
                <w:rFonts w:ascii="Arial" w:hAnsi="Arial" w:cs="Arial" w:eastAsia="Arial"/>
                <w:b w:val="0"/>
                <w:color w:val="2B333B"/>
                <w:sz w:val="18"/>
              </w:rPr>
              <w:t>Low utilization</w:t>
            </w:r>
          </w:p>
        </w:tc>
      </w:tr>
      <w:tr>
        <w:tc>
          <w:tcPr>
            <w:tcW w:type="dxa" w:w="3905"/>
          </w:tcPr>
          <w:p>
            <w:pPr>
              <w:spacing w:before="50" w:after="50" w:line="276" w:lineRule="auto"/>
            </w:pPr>
            <w:r>
              <w:rPr>
                <w:rFonts w:ascii="Arial" w:hAnsi="Arial" w:cs="Arial" w:eastAsia="Arial"/>
                <w:b/>
                <w:color w:val="1B2733"/>
                <w:sz w:val="18"/>
              </w:rPr>
              <w:t>Rail activity</w:t>
            </w:r>
          </w:p>
        </w:tc>
        <w:tc>
          <w:tcPr>
            <w:tcW w:type="dxa" w:w="5393"/>
          </w:tcPr>
          <w:p>
            <w:pPr>
              <w:spacing w:before="50" w:after="50" w:line="276" w:lineRule="auto"/>
            </w:pPr>
            <w:r>
              <w:rPr>
                <w:rFonts w:ascii="Arial" w:hAnsi="Arial" w:cs="Arial" w:eastAsia="Arial"/>
                <w:b w:val="0"/>
                <w:color w:val="2B333B"/>
                <w:sz w:val="18"/>
              </w:rPr>
              <w:t>No movement observed</w:t>
            </w:r>
          </w:p>
        </w:tc>
      </w:tr>
    </w:tbl>
    <w:p>
      <w:pPr>
        <w:spacing w:before="0" w:after="80" w:line="307" w:lineRule="auto"/>
      </w:pPr>
      <w:r>
        <w:rPr>
          <w:rFonts w:ascii="Arial" w:hAnsi="Arial" w:cs="Arial" w:eastAsia="Arial"/>
          <w:b w:val="0"/>
          <w:i w:val="0"/>
          <w:color w:val="1B2733"/>
          <w:sz w:val="19"/>
        </w:rPr>
      </w:r>
    </w:p>
    <w:p>
      <w:pPr>
        <w:pStyle w:val="Heading3"/>
        <w:keepNext/>
        <w:spacing w:before="160" w:after="40" w:line="252" w:lineRule="auto"/>
      </w:pPr>
      <w:r>
        <w:rPr>
          <w:rFonts w:ascii="Arial" w:hAnsi="Arial" w:cs="Arial" w:eastAsia="Arial"/>
          <w:b/>
          <w:color w:val="1F4E79"/>
          <w:sz w:val="19"/>
        </w:rPr>
        <w:t>Overall interpretation:</w:t>
      </w:r>
    </w:p>
    <w:p>
      <w:pPr>
        <w:spacing w:before="0" w:after="120" w:line="307" w:lineRule="auto"/>
      </w:pPr>
      <w:r>
        <w:rPr>
          <w:rFonts w:ascii="Arial" w:hAnsi="Arial" w:cs="Arial" w:eastAsia="Arial"/>
          <w:b w:val="0"/>
          <w:i w:val="0"/>
          <w:color w:val="1B2733"/>
          <w:sz w:val="19"/>
        </w:rPr>
        <w:t>The facility was operating at a moderate workload level with substantial spare processing capacity at the time of imaging.</w:t>
      </w:r>
    </w:p>
    <w:p>
      <w:pPr>
        <w:spacing w:before="0" w:after="120" w:line="307" w:lineRule="auto"/>
      </w:pPr>
      <w:r>
        <w:rPr>
          <w:rFonts w:ascii="Arial" w:hAnsi="Arial" w:cs="Arial" w:eastAsia="Arial"/>
          <w:b w:val="0"/>
          <w:i w:val="0"/>
          <w:color w:val="1B2733"/>
          <w:sz w:val="19"/>
        </w:rPr>
        <w:t>Activity pattern suggests:</w:t>
      </w:r>
    </w:p>
    <w:p>
      <w:pPr>
        <w:pStyle w:val="ListBullet"/>
        <w:spacing w:before="0" w:after="60" w:line="293" w:lineRule="auto"/>
        <w:ind w:left="351" w:hanging="193"/>
      </w:pPr>
      <w:r>
        <w:rPr>
          <w:rFonts w:ascii="Arial" w:hAnsi="Arial" w:cs="Arial" w:eastAsia="Arial"/>
          <w:color w:val="1B2733"/>
          <w:sz w:val="19"/>
        </w:rPr>
        <w:t>Stable throughput</w:t>
      </w:r>
    </w:p>
    <w:p>
      <w:pPr>
        <w:pStyle w:val="ListBullet"/>
        <w:spacing w:before="0" w:after="60" w:line="293" w:lineRule="auto"/>
        <w:ind w:left="351" w:hanging="193"/>
      </w:pPr>
      <w:r>
        <w:rPr>
          <w:rFonts w:ascii="Arial" w:hAnsi="Arial" w:cs="Arial" w:eastAsia="Arial"/>
          <w:color w:val="1B2733"/>
          <w:sz w:val="19"/>
        </w:rPr>
        <w:t>No congestion or surge conditions</w:t>
      </w:r>
    </w:p>
    <w:p>
      <w:pPr>
        <w:pStyle w:val="ListBullet"/>
        <w:spacing w:before="0" w:after="60" w:line="293" w:lineRule="auto"/>
        <w:ind w:left="351" w:hanging="193"/>
      </w:pPr>
      <w:r>
        <w:rPr>
          <w:rFonts w:ascii="Arial" w:hAnsi="Arial" w:cs="Arial" w:eastAsia="Arial"/>
          <w:color w:val="1B2733"/>
          <w:sz w:val="19"/>
        </w:rPr>
        <w:t>Capacity available for demand increase</w:t>
      </w:r>
    </w:p>
    <w:p>
      <w:pPr>
        <w:pStyle w:val="Heading1"/>
        <w:keepNext/>
        <w:spacing w:before="280" w:after="60" w:line="252" w:lineRule="auto"/>
        <w:pBdr>
          <w:bottom w:val="single" w:sz="12" w:space="4" w:color="1F4E79"/>
        </w:pBdr>
      </w:pPr>
      <w:r>
        <w:rPr>
          <w:rFonts w:ascii="Arial" w:hAnsi="Arial" w:cs="Arial" w:eastAsia="Arial"/>
          <w:b/>
          <w:color w:val="1F4E79"/>
          <w:sz w:val="30"/>
        </w:rPr>
        <w:t>Surge Capacity Assessment</w:t>
      </w:r>
    </w:p>
    <w:p>
      <w:pPr>
        <w:spacing w:before="0" w:after="120" w:line="307" w:lineRule="auto"/>
      </w:pPr>
      <w:r>
        <w:rPr>
          <w:rFonts w:ascii="Arial" w:hAnsi="Arial" w:cs="Arial" w:eastAsia="Arial"/>
          <w:b w:val="0"/>
          <w:i w:val="0"/>
          <w:color w:val="1B2733"/>
          <w:sz w:val="19"/>
        </w:rPr>
        <w:t>Given:</w:t>
      </w:r>
    </w:p>
    <w:p>
      <w:pPr>
        <w:pStyle w:val="ListBullet"/>
        <w:spacing w:before="0" w:after="60" w:line="293" w:lineRule="auto"/>
        <w:ind w:left="351" w:hanging="193"/>
      </w:pPr>
      <w:r>
        <w:rPr>
          <w:rFonts w:ascii="Arial" w:hAnsi="Arial" w:cs="Arial" w:eastAsia="Arial"/>
          <w:color w:val="1B2733"/>
          <w:sz w:val="19"/>
        </w:rPr>
        <w:t>~68% dock capacity unused</w:t>
      </w:r>
    </w:p>
    <w:p>
      <w:pPr>
        <w:pStyle w:val="ListBullet"/>
        <w:spacing w:before="0" w:after="60" w:line="293" w:lineRule="auto"/>
        <w:ind w:left="351" w:hanging="193"/>
      </w:pPr>
      <w:r>
        <w:rPr>
          <w:rFonts w:ascii="Arial" w:hAnsi="Arial" w:cs="Arial" w:eastAsia="Arial"/>
          <w:color w:val="1B2733"/>
          <w:sz w:val="19"/>
        </w:rPr>
        <w:t>Partially filled trailer yards</w:t>
      </w:r>
    </w:p>
    <w:p>
      <w:pPr>
        <w:pStyle w:val="ListBullet"/>
        <w:spacing w:before="0" w:after="60" w:line="293" w:lineRule="auto"/>
        <w:ind w:left="351" w:hanging="193"/>
      </w:pPr>
      <w:r>
        <w:rPr>
          <w:rFonts w:ascii="Arial" w:hAnsi="Arial" w:cs="Arial" w:eastAsia="Arial"/>
          <w:color w:val="1B2733"/>
          <w:sz w:val="19"/>
        </w:rPr>
        <w:t>Low waiting area pressure</w:t>
      </w:r>
    </w:p>
    <w:p>
      <w:pPr>
        <w:spacing w:before="60" w:after="20" w:line="264" w:lineRule="auto"/>
      </w:pPr>
      <w:r>
        <w:rPr>
          <w:rFonts w:ascii="Arial" w:hAnsi="Arial" w:cs="Arial" w:eastAsia="Arial"/>
          <w:b/>
          <w:i/>
          <w:color w:val="1F4E79"/>
          <w:sz w:val="16"/>
        </w:rPr>
        <w:t>Assessment</w:t>
      </w:r>
    </w:p>
    <w:p>
      <w:pPr>
        <w:keepNext/>
        <w:spacing w:before="0" w:after="120" w:line="307" w:lineRule="auto"/>
      </w:pPr>
      <w:r>
        <w:rPr>
          <w:rFonts w:ascii="Arial" w:hAnsi="Arial" w:cs="Arial" w:eastAsia="Arial"/>
          <w:b w:val="0"/>
          <w:i/>
          <w:color w:val="1B2733"/>
          <w:sz w:val="19"/>
        </w:rPr>
        <w:t>The facility is assessed capable of handling a 30-40% increase in throughput without physical expansion.</w:t>
      </w:r>
    </w:p>
    <w:p>
      <w:pPr>
        <w:pStyle w:val="Heading1"/>
        <w:keepNext/>
        <w:spacing w:before="280" w:after="60" w:line="252" w:lineRule="auto"/>
        <w:pBdr>
          <w:bottom w:val="single" w:sz="12" w:space="4" w:color="1F4E79"/>
        </w:pBdr>
      </w:pPr>
      <w:r>
        <w:rPr>
          <w:rFonts w:ascii="Arial" w:hAnsi="Arial" w:cs="Arial" w:eastAsia="Arial"/>
          <w:b/>
          <w:color w:val="1F4E79"/>
          <w:sz w:val="30"/>
        </w:rPr>
        <w:t>Confidence Assessment</w:t>
      </w:r>
    </w:p>
    <w:p>
      <w:pPr>
        <w:keepNext/>
        <w:spacing w:before="160" w:after="80" w:line="264" w:lineRule="auto"/>
      </w:pPr>
      <w:r>
        <w:rPr>
          <w:rFonts w:ascii="Arial" w:hAnsi="Arial" w:cs="Arial" w:eastAsia="Arial"/>
          <w:b/>
          <w:i w:val="0"/>
          <w:color w:val="1F4E79"/>
          <w:sz w:val="15"/>
        </w:rPr>
        <w:t>Table 4. Confidence by analytical component</w:t>
      </w:r>
    </w:p>
    <w:tbl>
      <w:tblPr>
        <w:tblW w:type="auto" w:w="0"/>
        <w:jc w:val="left"/>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60" w:type="dxa"/>
          <w:left w:w="100" w:type="dxa"/>
          <w:bottom w:w="60" w:type="dxa"/>
          <w:right w:w="100" w:type="dxa"/>
        </w:tblCellMar>
      </w:tblPr>
      <w:tblGrid>
        <w:gridCol w:w="5579"/>
        <w:gridCol w:w="3719"/>
      </w:tblGrid>
      <w:tr>
        <w:trPr>
          <w:tblHeader/>
        </w:trPr>
        <w:tc>
          <w:tcPr>
            <w:tcW w:type="dxa" w:w="5579"/>
            <w:shd w:val="clear" w:color="auto" w:fill="1F4E79"/>
          </w:tcPr>
          <w:p>
            <w:pPr>
              <w:spacing w:before="60" w:after="60" w:line="269" w:lineRule="auto"/>
            </w:pPr>
            <w:r>
              <w:rPr>
                <w:rFonts w:ascii="Arial" w:hAnsi="Arial" w:cs="Arial" w:eastAsia="Arial"/>
                <w:b/>
                <w:color w:val="FFFFFF"/>
                <w:sz w:val="18"/>
              </w:rPr>
              <w:t>Component</w:t>
            </w:r>
          </w:p>
        </w:tc>
        <w:tc>
          <w:tcPr>
            <w:tcW w:type="dxa" w:w="3719"/>
            <w:shd w:val="clear" w:color="auto" w:fill="1F4E79"/>
          </w:tcPr>
          <w:p>
            <w:pPr>
              <w:spacing w:before="60" w:after="60" w:line="269" w:lineRule="auto"/>
            </w:pPr>
            <w:r>
              <w:rPr>
                <w:rFonts w:ascii="Arial" w:hAnsi="Arial" w:cs="Arial" w:eastAsia="Arial"/>
                <w:b/>
                <w:color w:val="FFFFFF"/>
                <w:sz w:val="18"/>
              </w:rPr>
              <w:t>Confidence</w:t>
            </w:r>
          </w:p>
        </w:tc>
      </w:tr>
      <w:tr>
        <w:tc>
          <w:tcPr>
            <w:tcW w:type="dxa" w:w="5579"/>
          </w:tcPr>
          <w:p>
            <w:pPr>
              <w:spacing w:before="50" w:after="50" w:line="276" w:lineRule="auto"/>
            </w:pPr>
            <w:r>
              <w:rPr>
                <w:rFonts w:ascii="Arial" w:hAnsi="Arial" w:cs="Arial" w:eastAsia="Arial"/>
                <w:b/>
                <w:color w:val="1B2733"/>
                <w:sz w:val="18"/>
              </w:rPr>
              <w:t>Dock count accuracy</w:t>
            </w:r>
          </w:p>
        </w:tc>
        <w:tc>
          <w:tcPr>
            <w:tcW w:type="dxa" w:w="3719"/>
          </w:tcPr>
          <w:p>
            <w:pPr>
              <w:spacing w:before="50" w:after="50" w:line="276" w:lineRule="auto"/>
            </w:pPr>
            <w:r>
              <w:rPr>
                <w:rFonts w:ascii="Arial" w:hAnsi="Arial" w:cs="Arial" w:eastAsia="Arial"/>
                <w:b w:val="0"/>
                <w:color w:val="2B333B"/>
                <w:sz w:val="18"/>
              </w:rPr>
              <w:t>High</w:t>
            </w:r>
          </w:p>
        </w:tc>
      </w:tr>
      <w:tr>
        <w:tc>
          <w:tcPr>
            <w:tcW w:type="dxa" w:w="5579"/>
            <w:shd w:val="clear" w:color="auto" w:fill="F4F6F8"/>
          </w:tcPr>
          <w:p>
            <w:pPr>
              <w:spacing w:before="50" w:after="50" w:line="276" w:lineRule="auto"/>
            </w:pPr>
            <w:r>
              <w:rPr>
                <w:rFonts w:ascii="Arial" w:hAnsi="Arial" w:cs="Arial" w:eastAsia="Arial"/>
                <w:b/>
                <w:color w:val="1B2733"/>
                <w:sz w:val="18"/>
              </w:rPr>
              <w:t>Dock activity classification</w:t>
            </w:r>
          </w:p>
        </w:tc>
        <w:tc>
          <w:tcPr>
            <w:tcW w:type="dxa" w:w="3719"/>
            <w:shd w:val="clear" w:color="auto" w:fill="F4F6F8"/>
          </w:tcPr>
          <w:p>
            <w:pPr>
              <w:spacing w:before="50" w:after="50" w:line="276" w:lineRule="auto"/>
            </w:pPr>
            <w:r>
              <w:rPr>
                <w:rFonts w:ascii="Arial" w:hAnsi="Arial" w:cs="Arial" w:eastAsia="Arial"/>
                <w:b w:val="0"/>
                <w:color w:val="2B333B"/>
                <w:sz w:val="18"/>
              </w:rPr>
              <w:t>High</w:t>
            </w:r>
          </w:p>
        </w:tc>
      </w:tr>
      <w:tr>
        <w:tc>
          <w:tcPr>
            <w:tcW w:type="dxa" w:w="5579"/>
          </w:tcPr>
          <w:p>
            <w:pPr>
              <w:spacing w:before="50" w:after="50" w:line="276" w:lineRule="auto"/>
            </w:pPr>
            <w:r>
              <w:rPr>
                <w:rFonts w:ascii="Arial" w:hAnsi="Arial" w:cs="Arial" w:eastAsia="Arial"/>
                <w:b/>
                <w:color w:val="1B2733"/>
                <w:sz w:val="18"/>
              </w:rPr>
              <w:t>Yard occupancy estimates</w:t>
            </w:r>
          </w:p>
        </w:tc>
        <w:tc>
          <w:tcPr>
            <w:tcW w:type="dxa" w:w="3719"/>
          </w:tcPr>
          <w:p>
            <w:pPr>
              <w:spacing w:before="50" w:after="50" w:line="276" w:lineRule="auto"/>
            </w:pPr>
            <w:r>
              <w:rPr>
                <w:rFonts w:ascii="Arial" w:hAnsi="Arial" w:cs="Arial" w:eastAsia="Arial"/>
                <w:b w:val="0"/>
                <w:color w:val="2B333B"/>
                <w:sz w:val="18"/>
              </w:rPr>
              <w:t>Medium-High</w:t>
            </w:r>
          </w:p>
        </w:tc>
      </w:tr>
      <w:tr>
        <w:tc>
          <w:tcPr>
            <w:tcW w:type="dxa" w:w="5579"/>
            <w:shd w:val="clear" w:color="auto" w:fill="F4F6F8"/>
          </w:tcPr>
          <w:p>
            <w:pPr>
              <w:spacing w:before="50" w:after="50" w:line="276" w:lineRule="auto"/>
            </w:pPr>
            <w:r>
              <w:rPr>
                <w:rFonts w:ascii="Arial" w:hAnsi="Arial" w:cs="Arial" w:eastAsia="Arial"/>
                <w:b/>
                <w:color w:val="1B2733"/>
                <w:sz w:val="18"/>
              </w:rPr>
              <w:t>Container density assessment</w:t>
            </w:r>
          </w:p>
        </w:tc>
        <w:tc>
          <w:tcPr>
            <w:tcW w:type="dxa" w:w="3719"/>
            <w:shd w:val="clear" w:color="auto" w:fill="F4F6F8"/>
          </w:tcPr>
          <w:p>
            <w:pPr>
              <w:spacing w:before="50" w:after="50" w:line="276" w:lineRule="auto"/>
            </w:pPr>
            <w:r>
              <w:rPr>
                <w:rFonts w:ascii="Arial" w:hAnsi="Arial" w:cs="Arial" w:eastAsia="Arial"/>
                <w:b w:val="0"/>
                <w:color w:val="2B333B"/>
                <w:sz w:val="18"/>
              </w:rPr>
              <w:t>High</w:t>
            </w:r>
          </w:p>
        </w:tc>
      </w:tr>
      <w:tr>
        <w:tc>
          <w:tcPr>
            <w:tcW w:type="dxa" w:w="5579"/>
          </w:tcPr>
          <w:p>
            <w:pPr>
              <w:spacing w:before="50" w:after="50" w:line="276" w:lineRule="auto"/>
            </w:pPr>
            <w:r>
              <w:rPr>
                <w:rFonts w:ascii="Arial" w:hAnsi="Arial" w:cs="Arial" w:eastAsia="Arial"/>
                <w:b/>
                <w:color w:val="1B2733"/>
                <w:sz w:val="18"/>
              </w:rPr>
              <w:t>Rail usage interpretation</w:t>
            </w:r>
          </w:p>
        </w:tc>
        <w:tc>
          <w:tcPr>
            <w:tcW w:type="dxa" w:w="3719"/>
          </w:tcPr>
          <w:p>
            <w:pPr>
              <w:spacing w:before="50" w:after="50" w:line="276" w:lineRule="auto"/>
            </w:pPr>
            <w:r>
              <w:rPr>
                <w:rFonts w:ascii="Arial" w:hAnsi="Arial" w:cs="Arial" w:eastAsia="Arial"/>
                <w:b w:val="0"/>
                <w:color w:val="2B333B"/>
                <w:sz w:val="18"/>
              </w:rPr>
              <w:t>Medium</w:t>
            </w:r>
          </w:p>
        </w:tc>
      </w:tr>
      <w:tr>
        <w:tc>
          <w:tcPr>
            <w:tcW w:type="dxa" w:w="5579"/>
            <w:shd w:val="clear" w:color="auto" w:fill="F4F6F8"/>
          </w:tcPr>
          <w:p>
            <w:pPr>
              <w:spacing w:before="50" w:after="50" w:line="276" w:lineRule="auto"/>
            </w:pPr>
            <w:r>
              <w:rPr>
                <w:rFonts w:ascii="Arial" w:hAnsi="Arial" w:cs="Arial" w:eastAsia="Arial"/>
                <w:b/>
                <w:color w:val="1B2733"/>
                <w:sz w:val="18"/>
              </w:rPr>
              <w:t>Overall operational assessment</w:t>
            </w:r>
          </w:p>
        </w:tc>
        <w:tc>
          <w:tcPr>
            <w:tcW w:type="dxa" w:w="3719"/>
            <w:shd w:val="clear" w:color="auto" w:fill="F4F6F8"/>
          </w:tcPr>
          <w:p>
            <w:pPr>
              <w:spacing w:before="50" w:after="50" w:line="276" w:lineRule="auto"/>
            </w:pPr>
            <w:r>
              <w:rPr>
                <w:rFonts w:ascii="Arial" w:hAnsi="Arial" w:cs="Arial" w:eastAsia="Arial"/>
                <w:b w:val="0"/>
                <w:color w:val="2B333B"/>
                <w:sz w:val="18"/>
              </w:rPr>
              <w:t>Medium-High</w:t>
            </w:r>
          </w:p>
        </w:tc>
      </w:tr>
    </w:tbl>
    <w:p>
      <w:pPr>
        <w:spacing w:before="0" w:after="80" w:line="307" w:lineRule="auto"/>
      </w:pPr>
      <w:r>
        <w:rPr>
          <w:rFonts w:ascii="Arial" w:hAnsi="Arial" w:cs="Arial" w:eastAsia="Arial"/>
          <w:b w:val="0"/>
          <w:i w:val="0"/>
          <w:color w:val="1B2733"/>
          <w:sz w:val="19"/>
        </w:rPr>
      </w:r>
    </w:p>
    <w:p>
      <w:pPr>
        <w:pStyle w:val="Heading3"/>
        <w:keepNext/>
        <w:spacing w:before="160" w:after="40" w:line="252" w:lineRule="auto"/>
      </w:pPr>
      <w:r>
        <w:rPr>
          <w:rFonts w:ascii="Arial" w:hAnsi="Arial" w:cs="Arial" w:eastAsia="Arial"/>
          <w:b/>
          <w:color w:val="1F4E79"/>
          <w:sz w:val="19"/>
        </w:rPr>
        <w:t>Limitations</w:t>
      </w:r>
    </w:p>
    <w:p>
      <w:pPr>
        <w:pStyle w:val="ListBullet"/>
        <w:spacing w:before="0" w:after="60" w:line="293" w:lineRule="auto"/>
        <w:ind w:left="351" w:hanging="193"/>
      </w:pPr>
      <w:r>
        <w:rPr>
          <w:rFonts w:ascii="Arial" w:hAnsi="Arial" w:cs="Arial" w:eastAsia="Arial"/>
          <w:color w:val="1B2733"/>
          <w:sz w:val="19"/>
        </w:rPr>
        <w:t>Single-date imagery</w:t>
      </w:r>
    </w:p>
    <w:p>
      <w:pPr>
        <w:pStyle w:val="ListBullet"/>
        <w:spacing w:before="0" w:after="60" w:line="293" w:lineRule="auto"/>
        <w:ind w:left="351" w:hanging="193"/>
      </w:pPr>
      <w:r>
        <w:rPr>
          <w:rFonts w:ascii="Arial" w:hAnsi="Arial" w:cs="Arial" w:eastAsia="Arial"/>
          <w:color w:val="1B2733"/>
          <w:sz w:val="19"/>
        </w:rPr>
        <w:t>Unknown time of day</w:t>
      </w:r>
    </w:p>
    <w:p>
      <w:pPr>
        <w:pStyle w:val="ListBullet"/>
        <w:spacing w:before="0" w:after="60" w:line="293" w:lineRule="auto"/>
        <w:ind w:left="351" w:hanging="193"/>
      </w:pPr>
      <w:r>
        <w:rPr>
          <w:rFonts w:ascii="Arial" w:hAnsi="Arial" w:cs="Arial" w:eastAsia="Arial"/>
          <w:color w:val="1B2733"/>
          <w:sz w:val="19"/>
        </w:rPr>
        <w:t>No historical activity baseline</w:t>
      </w:r>
    </w:p>
    <w:p>
      <w:pPr>
        <w:pStyle w:val="Heading1"/>
        <w:keepNext/>
        <w:spacing w:before="280" w:after="60" w:line="252" w:lineRule="auto"/>
        <w:pBdr>
          <w:bottom w:val="single" w:sz="12" w:space="4" w:color="1F4E79"/>
        </w:pBdr>
      </w:pPr>
      <w:r>
        <w:rPr>
          <w:rFonts w:ascii="Arial" w:hAnsi="Arial" w:cs="Arial" w:eastAsia="Arial"/>
          <w:b/>
          <w:color w:val="1F4E79"/>
          <w:sz w:val="30"/>
        </w:rPr>
        <w:t>Conclusion</w:t>
      </w:r>
    </w:p>
    <w:p>
      <w:pPr>
        <w:spacing w:before="0" w:after="120" w:line="307" w:lineRule="auto"/>
      </w:pPr>
      <w:r>
        <w:rPr>
          <w:rFonts w:ascii="Arial" w:hAnsi="Arial" w:cs="Arial" w:eastAsia="Arial"/>
          <w:b w:val="0"/>
          <w:i w:val="0"/>
          <w:color w:val="1B2733"/>
          <w:sz w:val="19"/>
        </w:rPr>
        <w:t>The analyzed facility represents a large multimodal regional distribution hub currently operating below maximum capacity. Low dock utilization combined with moderate yard loading and minimal queuing indicates stable operations with significant available throughput margin. The site is well-positioned to absorb near-term demand increases without infrastructure expansion.</w:t>
      </w:r>
    </w:p>
    <w:sectPr w:rsidR="00FC693F" w:rsidRPr="0006063C" w:rsidSect="00034616">
      <w:headerReference w:type="default" r:id="rId9"/>
      <w:footerReference w:type="default" r:id="rId10"/>
      <w:pgSz w:w="11906" w:h="16838"/>
      <w:pgMar w:top="1191" w:right="1304" w:bottom="1134" w:left="1304" w:header="680"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F6B"/>
        <w:sz w:val="15"/>
      </w:rPr>
      <w:t xml:space="preserve">Page </w:t>
    </w:r>
    <w:r>
      <w:rPr>
        <w:rFonts w:ascii="Arial" w:hAnsi="Arial"/>
        <w:color w:val="555F6B"/>
        <w:sz w:val="15"/>
      </w:rPr>
      <w:fldChar w:fldCharType="begin"/>
      <w:instrText xml:space="preserve"> PAGE </w:instrText>
      <w:fldChar w:fldCharType="separate"/>
      <w:fldChar w:fldCharType="end"/>
    </w:r>
    <w:r>
      <w:rPr>
        <w:rFonts w:ascii="Arial" w:hAnsi="Arial"/>
        <w:color w:val="555F6B"/>
        <w:sz w:val="15"/>
      </w:rPr>
      <w:t xml:space="preserve"> of </w:t>
    </w:r>
    <w:r>
      <w:rPr>
        <w:rFonts w:ascii="Arial" w:hAnsi="Arial"/>
        <w:color w:val="555F6B"/>
        <w:sz w:val="15"/>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7CDD4"/>
      </w:pBdr>
    </w:pPr>
    <w:r>
      <w:rPr>
        <w:rFonts w:ascii="Arial" w:hAnsi="Arial"/>
        <w:color w:val="555F6B"/>
        <w:sz w:val="15"/>
      </w:rPr>
      <w:t>Multimodal Distribution Hub — Throughput and Surge Capacity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Arial" w:hAnsi="Arial" w:eastAsia="Arial"/>
      <w:color w:val="1B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Arial" w:hAnsi="Arial" w:cs="Arial" w:eastAsia="Arial"/>
      <w:b/>
      <w:bCs/>
      <w:i w:val="0"/>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rial" w:hAnsi="Arial" w:cs="Arial" w:eastAsia="Arial"/>
      <w:b/>
      <w:bCs/>
      <w:i w:val="0"/>
      <w:color w:val="1B2733"/>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cs="Arial" w:eastAsia="Arial"/>
      <w:b/>
      <w:bCs/>
      <w:i w:val="0"/>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