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spacing w:before="40" w:after="160"/>
        <w:pBdr>
          <w:bottom w:val="single" w:sz="18" w:space="1" w:color="1F4E79"/>
        </w:pBdr>
      </w:pPr>
    </w:p>
    <w:p>
      <w:pPr>
        <w:spacing w:before="0" w:after="280" w:line="264" w:lineRule="auto"/>
      </w:pPr>
      <w:r>
        <w:rPr>
          <w:rFonts w:ascii="Arial" w:hAnsi="Arial" w:cs="Arial" w:eastAsia="Arial"/>
          <w:b/>
          <w:i w:val="0"/>
          <w:color w:val="1F4E79"/>
          <w:sz w:val="18"/>
        </w:rPr>
        <w:t>GEOINT ASSESSMENT</w:t>
      </w:r>
    </w:p>
    <w:p>
      <w:pPr>
        <w:spacing w:before="0" w:after="80" w:line="245" w:lineRule="auto"/>
      </w:pPr>
      <w:r>
        <w:rPr>
          <w:rFonts w:ascii="Arial" w:hAnsi="Arial" w:cs="Arial" w:eastAsia="Arial"/>
          <w:b/>
          <w:i w:val="0"/>
          <w:color w:val="1B2733"/>
          <w:sz w:val="54"/>
        </w:rPr>
        <w:t>Rocket Lab Launch Complex-1 (LC-1), Mahia Peninsula, New Zealand</w:t>
      </w:r>
    </w:p>
    <w:p>
      <w:pPr>
        <w:spacing w:before="0" w:after="160" w:line="254" w:lineRule="auto"/>
      </w:pPr>
      <w:r>
        <w:rPr>
          <w:rFonts w:ascii="Arial" w:hAnsi="Arial" w:cs="Arial" w:eastAsia="Arial"/>
          <w:b w:val="0"/>
          <w:i w:val="0"/>
          <w:color w:val="1F4E79"/>
          <w:sz w:val="34"/>
        </w:rPr>
        <w:t>Operational Capacity Evaluation</w:t>
      </w:r>
    </w:p>
    <w:p>
      <w:pPr>
        <w:spacing w:before="0" w:after="320" w:line="264" w:lineRule="auto"/>
      </w:pPr>
      <w:r>
        <w:rPr>
          <w:rFonts w:ascii="Arial" w:hAnsi="Arial" w:cs="Arial" w:eastAsia="Arial"/>
          <w:b w:val="0"/>
          <w:i w:val="0"/>
          <w:color w:val="555F6B"/>
          <w:sz w:val="22"/>
        </w:rPr>
        <w:t>Mahia Peninsula, New Zealand</w:t>
      </w:r>
    </w:p>
    <w:p>
      <w:pPr>
        <w:spacing w:before="40" w:after="160"/>
        <w:pBdr>
          <w:bottom w:val="single" w:sz="18" w:space="1" w:color="1F4E79"/>
        </w:pBdr>
      </w:pPr>
    </w:p>
    <w:p>
      <w:pPr>
        <w:spacing w:before="0" w:after="20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32"/>
        <w:gridCol w:w="7066"/>
      </w:tblGrid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color w:val="1F4E79"/>
                <w:sz w:val="17"/>
              </w:rPr>
              <w:t>Assessment type</w:t>
            </w:r>
          </w:p>
        </w:tc>
        <w:tc>
          <w:tcPr>
            <w:tcW w:type="dxa" w:w="7066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color w:val="1B2733"/>
                <w:sz w:val="18"/>
              </w:rPr>
              <w:t>GEOINT assessment — operational capacity evaluation</w:t>
            </w:r>
          </w:p>
        </w:tc>
      </w:tr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color w:val="1F4E79"/>
                <w:sz w:val="17"/>
              </w:rPr>
              <w:t>Launch complex</w:t>
            </w:r>
          </w:p>
        </w:tc>
        <w:tc>
          <w:tcPr>
            <w:tcW w:type="dxa" w:w="7066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color w:val="1B2733"/>
                <w:sz w:val="18"/>
              </w:rPr>
              <w:t>Rocket Lab Launch Complex-1 (LC-1), Mahia Peninsula, New Zealand</w:t>
            </w:r>
          </w:p>
        </w:tc>
      </w:tr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color w:val="1F4E79"/>
                <w:sz w:val="17"/>
              </w:rPr>
              <w:t>Launch vehicle</w:t>
            </w:r>
          </w:p>
        </w:tc>
        <w:tc>
          <w:tcPr>
            <w:tcW w:type="dxa" w:w="7066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color w:val="1B2733"/>
                <w:sz w:val="18"/>
              </w:rPr>
              <w:t>Electron</w:t>
            </w:r>
          </w:p>
        </w:tc>
      </w:tr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color w:val="1F4E79"/>
                <w:sz w:val="17"/>
              </w:rPr>
              <w:t>Launch pads</w:t>
            </w:r>
          </w:p>
        </w:tc>
        <w:tc>
          <w:tcPr>
            <w:tcW w:type="dxa" w:w="7066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color w:val="1B2733"/>
                <w:sz w:val="18"/>
              </w:rPr>
              <w:t>2 (LC-1A, LC-1B)</w:t>
            </w:r>
          </w:p>
        </w:tc>
      </w:tr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color w:val="1F4E79"/>
                <w:sz w:val="17"/>
              </w:rPr>
              <w:t>Estimated maximum sustainable capacity</w:t>
            </w:r>
          </w:p>
        </w:tc>
        <w:tc>
          <w:tcPr>
            <w:tcW w:type="dxa" w:w="7066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color w:val="1B2733"/>
                <w:sz w:val="18"/>
              </w:rPr>
              <w:t>40–55 launches per year (moderate confidence)</w:t>
            </w:r>
          </w:p>
        </w:tc>
      </w:tr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color w:val="1F4E79"/>
                <w:sz w:val="17"/>
              </w:rPr>
              <w:t>Observed turnaround</w:t>
            </w:r>
          </w:p>
        </w:tc>
        <w:tc>
          <w:tcPr>
            <w:tcW w:type="dxa" w:w="7066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color w:val="1B2733"/>
                <w:sz w:val="18"/>
              </w:rPr>
              <w:t>~14 days per pad; technical minimum ~48 hours</w:t>
            </w:r>
          </w:p>
        </w:tc>
      </w:tr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color w:val="1F4E79"/>
                <w:sz w:val="17"/>
              </w:rPr>
              <w:t>Highest observed annual total</w:t>
            </w:r>
          </w:p>
        </w:tc>
        <w:tc>
          <w:tcPr>
            <w:tcW w:type="dxa" w:w="7066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color w:val="1B2733"/>
                <w:sz w:val="18"/>
              </w:rPr>
              <w:t>21 launches in 2025</w:t>
            </w:r>
          </w:p>
        </w:tc>
      </w:tr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color w:val="1F4E79"/>
                <w:sz w:val="17"/>
              </w:rPr>
              <w:t>Rocket production</w:t>
            </w:r>
          </w:p>
        </w:tc>
        <w:tc>
          <w:tcPr>
            <w:tcW w:type="dxa" w:w="7066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color w:val="1B2733"/>
                <w:sz w:val="18"/>
              </w:rPr>
              <w:t>Rocket Lab Auckland manufacturing facility, New Zealand (off-site)</w:t>
            </w:r>
          </w:p>
        </w:tc>
      </w:tr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color w:val="1F4E79"/>
                <w:sz w:val="17"/>
              </w:rPr>
              <w:t>Source basis</w:t>
            </w:r>
          </w:p>
        </w:tc>
        <w:tc>
          <w:tcPr>
            <w:tcW w:type="dxa" w:w="7066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color w:val="1B2733"/>
                <w:sz w:val="18"/>
              </w:rPr>
              <w:t>Commercial satellite imagery (Google Earth and equivalent platforms); public launch records and mission timelines; Rocket Lab official statements and investor materials; industry media and independent spaceflight tracking</w:t>
            </w:r>
          </w:p>
        </w:tc>
      </w:tr>
    </w:tbl>
    <w:p>
      <w:pPr>
        <w:spacing w:before="0" w:after="28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val="clear" w:color="auto" w:fill="EEF3F8"/>
          </w:tcPr>
          <w:p>
            <w:r/>
            <w:r>
              <w:rPr>
                <w:rFonts w:ascii="Arial" w:hAnsi="Arial" w:cs="Arial" w:eastAsia="Arial"/>
                <w:b/>
                <w:color w:val="1F4E79"/>
                <w:sz w:val="15"/>
              </w:rPr>
              <w:t>RESEARCH QUESTION</w:t>
            </w:r>
          </w:p>
          <w:p>
            <w:pPr>
              <w:spacing w:before="20" w:after="0" w:line="288" w:lineRule="auto"/>
            </w:pPr>
            <w:r>
              <w:rPr>
                <w:rFonts w:ascii="Arial" w:hAnsi="Arial" w:cs="Arial" w:eastAsia="Arial"/>
                <w:b/>
                <w:color w:val="1B2733"/>
                <w:sz w:val="19"/>
              </w:rPr>
              <w:t>What is the maximum sustainable annual launch throughput of LC-1, and which factors constrain it?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spacing w:before="0" w:after="16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spacing w:before="0" w:after="0" w:line="312" w:lineRule="auto"/>
      </w:pPr>
      <w:r>
        <w:rPr>
          <w:rFonts w:ascii="Arial" w:hAnsi="Arial" w:cs="Arial" w:eastAsia="Arial"/>
          <w:b w:val="0"/>
          <w:i/>
          <w:color w:val="555F6B"/>
          <w:sz w:val="17"/>
        </w:rPr>
        <w:t>Prepared from public sources only. No private, paid or non-public data was used.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Executive Summary (Key Judgments)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Estimated sustainable maximum capacity: 40-55 launches per year (moderate confidence)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Two independent launch pads (LC-1A, LC-1B) enable parallel operations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Observed operational turnaround suggests ~26 launches per pad annually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Primary system constraint: rocket manufacturing and delivery, not launch infrastructure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Current activity levels remain below infrastructure capacity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Operational activity is highly observable ; significant undeclared capacity is unlikely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val="clear" w:color="auto" w:fill="EEF3F8"/>
          </w:tcPr>
          <w:p>
            <w:r/>
            <w:r>
              <w:rPr>
                <w:rFonts w:ascii="Arial" w:hAnsi="Arial" w:cs="Arial" w:eastAsia="Arial"/>
                <w:b/>
                <w:color w:val="1F4E79"/>
                <w:sz w:val="15"/>
              </w:rPr>
              <w:t>IMPLICATION</w:t>
            </w:r>
          </w:p>
          <w:p>
            <w:pPr>
              <w:spacing w:before="20" w:after="0" w:line="288" w:lineRule="auto"/>
            </w:pPr>
            <w:r>
              <w:rPr>
                <w:rFonts w:ascii="Arial" w:hAnsi="Arial" w:cs="Arial" w:eastAsia="Arial"/>
                <w:b/>
                <w:color w:val="1B2733"/>
                <w:sz w:val="19"/>
              </w:rPr>
              <w:t>Schedule risk is primarily driven by production variability rather than launch site limitations.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Client Context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This assessment was conducted to support a commercial evaluation of launch availability, schedule reliability, and operational scalability for small satellite missions. The analysis estimates the maximum sustainable operational capacity of Launch Complex-1 based on: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satellite imagery (GEOINT)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open-source reporting (OSINT)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observed operational patterns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system-level infrastructure logic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Historical launch data is used as a baseline for realism , not as a direct measure of capacity.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Analytical Objective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Key question: What is the maximum sustainable annual launch throughput of LC-1, and which factors constrain it? The assessment evaluates: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launch infrastructure structure and scale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ability to conduct parallel operations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minimum sustainable turnaround time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system bottlenecks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production and logistics dependencies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operational transparency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likelihood of undisclosed capacity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1. Launch Infrastructure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Satellite analysis and open-source confirmation indicate two active launch pads : LC-1A and LC-1B. Observations: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Spatial separation between pads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Independent access routes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Separate safety exclusion areas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No observable shared critical infrastructure limiting independent use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This configuration indicates the capability for parallel launch preparation and execution . Infrastructure scale and layout are compact and centralized, with no observable excess or reserve launch capacity .</w:t>
      </w:r>
    </w:p>
    <w:p>
      <w:pPr>
        <w:spacing w:before="60" w:after="20" w:line="264" w:lineRule="auto"/>
      </w:pPr>
      <w:r>
        <w:rPr>
          <w:rFonts w:ascii="Arial" w:hAnsi="Arial" w:cs="Arial" w:eastAsia="Arial"/>
          <w:b/>
          <w:i/>
          <w:color w:val="1F4E79"/>
          <w:sz w:val="16"/>
        </w:rPr>
        <w:t>Assessment</w:t>
      </w:r>
    </w:p>
    <w:p>
      <w:pPr>
        <w:keepNext/>
        <w:spacing w:before="0" w:after="120" w:line="307" w:lineRule="auto"/>
      </w:pPr>
      <w:r>
        <w:rPr>
          <w:rFonts w:ascii="Arial" w:hAnsi="Arial" w:cs="Arial" w:eastAsia="Arial"/>
          <w:b w:val="0"/>
          <w:i/>
          <w:color w:val="1B2733"/>
          <w:sz w:val="19"/>
        </w:rPr>
        <w:t>Launch infrastructure supports parallel operations with no identified pad-related bottlenecks.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Confidence: High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2. Minimum Launch Interval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Confirmed operational data indicates that in 2025 the site supported two launches within less than 48 hours . This is assessed as short-term surge capability , not a sustainable operating tempo. Observed operational patterns show: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Typical intervals of approximately two weeks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Periods of up to four launches per month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Estimated sustainable turnaround per pad: 365 / 14 ≈ 26 launches per year</w:t>
      </w:r>
    </w:p>
    <w:p>
      <w:pPr>
        <w:spacing w:before="60" w:after="20" w:line="264" w:lineRule="auto"/>
      </w:pPr>
      <w:r>
        <w:rPr>
          <w:rFonts w:ascii="Arial" w:hAnsi="Arial" w:cs="Arial" w:eastAsia="Arial"/>
          <w:b/>
          <w:i/>
          <w:color w:val="1F4E79"/>
          <w:sz w:val="16"/>
        </w:rPr>
        <w:t>Assessment</w:t>
      </w:r>
    </w:p>
    <w:p>
      <w:pPr>
        <w:keepNext/>
        <w:spacing w:before="0" w:after="120" w:line="307" w:lineRule="auto"/>
      </w:pPr>
      <w:r>
        <w:rPr>
          <w:rFonts w:ascii="Arial" w:hAnsi="Arial" w:cs="Arial" w:eastAsia="Arial"/>
          <w:b w:val="0"/>
          <w:i/>
          <w:color w:val="1B2733"/>
          <w:sz w:val="19"/>
        </w:rPr>
        <w:t>Technical minimum ~48 hours; sustainable operational tempo ~26 launches annually per pad.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Confidence: Moderate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3. Integration and Processing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Electron rocket production and final assembly occur off-site at Rocket Lab’s Auckland manufacturing facility. Imagery of LC-1 shows: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Limited processing infrastructure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No large multi-bay integration complexes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This configuration indicates the launch site functions primarily as an operational processing and launch location , with manufacturing externalized.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val="clear" w:color="auto" w:fill="EEF3F8"/>
          </w:tcPr>
          <w:p>
            <w:r/>
            <w:r>
              <w:rPr>
                <w:rFonts w:ascii="Arial" w:hAnsi="Arial" w:cs="Arial" w:eastAsia="Arial"/>
                <w:b/>
                <w:color w:val="1F4E79"/>
                <w:sz w:val="15"/>
              </w:rPr>
              <w:t>SYSTEM IMPLICATION</w:t>
            </w:r>
          </w:p>
          <w:p>
            <w:pPr>
              <w:spacing w:before="20" w:after="0" w:line="288" w:lineRule="auto"/>
            </w:pPr>
            <w:r>
              <w:rPr>
                <w:rFonts w:ascii="Arial" w:hAnsi="Arial" w:cs="Arial" w:eastAsia="Arial"/>
                <w:b/>
                <w:color w:val="1B2733"/>
                <w:sz w:val="19"/>
              </w:rPr>
              <w:t>Overall launch rate depends on production throughput and delivery cadence.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spacing w:before="60" w:after="20" w:line="264" w:lineRule="auto"/>
      </w:pPr>
      <w:r>
        <w:rPr>
          <w:rFonts w:ascii="Arial" w:hAnsi="Arial" w:cs="Arial" w:eastAsia="Arial"/>
          <w:b/>
          <w:i/>
          <w:color w:val="1F4E79"/>
          <w:sz w:val="16"/>
        </w:rPr>
        <w:t>Assessment</w:t>
      </w:r>
    </w:p>
    <w:p>
      <w:pPr>
        <w:keepNext/>
        <w:spacing w:before="0" w:after="120" w:line="307" w:lineRule="auto"/>
      </w:pPr>
      <w:r>
        <w:rPr>
          <w:rFonts w:ascii="Arial" w:hAnsi="Arial" w:cs="Arial" w:eastAsia="Arial"/>
          <w:b w:val="0"/>
          <w:i/>
          <w:color w:val="1B2733"/>
          <w:sz w:val="19"/>
        </w:rPr>
        <w:t>Primary system bottleneck is likely external manufacturing capacity rather than launch infrastructure.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Confidence: High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4. Logistics and Site Context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LC-1 is located on a remote coastal peninsula with: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Single primary road access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No industrial clusters within ~5 km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Surrounding land primarily agricultural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Infrastructure is compact and centralized. No distributed storage or auxiliary operational zones were observed. For a small-class launch vehicle, the logistics model appears sufficient and not capacity-limiting . No observable indicators of: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hidden operational areas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additional launch positions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distributed support infrastructure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Confidence: Moderate-High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5. Production Capacity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Rocket Lab has publicly stated long-term production goals of approximately one Electron per week (~52 per year) . Actual performance: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21 launches in 2025 (highest observed annual total)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This indicates current production supports &gt;20 launches annually but remains below stated targets. Comparison with launch infrastructure capacity suggests production rate will determine achievable system throughput .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Confidence: Moderate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6. Historical Launch Activity</w:t>
      </w:r>
    </w:p>
    <w:p>
      <w:pPr>
        <w:keepNext/>
        <w:spacing w:before="160" w:after="80" w:line="264" w:lineRule="auto"/>
      </w:pPr>
      <w:r>
        <w:rPr>
          <w:rFonts w:ascii="Arial" w:hAnsi="Arial" w:cs="Arial" w:eastAsia="Arial"/>
          <w:b/>
          <w:i w:val="0"/>
          <w:color w:val="1F4E79"/>
          <w:sz w:val="15"/>
        </w:rPr>
        <w:t>Table 1. Electron launches by year, as stated in the source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81"/>
        <w:gridCol w:w="4317"/>
      </w:tblGrid>
      <w:tr>
        <w:trPr>
          <w:tblHeader/>
        </w:trPr>
        <w:tc>
          <w:tcPr>
            <w:tcW w:type="dxa" w:w="4981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4317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Launches</w:t>
            </w:r>
          </w:p>
        </w:tc>
      </w:tr>
      <w:tr>
        <w:tc>
          <w:tcPr>
            <w:tcW w:type="dxa" w:w="4981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2022</w:t>
            </w:r>
          </w:p>
        </w:tc>
        <w:tc>
          <w:tcPr>
            <w:tcW w:type="dxa" w:w="4317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9</w:t>
            </w:r>
          </w:p>
        </w:tc>
      </w:tr>
      <w:tr>
        <w:tc>
          <w:tcPr>
            <w:tcW w:type="dxa" w:w="4981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2023</w:t>
            </w:r>
          </w:p>
        </w:tc>
        <w:tc>
          <w:tcPr>
            <w:tcW w:type="dxa" w:w="4317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10</w:t>
            </w:r>
          </w:p>
        </w:tc>
      </w:tr>
      <w:tr>
        <w:tc>
          <w:tcPr>
            <w:tcW w:type="dxa" w:w="4981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2025</w:t>
            </w:r>
          </w:p>
        </w:tc>
        <w:tc>
          <w:tcPr>
            <w:tcW w:type="dxa" w:w="4317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21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keepNext/>
        <w:spacing w:before="160" w:after="60" w:line="264" w:lineRule="auto"/>
      </w:pPr>
      <w:r>
        <w:rPr>
          <w:rFonts w:ascii="Arial" w:hAnsi="Arial" w:cs="Arial" w:eastAsia="Arial"/>
          <w:b/>
          <w:i w:val="0"/>
          <w:color w:val="1F4E79"/>
          <w:sz w:val="15"/>
        </w:rPr>
        <w:t>Figure 1. Electron launches by year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69130" cy="2141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unches_by_y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9130" cy="214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Arial" w:hAnsi="Arial" w:cs="Arial" w:eastAsia="Arial"/>
          <w:b w:val="0"/>
          <w:i/>
          <w:color w:val="555F6B"/>
          <w:sz w:val="15"/>
        </w:rPr>
        <w:t>Chart of the annual launch counts stated in the source: 2022 - 9, 2023 - 10, 2025 - 21. The source lists no figure for 2024 and no bar is shown for that year; the gap is not a zero. These are observed launch counts, not a capacity estimate.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2025 21 Trend indicates increasing operational utilization , though current activity remains well below calculated infrastructure capacity.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Confidence: High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7. Operational Transparency and Observability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Operational activity is highly visible: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Public launch announcements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Live mission broadcasts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Independent tracking by industry media and analytical communities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Given: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small infrastructure footprint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limited number of launch positions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high public visibility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The existence of significant undisclosed operational capacity is assessed as unlikely .</w:t>
      </w:r>
    </w:p>
    <w:p>
      <w:pPr>
        <w:spacing w:before="60" w:after="20" w:line="264" w:lineRule="auto"/>
      </w:pPr>
      <w:r>
        <w:rPr>
          <w:rFonts w:ascii="Arial" w:hAnsi="Arial" w:cs="Arial" w:eastAsia="Arial"/>
          <w:b/>
          <w:i/>
          <w:color w:val="1F4E79"/>
          <w:sz w:val="16"/>
        </w:rPr>
        <w:t>Assessment</w:t>
      </w:r>
    </w:p>
    <w:p>
      <w:pPr>
        <w:keepNext/>
        <w:spacing w:before="0" w:after="120" w:line="307" w:lineRule="auto"/>
      </w:pPr>
      <w:r>
        <w:rPr>
          <w:rFonts w:ascii="Arial" w:hAnsi="Arial" w:cs="Arial" w:eastAsia="Arial"/>
          <w:b w:val="0"/>
          <w:i/>
          <w:color w:val="1B2733"/>
          <w:sz w:val="19"/>
        </w:rPr>
        <w:t>Operational activity is highly transparent; substantial discrepancies between actual and declared activity would likely be detected.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Confidence: High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8. System Capacity Model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Parameters: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Launch pads: 2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Sustainable turnaround: ~14 days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cs="Arial" w:eastAsia="Arial"/>
          <w:b/>
          <w:color w:val="1F4E79"/>
          <w:sz w:val="19"/>
        </w:rPr>
        <w:t>Calculation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≈ 26 launches per pad annually ≈ 52 launches per year theoretical sustainable maximum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cs="Arial" w:eastAsia="Arial"/>
          <w:b/>
          <w:color w:val="1F4E79"/>
          <w:sz w:val="19"/>
        </w:rPr>
        <w:t>Real-world adjustments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production constraints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weather and operational disruptions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demand variability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Capacity Scenarios</w:t>
      </w:r>
    </w:p>
    <w:p>
      <w:pPr>
        <w:keepNext/>
        <w:spacing w:before="160" w:after="80" w:line="264" w:lineRule="auto"/>
      </w:pPr>
      <w:r>
        <w:rPr>
          <w:rFonts w:ascii="Arial" w:hAnsi="Arial" w:cs="Arial" w:eastAsia="Arial"/>
          <w:b/>
          <w:i w:val="0"/>
          <w:color w:val="1F4E79"/>
          <w:sz w:val="15"/>
        </w:rPr>
        <w:t>Table 2. Capacity scenarios, as stated in the source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22"/>
        <w:gridCol w:w="3676"/>
      </w:tblGrid>
      <w:tr>
        <w:trPr>
          <w:tblHeader/>
        </w:trPr>
        <w:tc>
          <w:tcPr>
            <w:tcW w:type="dxa" w:w="5622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676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Annual Launches</w:t>
            </w:r>
          </w:p>
        </w:tc>
      </w:tr>
      <w:tr>
        <w:tc>
          <w:tcPr>
            <w:tcW w:type="dxa" w:w="5622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Conservative</w:t>
            </w:r>
          </w:p>
        </w:tc>
        <w:tc>
          <w:tcPr>
            <w:tcW w:type="dxa" w:w="3676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25-30</w:t>
            </w:r>
          </w:p>
        </w:tc>
      </w:tr>
      <w:tr>
        <w:tc>
          <w:tcPr>
            <w:tcW w:type="dxa" w:w="5622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Most likely</w:t>
            </w:r>
          </w:p>
        </w:tc>
        <w:tc>
          <w:tcPr>
            <w:tcW w:type="dxa" w:w="3676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35-45</w:t>
            </w:r>
          </w:p>
        </w:tc>
      </w:tr>
      <w:tr>
        <w:tc>
          <w:tcPr>
            <w:tcW w:type="dxa" w:w="5622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Maximum sustainable</w:t>
            </w:r>
          </w:p>
        </w:tc>
        <w:tc>
          <w:tcPr>
            <w:tcW w:type="dxa" w:w="3676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40-55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keepNext/>
        <w:spacing w:before="160" w:after="60" w:line="264" w:lineRule="auto"/>
      </w:pPr>
      <w:r>
        <w:rPr>
          <w:rFonts w:ascii="Arial" w:hAnsi="Arial" w:cs="Arial" w:eastAsia="Arial"/>
          <w:b/>
          <w:i w:val="0"/>
          <w:color w:val="1F4E79"/>
          <w:sz w:val="15"/>
        </w:rPr>
        <w:t>Figure 2. Capacity scenarios and highest observed annual total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23384" cy="1857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pacity_scena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3384" cy="1857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Arial" w:hAnsi="Arial" w:cs="Arial" w:eastAsia="Arial"/>
          <w:b w:val="0"/>
          <w:i/>
          <w:color w:val="555F6B"/>
          <w:sz w:val="15"/>
        </w:rPr>
        <w:t>Range bars are the annual launch-count scenarios stated in the source: Conservative 25-30, Most likely 35-45, Maximum sustainable 40-55. The single marker is the source's highest observed annual total, 21 launches in 2025. The source states no figure for 2024. Bar extent is the stated range only; no midpoint or projection has been derived.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Risk Assessment</w:t>
      </w:r>
    </w:p>
    <w:p>
      <w:pPr>
        <w:keepNext/>
        <w:spacing w:before="160" w:after="80" w:line="264" w:lineRule="auto"/>
      </w:pPr>
      <w:r>
        <w:rPr>
          <w:rFonts w:ascii="Arial" w:hAnsi="Arial" w:cs="Arial" w:eastAsia="Arial"/>
          <w:b/>
          <w:i w:val="0"/>
          <w:color w:val="1F4E79"/>
          <w:sz w:val="15"/>
        </w:rPr>
        <w:t>Table 3. Risk assessment, as stated in the source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0"/>
        <w:gridCol w:w="2214"/>
        <w:gridCol w:w="2214"/>
      </w:tblGrid>
      <w:tr>
        <w:trPr>
          <w:tblHeader/>
        </w:trPr>
        <w:tc>
          <w:tcPr>
            <w:tcW w:type="dxa" w:w="4870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2214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2214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Confidence</w:t>
            </w:r>
          </w:p>
        </w:tc>
      </w:tr>
      <w:tr>
        <w:tc>
          <w:tcPr>
            <w:tcW w:type="dxa" w:w="4870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Launch infrastructure bottleneck</w:t>
            </w:r>
          </w:p>
        </w:tc>
        <w:tc>
          <w:tcPr>
            <w:tcW w:type="dxa" w:w="2214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Low</w:t>
            </w:r>
          </w:p>
        </w:tc>
        <w:tc>
          <w:tcPr>
            <w:tcW w:type="dxa" w:w="2214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High</w:t>
            </w:r>
          </w:p>
        </w:tc>
      </w:tr>
      <w:tr>
        <w:tc>
          <w:tcPr>
            <w:tcW w:type="dxa" w:w="4870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Production constraint</w:t>
            </w:r>
          </w:p>
        </w:tc>
        <w:tc>
          <w:tcPr>
            <w:tcW w:type="dxa" w:w="2214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Moderate</w:t>
            </w:r>
          </w:p>
        </w:tc>
        <w:tc>
          <w:tcPr>
            <w:tcW w:type="dxa" w:w="2214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Moderate</w:t>
            </w:r>
          </w:p>
        </w:tc>
      </w:tr>
      <w:tr>
        <w:tc>
          <w:tcPr>
            <w:tcW w:type="dxa" w:w="4870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Weather/operational delays</w:t>
            </w:r>
          </w:p>
        </w:tc>
        <w:tc>
          <w:tcPr>
            <w:tcW w:type="dxa" w:w="2214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Moderate</w:t>
            </w:r>
          </w:p>
        </w:tc>
        <w:tc>
          <w:tcPr>
            <w:tcW w:type="dxa" w:w="2214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Moderate</w:t>
            </w:r>
          </w:p>
        </w:tc>
      </w:tr>
      <w:tr>
        <w:tc>
          <w:tcPr>
            <w:tcW w:type="dxa" w:w="4870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Hidden capacity risk</w:t>
            </w:r>
          </w:p>
        </w:tc>
        <w:tc>
          <w:tcPr>
            <w:tcW w:type="dxa" w:w="2214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Low</w:t>
            </w:r>
          </w:p>
        </w:tc>
        <w:tc>
          <w:tcPr>
            <w:tcW w:type="dxa" w:w="2214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High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Final Assessment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Estimated maximum sustainable capacity: 40-55 launches per year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Primary limiting factor: Rocket production and delivery, not launch infrastructure.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Confidence: Moderate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val="clear" w:color="auto" w:fill="EEF3F8"/>
          </w:tcPr>
          <w:p>
            <w:r/>
            <w:r>
              <w:rPr>
                <w:rFonts w:ascii="Arial" w:hAnsi="Arial" w:cs="Arial" w:eastAsia="Arial"/>
                <w:b/>
                <w:color w:val="1F4E79"/>
                <w:sz w:val="15"/>
              </w:rPr>
              <w:t>TRANSPARENCY ASSESSMENT</w:t>
            </w:r>
          </w:p>
          <w:p>
            <w:pPr>
              <w:spacing w:before="20" w:after="0" w:line="288" w:lineRule="auto"/>
            </w:pPr>
            <w:r>
              <w:rPr>
                <w:rFonts w:ascii="Arial" w:hAnsi="Arial" w:cs="Arial" w:eastAsia="Arial"/>
                <w:b/>
                <w:color w:val="1B2733"/>
                <w:sz w:val="19"/>
              </w:rPr>
              <w:t>Operational activity is highly observable; significant deviations from declared or observed utilization are unlikely to remain undetected.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System-Level Judgment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Launch Complex-1 represents a compact, centralized commercial spaceport optimized for high-frequency small-launch operations. The presence of two independent launch pads provides excess launch capacity relative to current utilization . Available evidence indicates that system throughput is constrained primarily by manufacturing scale and operational demand , rather than by launch site infrastructure. No observable indicators suggest hidden infrastructure or additional undisclosed launch capability.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Sources (Data Types)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Commercial satellite imagery (Google Earth and equivalent platforms)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Public launch records and mission timelines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Rocket Lab official statements and investor materials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Industry media and independent spaceflight tracking resources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Analytical Limitations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No access to internal production or scheduling data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Weather impacts not quantitatively modeled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Customer backlog and demand dynamics not assessed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34" w:left="1304" w:header="680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F6B"/>
        <w:sz w:val="15"/>
      </w:rPr>
      <w:t xml:space="preserve">Page </w:t>
    </w:r>
    <w:r>
      <w:rPr>
        <w:rFonts w:ascii="Arial" w:hAnsi="Arial"/>
        <w:color w:val="555F6B"/>
        <w:sz w:val="15"/>
      </w:rPr>
      <w:fldChar w:fldCharType="begin"/>
      <w:instrText xml:space="preserve"> PAGE </w:instrText>
      <w:fldChar w:fldCharType="separate"/>
      <w:fldChar w:fldCharType="end"/>
    </w:r>
    <w:r>
      <w:rPr>
        <w:rFonts w:ascii="Arial" w:hAnsi="Arial"/>
        <w:color w:val="555F6B"/>
        <w:sz w:val="15"/>
      </w:rPr>
      <w:t xml:space="preserve"> of </w:t>
    </w:r>
    <w:r>
      <w:rPr>
        <w:rFonts w:ascii="Arial" w:hAnsi="Arial"/>
        <w:color w:val="555F6B"/>
        <w:sz w:val="15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C7CDD4"/>
      </w:pBdr>
    </w:pPr>
    <w:r>
      <w:rPr>
        <w:rFonts w:ascii="Arial" w:hAnsi="Arial"/>
        <w:color w:val="555F6B"/>
        <w:sz w:val="15"/>
      </w:rPr>
      <w:t>Rocket Lab LC-1 — Operational Capacity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Arial" w:hAnsi="Arial" w:eastAsia="Arial"/>
      <w:color w:val="1B27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1B27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1F4E7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