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375F"/>
          <w:sz w:val="56"/>
        </w:rPr>
        <w:t>1С:ERP УСО 2.5</w:t>
      </w:r>
    </w:p>
    <w:p>
      <w:pPr>
        <w:jc w:val="center"/>
      </w:pPr>
      <w:r>
        <w:rPr>
          <w:rFonts w:ascii="Calibri" w:hAnsi="Calibri"/>
          <w:color w:val="2E74B5"/>
          <w:sz w:val="36"/>
        </w:rPr>
        <w:t>Сквозной пример: полный цикл операций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Организация: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4"/>
              </w:rPr>
              <w:t xml:space="preserve">  ООО «СтройГрупп»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Объект строительства: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4"/>
              </w:rPr>
              <w:t xml:space="preserve">  ЖК «Сосновый»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Заказчик: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4"/>
              </w:rPr>
              <w:t xml:space="preserve">  ООО «ГлавИнвест»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Субподрядчик: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4"/>
              </w:rPr>
              <w:t xml:space="preserve">  ООО «ЭлектроМонтаж»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Поставщик МТР: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4"/>
              </w:rPr>
              <w:t xml:space="preserve">  ООО «СтройМатериал»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Период: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4"/>
              </w:rPr>
              <w:t xml:space="preserve">  Март 2024 г.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Редакция конфигурации: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4"/>
              </w:rPr>
              <w:t xml:space="preserve">  1С:ERP УСО 2.5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rPr>
                <w:rFonts w:ascii="Calibri" w:hAnsi="Calibri"/>
                <w:b/>
                <w:sz w:val="24"/>
              </w:rPr>
              <w:t>Документ подготовлен: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4"/>
              </w:rPr>
              <w:t xml:space="preserve">  2026 г.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rPr>
          <w:rFonts w:ascii="Calibri" w:hAnsi="Calibri"/>
          <w:b/>
          <w:sz w:val="24"/>
        </w:rPr>
        <w:t xml:space="preserve">Блок 0.  </w:t>
      </w:r>
      <w:r>
        <w:rPr>
          <w:rFonts w:ascii="Calibri" w:hAnsi="Calibri"/>
          <w:sz w:val="24"/>
        </w:rPr>
        <w:t>Настройка нормативно-справочной информации (НСИ)</w:t>
      </w:r>
    </w:p>
    <w:p>
      <w:pPr>
        <w:pStyle w:val="ListNumber"/>
      </w:pPr>
      <w:r>
        <w:rPr>
          <w:rFonts w:ascii="Calibri" w:hAnsi="Calibri"/>
          <w:b/>
          <w:sz w:val="24"/>
        </w:rPr>
        <w:t xml:space="preserve">Блок 1.  </w:t>
      </w:r>
      <w:r>
        <w:rPr>
          <w:rFonts w:ascii="Calibri" w:hAnsi="Calibri"/>
          <w:sz w:val="24"/>
        </w:rPr>
        <w:t>Закупка материалов и оплата поставщику</w:t>
      </w:r>
    </w:p>
    <w:p>
      <w:pPr>
        <w:pStyle w:val="ListNumber"/>
      </w:pPr>
      <w:r>
        <w:rPr>
          <w:rFonts w:ascii="Calibri" w:hAnsi="Calibri"/>
          <w:b/>
          <w:sz w:val="24"/>
        </w:rPr>
        <w:t xml:space="preserve">Блок 2.  </w:t>
      </w:r>
      <w:r>
        <w:rPr>
          <w:rFonts w:ascii="Calibri" w:hAnsi="Calibri"/>
          <w:sz w:val="24"/>
        </w:rPr>
        <w:t>Субподрядные работы</w:t>
      </w:r>
    </w:p>
    <w:p>
      <w:pPr>
        <w:pStyle w:val="ListNumber"/>
      </w:pPr>
      <w:r>
        <w:rPr>
          <w:rFonts w:ascii="Calibri" w:hAnsi="Calibri"/>
          <w:b/>
          <w:sz w:val="24"/>
        </w:rPr>
        <w:t xml:space="preserve">Блок 3.  </w:t>
      </w:r>
      <w:r>
        <w:rPr>
          <w:rFonts w:ascii="Calibri" w:hAnsi="Calibri"/>
          <w:sz w:val="24"/>
        </w:rPr>
        <w:t>Выполнение СМР собственными силами</w:t>
      </w:r>
    </w:p>
    <w:p>
      <w:pPr>
        <w:pStyle w:val="ListNumber"/>
      </w:pPr>
      <w:r>
        <w:rPr>
          <w:rFonts w:ascii="Calibri" w:hAnsi="Calibri"/>
          <w:b/>
          <w:sz w:val="24"/>
        </w:rPr>
        <w:t xml:space="preserve">Блок 4.  </w:t>
      </w:r>
      <w:r>
        <w:rPr>
          <w:rFonts w:ascii="Calibri" w:hAnsi="Calibri"/>
          <w:sz w:val="24"/>
        </w:rPr>
        <w:t>Взаиморасчёты с заказчиком</w:t>
      </w:r>
    </w:p>
    <w:p>
      <w:pPr>
        <w:pStyle w:val="ListNumber"/>
      </w:pPr>
      <w:r>
        <w:rPr>
          <w:rFonts w:ascii="Calibri" w:hAnsi="Calibri"/>
          <w:b/>
          <w:sz w:val="24"/>
        </w:rPr>
        <w:t xml:space="preserve">Блок 5.  </w:t>
      </w:r>
      <w:r>
        <w:rPr>
          <w:rFonts w:ascii="Calibri" w:hAnsi="Calibri"/>
          <w:sz w:val="24"/>
        </w:rPr>
        <w:t>Закрытие месяца</w:t>
      </w:r>
    </w:p>
    <w:p>
      <w:pPr>
        <w:pStyle w:val="ListNumber"/>
      </w:pPr>
      <w:r>
        <w:rPr>
          <w:rFonts w:ascii="Calibri" w:hAnsi="Calibri"/>
          <w:b/>
          <w:sz w:val="24"/>
        </w:rPr>
        <w:t xml:space="preserve">Приложение А.  </w:t>
      </w:r>
      <w:r>
        <w:rPr>
          <w:rFonts w:ascii="Calibri" w:hAnsi="Calibri"/>
          <w:sz w:val="24"/>
        </w:rPr>
        <w:t>Сводная таблица 19 документов</w:t>
      </w:r>
    </w:p>
    <w:p>
      <w:pPr>
        <w:pStyle w:val="ListNumber"/>
      </w:pPr>
      <w:r>
        <w:rPr>
          <w:rFonts w:ascii="Calibri" w:hAnsi="Calibri"/>
          <w:b/>
          <w:sz w:val="24"/>
        </w:rPr>
        <w:t xml:space="preserve">Приложение Б.  </w:t>
      </w:r>
      <w:r>
        <w:rPr>
          <w:rFonts w:ascii="Calibri" w:hAnsi="Calibri"/>
          <w:sz w:val="24"/>
        </w:rPr>
        <w:t>Схема бухгалтерских проводок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Данный документ содержит пошаговое описание полного цикла работы в системе 1С:ERP Управление строительной организацией (УСО) 2.5 на примере условного предприятия ООО «СтройГрупп».</w:t>
        <w:br/>
        <w:br/>
        <w:t>Сквозной пример охватывает все ключевые бизнес-процессы строительной компании: от первоначальной настройки НСИ до подписания актов с заказчиком и закрытия отчётного периода. В каждом шаге указаны: путь в меню, обязательные реквизиты, ожидаемый результат и типичные ошибки (ловушки).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2CC"/>
          </w:tcPr>
          <w:p>
            <w:r>
              <w:rPr>
                <w:b/>
                <w:sz w:val="20"/>
              </w:rPr>
              <w:t xml:space="preserve">ℹ️ Примечание:  </w:t>
            </w:r>
            <w:r>
              <w:rPr>
                <w:sz w:val="20"/>
              </w:rPr>
              <w:t>Все пути в меню указаны для стандартного ролевого интерфейса. При индивидуальной настройке интерфейса пути могут отличаться.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2CC"/>
          </w:tcPr>
          <w:p>
            <w:r>
              <w:rPr>
                <w:b/>
                <w:sz w:val="20"/>
              </w:rPr>
              <w:t xml:space="preserve">⚠️ Внимание:  </w:t>
            </w:r>
            <w:r>
              <w:rPr>
                <w:sz w:val="20"/>
              </w:rPr>
              <w:t>Реквизиты, помеченные [требует проверки], необходимо уточнить в конкретной инсталляции системы — они могут различаться в зависимости от версии.</w:t>
            </w:r>
          </w:p>
        </w:tc>
      </w:tr>
    </w:tbl>
    <w:p/>
    <w:p>
      <w:r>
        <w:br w:type="page"/>
      </w:r>
    </w:p>
    <w:p>
      <w:pPr>
        <w:pStyle w:val="Heading1"/>
      </w:pPr>
      <w:r>
        <w:t>Блок 0. Настройка НСИ</w:t>
      </w:r>
    </w:p>
    <w:p>
      <w:r>
        <w:t>НСИ (нормативно-справочная информация) — фундамент системы. Все настройки должны быть завершены ДО ввода начальных остатков.</w:t>
      </w:r>
    </w:p>
    <w:p>
      <w:pPr>
        <w:pStyle w:val="Heading2"/>
      </w:pPr>
      <w:r>
        <w:t>0.1. Функциональные опции</w:t>
      </w:r>
    </w:p>
    <w:p>
      <w:r>
        <w:rPr>
          <w:i/>
          <w:color w:val="595959"/>
          <w:sz w:val="20"/>
        </w:rPr>
        <w:t>📂 Путь в меню:  НСИ и администрирование → Настройка НСИ и разделов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Строительное производство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✅ Включить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Управление строительными проектами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✅ Включить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Несколько складов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✅ Включить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Казначейство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✅ Включить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Бюджетирование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✅ Включить (опционально)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Управление субподрядом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✅ Включить</w:t>
            </w:r>
          </w:p>
        </w:tc>
      </w:tr>
    </w:tbl>
    <w:p/>
    <w:p>
      <w:pPr>
        <w:pStyle w:val="Heading2"/>
      </w:pPr>
      <w:r>
        <w:t>0.2. Организация и учётная политика</w:t>
      </w:r>
    </w:p>
    <w:p>
      <w:r>
        <w:rPr>
          <w:i/>
          <w:color w:val="595959"/>
          <w:sz w:val="20"/>
        </w:rPr>
        <w:t>📂 Путь в меню:  НСИ и администрирование → НСИ → Организации → ООО «СтройГрупп»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Наименование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ООО «СтройГрупп»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ИНН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7700000001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КПП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770001001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Система налогообложения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ОСН (общая)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Плательщик НДС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Да, ставка 20%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Метод оценки МПЗ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ФИФО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Вариант учёта выпуска СМР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По плановым ценам (или по фактической себестоимости)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Метод распределения сч.26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Директ-костинг (на сч.90.08)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ВАЖНО: завершить до остатков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✅ ДА — изменения учётной политики требуют перепроведения ВСЕХ документов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6CC"/>
          </w:tcPr>
          <w:p>
            <w:r>
              <w:rPr>
                <w:b/>
                <w:sz w:val="20"/>
              </w:rPr>
              <w:t xml:space="preserve">⚠️ Ловушка:  </w:t>
            </w:r>
            <w:r>
              <w:rPr>
                <w:sz w:val="20"/>
              </w:rPr>
              <w:t>P-003: Изменение учётной политики после ввода начальных остатков требует перепроведения всех документов. Планируйте изменения только на начало нового периода.</w:t>
            </w:r>
          </w:p>
        </w:tc>
      </w:tr>
    </w:tbl>
    <w:p/>
    <w:p>
      <w:pPr>
        <w:pStyle w:val="Heading2"/>
      </w:pPr>
      <w:r>
        <w:t>0.3. Структура предприятия</w:t>
      </w:r>
    </w:p>
    <w:p>
      <w:r>
        <w:rPr>
          <w:i/>
          <w:color w:val="595959"/>
          <w:sz w:val="20"/>
        </w:rPr>
        <w:t>📂 Путь в меню:  НСИ и администрирование → Структура предприятия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2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5102"/>
            <w:shd w:val="clear" w:color="auto" w:fill="F7F9FD"/>
          </w:tcPr>
          <w:p>
            <w:r>
              <w:rPr>
                <w:sz w:val="20"/>
              </w:rPr>
              <w:t>ООО «СтройГрупп» (корень)</w:t>
            </w:r>
          </w:p>
        </w:tc>
        <w:tc>
          <w:tcPr>
            <w:tcW w:type="dxa" w:w="4535"/>
            <w:shd w:val="clear" w:color="auto" w:fill="F7F9FD"/>
          </w:tcPr>
          <w:p>
            <w:r>
              <w:rPr>
                <w:sz w:val="20"/>
              </w:rPr>
              <w:t>Головная организация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Дирекция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Тип: Административное</w:t>
            </w:r>
          </w:p>
        </w:tc>
      </w:tr>
      <w:tr>
        <w:tc>
          <w:tcPr>
            <w:tcW w:type="dxa" w:w="5102"/>
            <w:shd w:val="clear" w:color="auto" w:fill="F7F9FD"/>
          </w:tcPr>
          <w:p>
            <w:r>
              <w:rPr>
                <w:sz w:val="20"/>
              </w:rPr>
              <w:t xml:space="preserve">    ПТО (производственно-технический отдел)</w:t>
            </w:r>
          </w:p>
        </w:tc>
        <w:tc>
          <w:tcPr>
            <w:tcW w:type="dxa" w:w="4535"/>
            <w:shd w:val="clear" w:color="auto" w:fill="F7F9FD"/>
          </w:tcPr>
          <w:p>
            <w:r>
              <w:rPr>
                <w:sz w:val="20"/>
              </w:rPr>
              <w:t>Тип: Подразделение затрат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 xml:space="preserve">    Отдел снабжения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Тип: Подразделение затрат</w:t>
            </w:r>
          </w:p>
        </w:tc>
      </w:tr>
      <w:tr>
        <w:tc>
          <w:tcPr>
            <w:tcW w:type="dxa" w:w="5102"/>
            <w:shd w:val="clear" w:color="auto" w:fill="F7F9FD"/>
          </w:tcPr>
          <w:p>
            <w:r>
              <w:rPr>
                <w:sz w:val="20"/>
              </w:rPr>
              <w:t xml:space="preserve">    Бухгалтерия</w:t>
            </w:r>
          </w:p>
        </w:tc>
        <w:tc>
          <w:tcPr>
            <w:tcW w:type="dxa" w:w="4535"/>
            <w:shd w:val="clear" w:color="auto" w:fill="F7F9FD"/>
          </w:tcPr>
          <w:p>
            <w:r>
              <w:rPr>
                <w:sz w:val="20"/>
              </w:rPr>
              <w:t>Тип: Подразделение затрат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СМУ №1 (строительный участок)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Тип: Выпускающее</w:t>
            </w:r>
          </w:p>
        </w:tc>
      </w:tr>
      <w:tr>
        <w:tc>
          <w:tcPr>
            <w:tcW w:type="dxa" w:w="5102"/>
            <w:shd w:val="clear" w:color="auto" w:fill="F7F9FD"/>
          </w:tcPr>
          <w:p>
            <w:r>
              <w:rPr>
                <w:sz w:val="20"/>
              </w:rPr>
              <w:t xml:space="preserve">    Флаг "Подразделение производит продукцию"</w:t>
            </w:r>
          </w:p>
        </w:tc>
        <w:tc>
          <w:tcPr>
            <w:tcW w:type="dxa" w:w="4535"/>
            <w:shd w:val="clear" w:color="auto" w:fill="F7F9FD"/>
          </w:tcPr>
          <w:p>
            <w:r>
              <w:rPr>
                <w:sz w:val="20"/>
              </w:rPr>
              <w:t>✅ ОБЯЗАТЕЛЬНО установить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 xml:space="preserve">    Бригада №1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Дочернее подразделение СМУ №1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6CC"/>
          </w:tcPr>
          <w:p>
            <w:r>
              <w:rPr>
                <w:b/>
                <w:sz w:val="20"/>
              </w:rPr>
              <w:t xml:space="preserve">⚠️ Ловушка:  </w:t>
            </w:r>
            <w:r>
              <w:rPr>
                <w:sz w:val="20"/>
              </w:rPr>
              <w:t>P-002: Если флаг «производит продукцию» не установлен для СМУ №1, затраты на объект не будут распределяться при закрытии месяца.</w:t>
            </w:r>
          </w:p>
        </w:tc>
      </w:tr>
    </w:tbl>
    <w:p/>
    <w:p>
      <w:pPr>
        <w:pStyle w:val="Heading2"/>
      </w:pPr>
      <w:r>
        <w:t>0.4. Склады</w:t>
      </w:r>
    </w:p>
    <w:p>
      <w:r>
        <w:rPr>
          <w:i/>
          <w:color w:val="595959"/>
          <w:sz w:val="20"/>
        </w:rPr>
        <w:t>📂 Путь в меню:  НСИ и администрирование → НСИ → Склады и магазины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Центральный склад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Тип: Оптовый | Организация: ООО «СтройГрупп»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Склад ЖК «Сосновый»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Тип: Оптовый | Объект строительства: ЖК «Сосновый» [если поддерживается]</w:t>
            </w:r>
          </w:p>
        </w:tc>
      </w:tr>
    </w:tbl>
    <w:p/>
    <w:p>
      <w:pPr>
        <w:pStyle w:val="Heading2"/>
      </w:pPr>
      <w:r>
        <w:t>0.5. Объект строительства</w:t>
      </w:r>
    </w:p>
    <w:p>
      <w:r>
        <w:rPr>
          <w:i/>
          <w:color w:val="595959"/>
          <w:sz w:val="20"/>
        </w:rPr>
        <w:t>📂 Путь в меню:  Строительное производство → НСИ → Объекты строительства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Наименование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ЖК «Сосновый»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Код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ОС-001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Адрес объекта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г. Москва, ул. Лесная, 15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Ответственный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Иванов И.И. (прораб)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Статус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В работе</w:t>
            </w:r>
          </w:p>
        </w:tc>
      </w:tr>
    </w:tbl>
    <w:p/>
    <w:p>
      <w:pPr>
        <w:pStyle w:val="Heading2"/>
      </w:pPr>
      <w:r>
        <w:t>0.6. Контрагенты и договоры</w:t>
      </w:r>
    </w:p>
    <w:p>
      <w:r>
        <w:rPr>
          <w:i/>
          <w:color w:val="595959"/>
          <w:sz w:val="20"/>
        </w:rPr>
        <w:t>📂 Путь в меню:  НСИ и администрирование → НСИ → Контрагенты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4535"/>
            <w:shd w:val="clear" w:color="auto" w:fill="F7F9FD"/>
          </w:tcPr>
          <w:p>
            <w:r>
              <w:rPr>
                <w:sz w:val="20"/>
              </w:rPr>
              <w:t>ООО «ГлавИнвест» (заказчик)</w:t>
            </w:r>
          </w:p>
        </w:tc>
        <w:tc>
          <w:tcPr>
            <w:tcW w:type="dxa" w:w="5102"/>
            <w:shd w:val="clear" w:color="auto" w:fill="F7F9FD"/>
          </w:tcPr>
          <w:p>
            <w:r>
              <w:rPr>
                <w:sz w:val="20"/>
              </w:rPr>
              <w:t>Тип: Покупатель | ИНН: 7700000002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Договор с заказчиком №СТ-2024-01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Сумма: 120 000 000 руб. | НДС 20%</w:t>
            </w:r>
          </w:p>
        </w:tc>
      </w:tr>
      <w:tr>
        <w:tc>
          <w:tcPr>
            <w:tcW w:type="dxa" w:w="4535"/>
            <w:shd w:val="clear" w:color="auto" w:fill="F7F9FD"/>
          </w:tcPr>
          <w:p>
            <w:r>
              <w:rPr>
                <w:sz w:val="20"/>
              </w:rPr>
              <w:t>Детализация взаиморасчётов</w:t>
            </w:r>
          </w:p>
        </w:tc>
        <w:tc>
          <w:tcPr>
            <w:tcW w:type="dxa" w:w="5102"/>
            <w:shd w:val="clear" w:color="auto" w:fill="F7F9FD"/>
          </w:tcPr>
          <w:p>
            <w:r>
              <w:rPr>
                <w:sz w:val="20"/>
              </w:rPr>
              <w:t>По договорам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ООО «СтройМатериал» (поставщик)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Тип: Поставщик | ИНН: 7700000003</w:t>
            </w:r>
          </w:p>
        </w:tc>
      </w:tr>
      <w:tr>
        <w:tc>
          <w:tcPr>
            <w:tcW w:type="dxa" w:w="4535"/>
            <w:shd w:val="clear" w:color="auto" w:fill="F7F9FD"/>
          </w:tcPr>
          <w:p>
            <w:r>
              <w:rPr>
                <w:sz w:val="20"/>
              </w:rPr>
              <w:t>Договор с поставщиком №МТР-2024-03</w:t>
            </w:r>
          </w:p>
        </w:tc>
        <w:tc>
          <w:tcPr>
            <w:tcW w:type="dxa" w:w="5102"/>
            <w:shd w:val="clear" w:color="auto" w:fill="F7F9FD"/>
          </w:tcPr>
          <w:p>
            <w:r>
              <w:rPr>
                <w:sz w:val="20"/>
              </w:rPr>
              <w:t>Постоплата 100%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ООО «ЭлектроМонтаж» (субподрядчик)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Тип: Поставщик услуг | ИНН: 7700000004</w:t>
            </w:r>
          </w:p>
        </w:tc>
      </w:tr>
      <w:tr>
        <w:tc>
          <w:tcPr>
            <w:tcW w:type="dxa" w:w="4535"/>
            <w:shd w:val="clear" w:color="auto" w:fill="F7F9FD"/>
          </w:tcPr>
          <w:p>
            <w:r>
              <w:rPr>
                <w:sz w:val="20"/>
              </w:rPr>
              <w:t>Договор с субподрядчиком №СП-2024-02</w:t>
            </w:r>
          </w:p>
        </w:tc>
        <w:tc>
          <w:tcPr>
            <w:tcW w:type="dxa" w:w="5102"/>
            <w:shd w:val="clear" w:color="auto" w:fill="F7F9FD"/>
          </w:tcPr>
          <w:p>
            <w:r>
              <w:rPr>
                <w:sz w:val="20"/>
              </w:rPr>
              <w:t>Аванс 50% | Сумма: 2 000 000 руб.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6CC"/>
          </w:tcPr>
          <w:p>
            <w:r>
              <w:rPr>
                <w:b/>
                <w:sz w:val="20"/>
              </w:rPr>
              <w:t xml:space="preserve">⚠️ Ловушка:  </w:t>
            </w:r>
            <w:r>
              <w:rPr>
                <w:sz w:val="20"/>
              </w:rPr>
              <w:t>P-009: Детализацию взаиморасчётов (по договорам / по документам) нельзя менять после ввода документов — потребуется перепроведение всей цепочки.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НСИ настроена. Система готова к вводу хозяйственных операций.</w:t>
            </w:r>
          </w:p>
        </w:tc>
      </w:tr>
    </w:tbl>
    <w:p/>
    <w:p>
      <w:r>
        <w:br w:type="page"/>
      </w:r>
    </w:p>
    <w:p>
      <w:pPr>
        <w:pStyle w:val="Heading1"/>
      </w:pPr>
      <w:r>
        <w:t>Блок 1. Закупка материалов (МТР)</w:t>
      </w:r>
    </w:p>
    <w:p>
      <w:r>
        <w:t>Цепочка: Потребность → Заказ поставщику → Поступление МТР → НДС → Оплата.</w:t>
      </w:r>
    </w:p>
    <w:p>
      <w:pPr>
        <w:pStyle w:val="Heading2"/>
      </w:pPr>
      <w:r>
        <w:t>Шаг 1.1. Заказ на внутреннее потребление</w:t>
      </w:r>
    </w:p>
    <w:p>
      <w:r>
        <w:rPr>
          <w:i/>
          <w:color w:val="595959"/>
          <w:sz w:val="20"/>
        </w:rPr>
        <w:t>📂 Путь в меню:  Склад и доставка → Внутренние заказы → Заказы на внутреннее потребление → Создать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Организация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ООО «СтройГрупп»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Подразделение / Объект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СМУ №1 / ЖК «Сосновый»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Номенклатура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Арматура Ø12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Количество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10 т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Склад назначения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Склад ЖК «Сосновый»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Дата желаемого поступления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10 марта 2024 г.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Статья затрат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Материалы в строительстве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Создана потребность — видна в АРМ «Обеспечение потребностей» отдела снабжения.</w:t>
            </w:r>
          </w:p>
        </w:tc>
      </w:tr>
    </w:tbl>
    <w:p/>
    <w:p>
      <w:pPr>
        <w:pStyle w:val="Heading2"/>
      </w:pPr>
      <w:r>
        <w:t>Шаг 1.2. Заказ поставщику</w:t>
      </w:r>
    </w:p>
    <w:p>
      <w:r>
        <w:rPr>
          <w:i/>
          <w:color w:val="595959"/>
          <w:sz w:val="20"/>
        </w:rPr>
        <w:t>📂 Путь в меню:  Закупки → Заказы поставщикам → Создать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Поставщик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ООО «СтройМатериал»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Соглашение (условия)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Соглашение №МТР-2024-03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Договор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Договор №МТР-2024-03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Организация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«СтройГрупп»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Склад доставки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Склад ЖК «Сосновый»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Номенклатура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Арматура Ø12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Количество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10 т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Цена без НДС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56 667 руб./т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НДС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Цена с НДС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68 000 руб./т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Сумма итого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680 000 руб. (в т.ч. НДС 113 333 руб.)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Дата поставки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12 марта 2024 г.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График платежей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100% постоплата после поступления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Статус после сохранения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→ Согласовать → статус «Согласован»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Заказ поставщику создан и согласован. Ожидаемое поступление 10 т арматуры отображается на складе.</w:t>
            </w:r>
          </w:p>
        </w:tc>
      </w:tr>
    </w:tbl>
    <w:p/>
    <w:p>
      <w:pPr>
        <w:pStyle w:val="Heading2"/>
      </w:pPr>
      <w:r>
        <w:t>Шаг 1.3. Приобретение товаров и услуг (поступление МТР)</w:t>
      </w:r>
    </w:p>
    <w:p>
      <w:r>
        <w:rPr>
          <w:i/>
          <w:color w:val="595959"/>
          <w:sz w:val="20"/>
        </w:rPr>
        <w:t>📂 Путь в меню:  Закупки → Документы закупки (все) → Создать, ИЛИ: в заказе → «Создать на основании» → Приобретение товаров и услуг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Поставщик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ООО «СтройМатериал»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Договор / Соглашение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Договор №МТР-2024-03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Организация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ООО «СтройГрупп»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Склад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Склад ЖК «Сосновый»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Заказ поставщику (привязка)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ЗП-000001 от 05.03.2024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Дата документа (накладная)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12 марта 2024 г.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Номенклатура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Арматура Ø12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Количество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10 т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Цена с НДС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68 000 руб./т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Сумма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680 000 руб. (НДС 113 333 руб.)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Аналитика расходов / Объект строительства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ЖК «Сосновый» [проверить реквизит в конфиг.]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Статья расходов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Материалы в строительстве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МТР оприходовано на склад. Бухгалтерские проводки:</w:t>
              <w:br/>
              <w:t>Дт 10.01 (материалы) / Кт 60.01 (задолженность перед поставщиком) — 566 667 руб.</w:t>
              <w:br/>
              <w:t>Дт 19 (НДС) / Кт 60.01 — 113 333 руб.</w:t>
            </w:r>
          </w:p>
        </w:tc>
      </w:tr>
    </w:tbl>
    <w:p/>
    <w:p>
      <w:pPr>
        <w:pStyle w:val="Heading2"/>
      </w:pPr>
      <w:r>
        <w:t>Шаг 1.4. Счёт-фактура полученный</w:t>
      </w:r>
    </w:p>
    <w:p>
      <w:r>
        <w:rPr>
          <w:i/>
          <w:color w:val="595959"/>
          <w:sz w:val="20"/>
        </w:rPr>
        <w:t>📂 Путь в меню:  В документе «Приобретение товаров и услуг» → кнопка «Зарегистрировать счёт-фактуру»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Номер СФ от поставщика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СФ-112 от 12.03.2024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Дата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12 марта 2024 г.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Привязка к документу поступления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Приобретение №ПО-000001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Сумма НДС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113 333 руб.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НДС к вычету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Дт 68.02 / Кт 19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Запись в Книгу покупок. Право на вычет НДС 113 333 руб.</w:t>
            </w:r>
          </w:p>
        </w:tc>
      </w:tr>
    </w:tbl>
    <w:p/>
    <w:p>
      <w:pPr>
        <w:pStyle w:val="Heading2"/>
      </w:pPr>
      <w:r>
        <w:t>Шаг 1.5. Оплата поставщику (Заявка + Платёжное поручение)</w:t>
      </w:r>
    </w:p>
    <w:p>
      <w:r>
        <w:rPr>
          <w:i/>
          <w:color w:val="595959"/>
          <w:sz w:val="20"/>
        </w:rPr>
        <w:t>📂 Путь в меню:  Казначейство → Заявки на расходование ДС → Оплата поставщику → Создать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Операция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Оплата поставщику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Организация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«СтройГрупп»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Подразделение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Отдел снабжения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Получатель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«СтройМатериал»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Расчётный счёт получателя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р/с 40702810000000000001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Сумма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680 000 руб.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Статья ДДС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Оплата поставщикам за МТР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Объект расчётов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Заказ поставщику №ЗП-000001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НДС в сумме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113 333 руб.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Дата желаемой оплаты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15 марта 2024 г.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Статус заявки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→ Согласовать → К оплате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2CC"/>
          </w:tcPr>
          <w:p>
            <w:r>
              <w:rPr>
                <w:b/>
                <w:sz w:val="20"/>
              </w:rPr>
              <w:t xml:space="preserve">🔄 Следующий шаг:  </w:t>
            </w:r>
            <w:r>
              <w:rPr>
                <w:sz w:val="20"/>
              </w:rPr>
              <w:t>После согласования заявки — казначей переводит в статус «К оплате» через Платёжный календарь и создаёт «Списание безналичных ДС».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Документ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Списание безналичных ДС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Счёт организации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Расчётный счёт ООО «СтройГрупп»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Операция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Оплата поставщику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Сумма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680 000 руб.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Номер п/п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П/П 001 от 15.03.2024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Флаг «Проверено банком»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✅ Установить после загрузки выписки из банка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Задолженность перед ООО «СтройМатериал» закрыта.</w:t>
              <w:br/>
              <w:t>Дт 60.01 / Кт 51 — 680 000 руб.</w:t>
            </w:r>
          </w:p>
        </w:tc>
      </w:tr>
    </w:tbl>
    <w:p/>
    <w:p>
      <w:r>
        <w:br w:type="page"/>
      </w:r>
    </w:p>
    <w:p>
      <w:pPr>
        <w:pStyle w:val="Heading1"/>
      </w:pPr>
      <w:r>
        <w:t>Блок 2. Субподрядные работы</w:t>
      </w:r>
    </w:p>
    <w:p>
      <w:r>
        <w:t>ООО «ЭлектроМонтаж» выполняет электромонтажные работы на объекте ЖК «Сосновый». Договор №СП-2024-02 на сумму 2 000 000 руб. (в т.ч. НДС 333 333 руб.). Аванс 50% = 1 000 000 руб.</w:t>
      </w:r>
    </w:p>
    <w:p>
      <w:pPr>
        <w:pStyle w:val="Heading2"/>
      </w:pPr>
      <w:r>
        <w:t>Шаг 2.1. Аванс субподрядчику (50%)</w:t>
      </w:r>
    </w:p>
    <w:p>
      <w:r>
        <w:rPr>
          <w:i/>
          <w:color w:val="595959"/>
          <w:sz w:val="20"/>
        </w:rPr>
        <w:t>📂 Путь в меню:  Казначейство → Заявки на расходование ДС → Создать → Оплата поставщику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Операция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Оплата поставщику (аванс)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Получатель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«ЭлектроМонтаж»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Договор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Договор №СП-2024-02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Сумма аванса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1 000 000 руб.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Статья ДДС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Оплата субподрядчикам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Дата оплаты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 марта 2024 г.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Аванс перечислен субподрядчику.</w:t>
              <w:br/>
              <w:t>Дт 60.02 (аванс выданный) / Кт 51 — 1 000 000 руб.</w:t>
            </w:r>
          </w:p>
        </w:tc>
      </w:tr>
    </w:tbl>
    <w:p/>
    <w:p>
      <w:pPr>
        <w:pStyle w:val="Heading2"/>
      </w:pPr>
      <w:r>
        <w:t>Шаг 2.2. Акт о приёмке выполненных работ (входящая КС-2)</w:t>
      </w:r>
    </w:p>
    <w:p>
      <w:r>
        <w:rPr>
          <w:i/>
          <w:color w:val="595959"/>
          <w:sz w:val="20"/>
        </w:rPr>
        <w:t>📂 Путь в меню:  Строительное производство → Субподряд → Акт о приёмке выполненных работ → Создать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Дата акта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31 марта 2024 г.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Субподрядчик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«ЭлектроМонтаж»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Договор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Договор №СП-2024-02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Объект строительства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ЖК «Сосновый»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Виды работ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Электромонтажные работы (из спецификации договора)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Объём работ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Стоимость без НДС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1 666 667 руб.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НДС 20%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333 333 руб.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Итого с НДС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2 000 000 руб.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Зачёт аванса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Указать аванс 1 000 000 руб. (или через Взаимозачёт отдельно)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Затраты на субподряд отражены в учёте по объекту ЖК «Сосновый»:</w:t>
              <w:br/>
              <w:t>Дт 20 / Кт 60.01 — 1 666 667 руб. (стоимость работ)</w:t>
              <w:br/>
              <w:t>Дт 19 / Кт 60.01 — 333 333 руб. (входящий НДС)</w:t>
            </w:r>
          </w:p>
        </w:tc>
      </w:tr>
    </w:tbl>
    <w:p/>
    <w:p>
      <w:pPr>
        <w:pStyle w:val="Heading2"/>
      </w:pPr>
      <w:r>
        <w:t>Шаг 2.3. Счёт-фактура полученный (от субподрядчика)</w:t>
      </w:r>
    </w:p>
    <w:p>
      <w:r>
        <w:rPr>
          <w:i/>
          <w:color w:val="595959"/>
          <w:sz w:val="20"/>
        </w:rPr>
        <w:t>📂 Путь в меню:  В акте приёмки → кнопка «Зарегистрировать счёт-фактуру»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Номер СФ субподрядчика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СФ-045 от 31.03.2024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Сумма НДС к вычету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333 333 руб.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НДС 333 333 руб. к вычету.</w:t>
              <w:br/>
              <w:t>Дт 68.02 / Кт 19 — 333 333 руб.</w:t>
            </w:r>
          </w:p>
        </w:tc>
      </w:tr>
    </w:tbl>
    <w:p/>
    <w:p>
      <w:pPr>
        <w:pStyle w:val="Heading2"/>
      </w:pPr>
      <w:r>
        <w:t>Шаг 2.4. Взаимозачёт: зачёт аванса субподрядчику</w:t>
      </w:r>
    </w:p>
    <w:p>
      <w:r>
        <w:rPr>
          <w:i/>
          <w:color w:val="595959"/>
          <w:sz w:val="20"/>
        </w:rPr>
        <w:t>📂 Путь в меню:  Казначейство → Взаимозачёты и списание задолженности → Взаимозачёт задолженности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Вид операции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Перенос аванса поставщику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Организация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«СтройГрупп»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Контрагент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ООО «ЭлектроМонтаж»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Договор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Договор №СП-2024-02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Сумма зачёта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1 000 000 руб.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Кнопка «Рассчитать взаимозачёт»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✅ Нажать для автоматического расчёта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Аванс зачтён.</w:t>
              <w:br/>
              <w:t>Дт 60.01 / Кт 60.02 — 1 000 000 руб.</w:t>
            </w:r>
          </w:p>
        </w:tc>
      </w:tr>
    </w:tbl>
    <w:p/>
    <w:p>
      <w:pPr>
        <w:pStyle w:val="Heading2"/>
      </w:pPr>
      <w:r>
        <w:t>Шаг 2.5. Доплата субподрядчику (остаток)</w:t>
      </w:r>
    </w:p>
    <w:p>
      <w:r>
        <w:rPr>
          <w:i/>
          <w:color w:val="595959"/>
          <w:sz w:val="20"/>
        </w:rPr>
        <w:t>📂 Путь в меню:  Казначейство → Заявки на расходование ДС → Создать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Операция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Оплата поставщику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Сумма доплаты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1 000 000 руб.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Дата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5 апреля 2024 г.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Расчёты с ООО «ЭлектроМонтаж» закрыты.</w:t>
              <w:br/>
              <w:t>Дт 60.01 / Кт 51 — 1 000 000 руб.</w:t>
            </w:r>
          </w:p>
        </w:tc>
      </w:tr>
    </w:tbl>
    <w:p/>
    <w:p>
      <w:r>
        <w:br w:type="page"/>
      </w:r>
    </w:p>
    <w:p>
      <w:pPr>
        <w:pStyle w:val="Heading1"/>
      </w:pPr>
      <w:r>
        <w:t>Блок 3. Выполнение СМР собственными силами</w:t>
      </w:r>
    </w:p>
    <w:p>
      <w:r>
        <w:t>Собственные силы СМУ №1 ООО «СтройГрупп» выполняют строительно-монтажные работы на объекте ЖК «Сосновый». Стоимость сданных заказчику работ за март 2024 — 15 000 000 руб. (в т.ч. НДС 2 500 000 руб.).</w:t>
      </w:r>
    </w:p>
    <w:p>
      <w:pPr>
        <w:pStyle w:val="Heading2"/>
      </w:pPr>
      <w:r>
        <w:t>Шаг 3.1. Учёт выполненных работ (Журнал КС-6а)</w:t>
      </w:r>
    </w:p>
    <w:p>
      <w:r>
        <w:rPr>
          <w:i/>
          <w:color w:val="595959"/>
          <w:sz w:val="20"/>
        </w:rPr>
        <w:t>📂 Путь в меню:  Строительное производство → Выполнение работ → Учёт выполненных работ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Период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Март 2024 г.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Объект строительства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ЖК «Сосновый»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Подразделение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СМУ №1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Виды работ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Монолитные работы, кирпичная кладка (из плана)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Объём / % выполнения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Монолит: 500 м³ (100%); Кладка: 200 м² (80%)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Период фиксации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Ежедневно/еженедельно прорабом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Данные накоплены в регистре. Доступен отчёт «Журнал КС-6а» в разрезе объектов.</w:t>
            </w:r>
          </w:p>
        </w:tc>
      </w:tr>
    </w:tbl>
    <w:p/>
    <w:p>
      <w:pPr>
        <w:pStyle w:val="Heading2"/>
      </w:pPr>
      <w:r>
        <w:t>Шаг 3.2. КС-2 Внутренняя (внутренняя приёмка ПТО)</w:t>
      </w:r>
    </w:p>
    <w:p>
      <w:r>
        <w:rPr>
          <w:i/>
          <w:color w:val="595959"/>
          <w:sz w:val="20"/>
        </w:rPr>
        <w:t>📂 Путь в меню:  Строительное производство → Выполнение работ → Реализация строительных работ (КС-2 внутренняя)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Дата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31 марта 2024 г.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Период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Март 2024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Объект строительства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ЖК «Сосновый»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Договор с заказчиком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Договор №СТ-2024-01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Виды работ из сметы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Монолитные работы, кирпичная кладка, арматурные работы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Стоимость работ (управл.)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12 500 000 руб. без НДС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Подразделение-исполнитель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СМУ №1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Флаг «Отражать по позициям сметы»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✅ Установить для детализации по КС-2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Сформирована «непредъявленная выручка» в управленческом учёте. Документ является основанием для КС-2 Внешней.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6CC"/>
          </w:tcPr>
          <w:p>
            <w:r>
              <w:rPr>
                <w:b/>
                <w:sz w:val="20"/>
              </w:rPr>
              <w:t xml:space="preserve">⚠️ Ловушка:  </w:t>
            </w:r>
            <w:r>
              <w:rPr>
                <w:sz w:val="20"/>
              </w:rPr>
              <w:t>P-007: КС-2 Внешняя должна создаваться НА ОСНОВАНИИ КС-2 Внутренней. Создание вручную нарушает цепочку управленческого учёта.</w:t>
            </w:r>
          </w:p>
        </w:tc>
      </w:tr>
    </w:tbl>
    <w:p/>
    <w:p>
      <w:pPr>
        <w:pStyle w:val="Heading2"/>
      </w:pPr>
      <w:r>
        <w:t>Шаг 3.3. Списание материалов на объект</w:t>
      </w:r>
    </w:p>
    <w:p>
      <w:pPr>
        <w:pStyle w:val="Heading3"/>
      </w:pPr>
      <w:r>
        <w:t>3.3а. Расход материалов в строительстве (управленческий)</w:t>
      </w:r>
    </w:p>
    <w:p>
      <w:r>
        <w:rPr>
          <w:i/>
          <w:color w:val="595959"/>
          <w:sz w:val="20"/>
        </w:rPr>
        <w:t>📂 Путь в меню:  Строительное производство → Материалы → Расход материалов в строительстве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Период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Март 2024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Подразделение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СМУ №1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Объект строительства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ЖК «Сосновый»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Статья затрат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Материалы в строительстве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Номенклатура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Арматура Ø12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Плановый расход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8 т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Фактический расход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7,5 т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Виды работ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Арматурные работы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Флаг «Списывать на затраты по факту»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✅ Установить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Оперативная запись о расходе МТР — без бухгалтерских проводок.</w:t>
            </w:r>
          </w:p>
        </w:tc>
      </w:tr>
    </w:tbl>
    <w:p/>
    <w:p>
      <w:pPr>
        <w:pStyle w:val="Heading3"/>
      </w:pPr>
      <w:r>
        <w:t>3.3б. Передача материалов в производство (бухгалтерский, в конце месяца)</w:t>
      </w:r>
    </w:p>
    <w:p>
      <w:r>
        <w:rPr>
          <w:i/>
          <w:color w:val="595959"/>
          <w:sz w:val="20"/>
        </w:rPr>
        <w:t>📂 Путь в меню:  Строительное производство → Материалы → Передача материалов в производство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Период (месяц)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Март 2024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Склад / кладовая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Склад ЖК «Сосновый»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Объект строительства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ЖК «Сосновый»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Заполнение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Кнопка «Заполнить» — по данным «Расхода материалов» за период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Номенклатура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Арматура Ø12 — 7,5 т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Стоимость (по ФИФО)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~425 000 руб.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Материалы списаны в производство:</w:t>
              <w:br/>
              <w:t>Дт 20 (ЖК «Сосновый») / Кт 10.01 — 425 000 руб.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6CC"/>
          </w:tcPr>
          <w:p>
            <w:r>
              <w:rPr>
                <w:b/>
                <w:sz w:val="20"/>
              </w:rPr>
              <w:t xml:space="preserve">⚠️ Ловушка:  </w:t>
            </w:r>
            <w:r>
              <w:rPr>
                <w:sz w:val="20"/>
              </w:rPr>
              <w:t>P-006: Не использовать стандартную «Требование-накладную» для строительных объектов.</w:t>
              <w:br/>
              <w:t>P-014: Один документ «Передача материалов» — только один склад-отправитель. При нескольких складах создавать отдельные документы.</w:t>
            </w:r>
          </w:p>
        </w:tc>
      </w:tr>
    </w:tbl>
    <w:p/>
    <w:p>
      <w:pPr>
        <w:pStyle w:val="Heading2"/>
      </w:pPr>
      <w:r>
        <w:t>Шаг 3.4. КС-2 Внешняя — сдача работ заказчику</w:t>
      </w:r>
    </w:p>
    <w:p>
      <w:r>
        <w:rPr>
          <w:i/>
          <w:color w:val="595959"/>
          <w:sz w:val="20"/>
        </w:rPr>
        <w:t>📂 Путь в меню:  Строительное производство → Выполнение работ → Реализация строительных работ (КС-2 внешняя)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2CC"/>
          </w:tcPr>
          <w:p>
            <w:r>
              <w:rPr>
                <w:b/>
                <w:sz w:val="20"/>
              </w:rPr>
              <w:t xml:space="preserve">🔄 Способ создания:  </w:t>
            </w:r>
            <w:r>
              <w:rPr>
                <w:sz w:val="20"/>
              </w:rPr>
              <w:t>Создаётся на основании КС-2 Внутренней: открыть КС-2 Внутреннюю → «Создать на основании» → Реализация строительных работ (КС-2 внешняя)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Дата акта КС-2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31 марта 2024 г.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Заказчик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«ГлавИнвест»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Договор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Договор №СТ-2024-01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Объект строительства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ЖК «Сосновый»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Ссылка на КС-2 Внутреннюю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КС-2 Внутренняя №1 от 31.03.2024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Виды работ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Согласно спецификации к договору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Стоимость работ без НДС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12 500 000 руб.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НДС 20%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2 500 000 руб.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Итого с НДС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15 000 000 руб.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Накопленный итог с начала строительства (КС-3)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Заполняется автоматически из предыдущих актов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Выручка от реализации СМР:</w:t>
              <w:br/>
              <w:t>Дт 62.01 / Кт 90.01 — 12 500 000 руб.</w:t>
              <w:br/>
              <w:t>НДС с реализации:</w:t>
              <w:br/>
              <w:t>Дт 90.03 / Кт 68.02 — 2 500 000 руб.</w:t>
              <w:br/>
              <w:br/>
              <w:t>Печатные формы: Кнопка «Печать» → КС-2 «Акт о приёмке выполненных работ» / КС-3 «Справка о стоимости выполненных работ и затрат»</w:t>
            </w:r>
          </w:p>
        </w:tc>
      </w:tr>
    </w:tbl>
    <w:p/>
    <w:p>
      <w:r>
        <w:br w:type="page"/>
      </w:r>
    </w:p>
    <w:p>
      <w:pPr>
        <w:pStyle w:val="Heading1"/>
      </w:pPr>
      <w:r>
        <w:t>Блок 4. Взаиморасчёты с заказчиком</w:t>
      </w:r>
    </w:p>
    <w:p>
      <w:r>
        <w:t>Заказчик ООО «ГлавИнвест» перечислил аванс 10 000 000 руб. в начале марта. После подписания КС-2 на 15 000 000 руб. — аванс засчитывается, доплата 5 000 000 руб. поступает в апреле.</w:t>
      </w:r>
    </w:p>
    <w:p>
      <w:pPr>
        <w:pStyle w:val="Heading2"/>
      </w:pPr>
      <w:r>
        <w:t>Шаг 4.1. Получение аванса от заказчика (10 млн)</w:t>
      </w:r>
    </w:p>
    <w:p>
      <w:r>
        <w:rPr>
          <w:i/>
          <w:color w:val="595959"/>
          <w:sz w:val="20"/>
        </w:rPr>
        <w:t>📂 Путь в меню:  Казначейство → Банковские выписки → Поступление на расчётный счёт → Создать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Вид операции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Оплата от покупателя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Контрагент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«ГлавИнвест»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Договор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Договор №СТ-2024-01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Сумма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10 000 000 руб.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Статья ДДС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Поступления от заказчиков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Дата поступления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 марта 2024 г.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Способ зачёта аванса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Не зачитывать (для ручного контроля)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Аванс получен от заказчика:</w:t>
              <w:br/>
              <w:t>Дт 51 / Кт 62.02 — 10 000 000 руб.</w:t>
            </w:r>
          </w:p>
        </w:tc>
      </w:tr>
    </w:tbl>
    <w:p/>
    <w:p>
      <w:pPr>
        <w:pStyle w:val="Heading2"/>
      </w:pPr>
      <w:r>
        <w:t>Шаг 4.2. Счёт-фактура выданный на аванс</w:t>
      </w:r>
    </w:p>
    <w:p>
      <w:r>
        <w:rPr>
          <w:i/>
          <w:color w:val="595959"/>
          <w:sz w:val="20"/>
        </w:rPr>
        <w:t>📂 Путь в меню:  Финансовый результат и контроллинг → НДС → Помощник по учёту НДС → «Выставить счета-фактуры по полученным авансам»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Документ-основание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Поступление на р/с №1 от 01.03.2024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Покупатель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«ГлавИнвест»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Сумма аванса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10 000 000 руб.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НДС с аванса (20/120)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1 666 667 руб.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Срок выставления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Не позднее 5 марта 2024 г. (5 календарных дней)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Номер СФ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АВ-001 от 01.03.2024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Начислен НДС с аванса:</w:t>
              <w:br/>
              <w:t>Дт 76.АВ / Кт 68.02 — 1 666 667 руб.</w:t>
              <w:br/>
              <w:t>Запись в Книгу продаж.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6CC"/>
          </w:tcPr>
          <w:p>
            <w:r>
              <w:rPr>
                <w:b/>
                <w:sz w:val="20"/>
              </w:rPr>
              <w:t xml:space="preserve">⚠️ Ловушка:  </w:t>
            </w:r>
            <w:r>
              <w:rPr>
                <w:sz w:val="20"/>
              </w:rPr>
              <w:t>P-005: Если не выставить СФ на аванс и не восстановить НДС при зачёте — НДС задвоится в декларации. Помощник НДС обязателен к использованию в конце периода.</w:t>
            </w:r>
          </w:p>
        </w:tc>
      </w:tr>
    </w:tbl>
    <w:p/>
    <w:p>
      <w:pPr>
        <w:pStyle w:val="Heading2"/>
      </w:pPr>
      <w:r>
        <w:t>Шаг 4.3. Зачёт аванса заказчика</w:t>
      </w:r>
    </w:p>
    <w:p>
      <w:r>
        <w:rPr>
          <w:i/>
          <w:color w:val="595959"/>
          <w:sz w:val="20"/>
        </w:rPr>
        <w:t>📂 Путь в меню:  Казначейство → Взаимозачёты и списание задолженности → Взаимозачёт задолженности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Вид операции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Перенос аванса клиента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Организация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«СтройГрупп»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Контрагент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ООО «ГлавИнвест»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Договор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Договор №СТ-2024-01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Документ реализации (осн.)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КС-2 Внешняя №1 от 31.03.2024 (15 000 000 руб.)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Аванс к зачёту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10 000 000 руб.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Кнопка «Рассчитать взаимозачёт»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✅ Нажать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Аванс зачтён:</w:t>
              <w:br/>
              <w:t>Дт 62.02 / Кт 62.01 — 10 000 000 руб.</w:t>
              <w:br/>
              <w:t>Остаток долга заказчика (Дт 62.01) = 5 000 000 руб.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6CC"/>
          </w:tcPr>
          <w:p>
            <w:r>
              <w:rPr>
                <w:b/>
                <w:sz w:val="20"/>
              </w:rPr>
              <w:t xml:space="preserve">⚠️ Ловушка:  </w:t>
            </w:r>
            <w:r>
              <w:rPr>
                <w:sz w:val="20"/>
              </w:rPr>
              <w:t>P-004: Если после зачёта одновременно «висят» 62.01 и 62.02 — зачёт не завершён. Проверить детализацию взаиморасчётов в договоре.</w:t>
              <w:br/>
              <w:t>P-016: При использовании «Направлений деятельности» — убедиться, что платёж и реализация имеют одинаковое направление деятельности.</w:t>
            </w:r>
          </w:p>
        </w:tc>
      </w:tr>
    </w:tbl>
    <w:p/>
    <w:p>
      <w:pPr>
        <w:pStyle w:val="Heading2"/>
      </w:pPr>
      <w:r>
        <w:t>Шаг 4.4. Принятие НДС к вычету с зачтённого аванса</w:t>
      </w:r>
    </w:p>
    <w:p>
      <w:r>
        <w:rPr>
          <w:i/>
          <w:color w:val="595959"/>
          <w:sz w:val="20"/>
        </w:rPr>
        <w:t>📂 Путь в меню:  Финансовый результат и контроллинг → НДС → Помощник по учёту НДС → «Принять НДС к вычету по авансам полученным»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Период выполнения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Март 2024 (в периоде зачёта аванса)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Сумма НДС к вычету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1 666 667 руб.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Счёт-фактура на аванс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АВ-001 от 01.03.2024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НДС с аванса восстановлен (принят к вычету):</w:t>
              <w:br/>
              <w:t>Дт 68.02 / Кт 76.АВ — 1 666 667 руб.</w:t>
              <w:br/>
              <w:t>Запись в Книгу покупок.</w:t>
            </w:r>
          </w:p>
        </w:tc>
      </w:tr>
    </w:tbl>
    <w:p/>
    <w:p>
      <w:pPr>
        <w:pStyle w:val="Heading2"/>
      </w:pPr>
      <w:r>
        <w:t>Шаг 4.5. Поступление оплаты остатка (5 млн)</w:t>
      </w:r>
    </w:p>
    <w:p>
      <w:r>
        <w:rPr>
          <w:i/>
          <w:color w:val="595959"/>
          <w:sz w:val="20"/>
        </w:rPr>
        <w:t>📂 Путь в меню:  Казначейство → Банковские выписки → Поступление на расчётный счёт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Вид операции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Оплата от покупателя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Контрагент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«ГлавИнвест»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Сумма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5 000 000 руб.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Дата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5 апреля 2024 г.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Способ зачёта аванса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Автоматически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Задолженность заказчика закрыта:</w:t>
              <w:br/>
              <w:t>Дт 51 / Кт 62.01 — 5 000 000 руб.</w:t>
            </w:r>
          </w:p>
        </w:tc>
      </w:tr>
    </w:tbl>
    <w:p/>
    <w:p>
      <w:pPr>
        <w:pStyle w:val="Heading2"/>
      </w:pPr>
      <w:r>
        <w:t>Шаг 4.6. Акт сверки взаиморасчётов с заказчиком</w:t>
      </w:r>
    </w:p>
    <w:p>
      <w:r>
        <w:rPr>
          <w:i/>
          <w:color w:val="595959"/>
          <w:sz w:val="20"/>
        </w:rPr>
        <w:t>📂 Путь в меню:  Казначейство → Сверки взаиморасчётов → Акт сверки → Создать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Период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01.03.2024 – 30.04.2024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Организация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ООО «СтройГрупп»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Контрагент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ООО «ГлавИнвест»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Договор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Договор №СТ-2024-01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Тип расчётов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Покупатель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Кнопка «Заполнить»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✅ Автоматическое заполнение из документов</w:t>
            </w:r>
          </w:p>
        </w:tc>
      </w:tr>
      <w:tr>
        <w:tc>
          <w:tcPr>
            <w:tcW w:type="dxa" w:w="3969"/>
            <w:shd w:val="clear" w:color="auto" w:fill="F7F9FD"/>
          </w:tcPr>
          <w:p>
            <w:r>
              <w:rPr>
                <w:sz w:val="20"/>
              </w:rPr>
              <w:t>Ожидаемое итоговое сальдо</w:t>
            </w:r>
          </w:p>
        </w:tc>
        <w:tc>
          <w:tcPr>
            <w:tcW w:type="dxa" w:w="5669"/>
            <w:shd w:val="clear" w:color="auto" w:fill="F7F9FD"/>
          </w:tcPr>
          <w:p>
            <w:r>
              <w:rPr>
                <w:sz w:val="20"/>
              </w:rPr>
              <w:t>0 (расчёты закрыты)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Статус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Сверено без разногласий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Акт сверки подтверждает, что расчёты с ООО «ГлавИнвест» за март 2024 закрыты. Подписать двустороннюю печатную форму.</w:t>
            </w:r>
          </w:p>
        </w:tc>
      </w:tr>
    </w:tbl>
    <w:p/>
    <w:p>
      <w:r>
        <w:br w:type="page"/>
      </w:r>
    </w:p>
    <w:p>
      <w:pPr>
        <w:pStyle w:val="Heading1"/>
      </w:pPr>
      <w:r>
        <w:t>Блок 5. Закрытие месяца (Март 2024)</w:t>
      </w:r>
    </w:p>
    <w:p>
      <w:r>
        <w:rPr>
          <w:i/>
          <w:color w:val="595959"/>
          <w:sz w:val="20"/>
        </w:rPr>
        <w:t>📂 Путь в меню:  Финансовый результат и контроллинг → Закрытие месяца</w:t>
      </w:r>
    </w:p>
    <w:p>
      <w:r>
        <w:t>Закрытие месяца выполняется строго последовательно. Кнопка «Выполнить операции» — автоматическое последовательное выполнение всех этапов.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№</w:t>
            </w:r>
          </w:p>
        </w:tc>
        <w:tc>
          <w:tcPr>
            <w:tcW w:type="dxa" w:w="3024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Регламентная операция</w:t>
            </w:r>
          </w:p>
        </w:tc>
        <w:tc>
          <w:tcPr>
            <w:tcW w:type="dxa" w:w="3024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Что важно для стройки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Допроведение документов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Проведение документов с отложенным движением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Восстановление последовательности (закупки)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Зачёт авансов поставщикам, курсовые разницы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Восстановление последовательности (продажи)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Зачёт авансов от заказчиков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Корректировка стоимости МПЗ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Пересчёт ФИФО для арматуры и прочих МТР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Начисление амортизации ОС/НМА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Амортизация строительной техники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Погашение стоимости спецодежды/оснастки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Касок, перчаток и прочего инвентаря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Списание РБП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Расходы будущих периодов (страховки и др.)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Начисление зарплаты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Зарплата СМУ №1 → Дт 20 / Кт 70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Расчёт НДС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Формирование Книги покупок и продаж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Распределение сч.25/26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⚡ КЛЮЧЕВОЕ: распределение на объекты строительства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Расчёт себестоимости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⚡ КЛЮЧЕВОЕ: закрытие сч.20 по ЖК «Сосновый»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Формирование финрезультата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Сч.90, 91 → 99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Расчёт налога на прибыль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ПБУ 18/02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2CC"/>
          </w:tcPr>
          <w:p>
            <w:r>
              <w:rPr>
                <w:b/>
                <w:sz w:val="20"/>
              </w:rPr>
              <w:t xml:space="preserve">ℹ️ P-008: НЗП не обнуляется при закрытии:  </w:t>
            </w:r>
            <w:r>
              <w:rPr>
                <w:sz w:val="20"/>
              </w:rPr>
              <w:t>НЗП (незавершённое производство) на сч.20 — НОРМАЛЬНО, что не обнуляется!</w:t>
              <w:br/>
              <w:t>НЗП по объектам, по которым КС-2 Внешняя не подписана, остаётся на сч.20 и переходит на следующий месяц.</w:t>
            </w:r>
          </w:p>
        </w:tc>
      </w:tr>
    </w:tbl>
    <w:p/>
    <w:p>
      <w:pPr>
        <w:pStyle w:val="Heading2"/>
      </w:pPr>
      <w:r>
        <w:t>Контрольные отчёты после закрытия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Реквизит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Значение для примера</w:t>
            </w:r>
          </w:p>
        </w:tc>
      </w:tr>
      <w:tr>
        <w:tc>
          <w:tcPr>
            <w:tcW w:type="dxa" w:w="3402"/>
            <w:shd w:val="clear" w:color="auto" w:fill="F7F9FD"/>
          </w:tcPr>
          <w:p>
            <w:r>
              <w:rPr>
                <w:sz w:val="20"/>
              </w:rPr>
              <w:t>Оборотно-сальдовая ведомость</w:t>
            </w:r>
          </w:p>
        </w:tc>
        <w:tc>
          <w:tcPr>
            <w:tcW w:type="dxa" w:w="6236"/>
            <w:shd w:val="clear" w:color="auto" w:fill="F7F9FD"/>
          </w:tcPr>
          <w:p>
            <w:r>
              <w:rPr>
                <w:sz w:val="20"/>
              </w:rPr>
              <w:t>Проверить сч.20: ЖК «Сосновый» — НЗП или 0?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ОСВ сч.62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Проверить нули по 62.01 и 62.02 для ГлавИнвест</w:t>
            </w:r>
          </w:p>
        </w:tc>
      </w:tr>
      <w:tr>
        <w:tc>
          <w:tcPr>
            <w:tcW w:type="dxa" w:w="3402"/>
            <w:shd w:val="clear" w:color="auto" w:fill="F7F9FD"/>
          </w:tcPr>
          <w:p>
            <w:r>
              <w:rPr>
                <w:sz w:val="20"/>
              </w:rPr>
              <w:t>ОСВ сч.60</w:t>
            </w:r>
          </w:p>
        </w:tc>
        <w:tc>
          <w:tcPr>
            <w:tcW w:type="dxa" w:w="6236"/>
            <w:shd w:val="clear" w:color="auto" w:fill="F7F9FD"/>
          </w:tcPr>
          <w:p>
            <w:r>
              <w:rPr>
                <w:sz w:val="20"/>
              </w:rPr>
              <w:t>Проверить нули по 60.01 и 60.02 для субподрядчика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ОСВ сч.68.02 (НДС)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Проверить баланс: НДС к уплате в бюджет</w:t>
            </w:r>
          </w:p>
        </w:tc>
      </w:tr>
      <w:tr>
        <w:tc>
          <w:tcPr>
            <w:tcW w:type="dxa" w:w="3402"/>
            <w:shd w:val="clear" w:color="auto" w:fill="F7F9FD"/>
          </w:tcPr>
          <w:p>
            <w:r>
              <w:rPr>
                <w:sz w:val="20"/>
              </w:rPr>
              <w:t>Анализ счёта 90</w:t>
            </w:r>
          </w:p>
        </w:tc>
        <w:tc>
          <w:tcPr>
            <w:tcW w:type="dxa" w:w="6236"/>
            <w:shd w:val="clear" w:color="auto" w:fill="F7F9FD"/>
          </w:tcPr>
          <w:p>
            <w:r>
              <w:rPr>
                <w:sz w:val="20"/>
              </w:rPr>
              <w:t>Выручка: 15 000 000; Себестоимость: ~?; Прибыль: ~?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Монитор бюджетного процесса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Сравнение план-факт по объекту ЖК «Сосновый»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</w:tcPr>
          <w:p>
            <w:r>
              <w:rPr>
                <w:b/>
                <w:sz w:val="20"/>
              </w:rPr>
              <w:t xml:space="preserve">✅ Результат:  </w:t>
            </w:r>
            <w:r>
              <w:rPr>
                <w:sz w:val="20"/>
              </w:rPr>
              <w:t>Месяц закрыт. Финансовая отчётность за март 2024 г. сформирована.</w:t>
            </w:r>
          </w:p>
        </w:tc>
      </w:tr>
    </w:tbl>
    <w:p/>
    <w:p>
      <w:r>
        <w:br w:type="page"/>
      </w:r>
    </w:p>
    <w:p>
      <w:pPr>
        <w:pStyle w:val="Heading1"/>
      </w:pPr>
      <w:r>
        <w:t>Приложение А. Сводная таблица 19 документов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6E4F0"/>
          </w:tcPr>
          <w:p>
            <w:r>
              <w:rPr>
                <w:b/>
                <w:color w:val="1A375F"/>
                <w:sz w:val="18"/>
              </w:rPr>
              <w:t>№</w:t>
            </w:r>
          </w:p>
        </w:tc>
        <w:tc>
          <w:tcPr>
            <w:tcW w:type="dxa" w:w="1814"/>
            <w:shd w:val="clear" w:color="auto" w:fill="D6E4F0"/>
          </w:tcPr>
          <w:p>
            <w:r>
              <w:rPr>
                <w:b/>
                <w:color w:val="1A375F"/>
                <w:sz w:val="18"/>
              </w:rPr>
              <w:t>Блок</w:t>
            </w:r>
          </w:p>
        </w:tc>
        <w:tc>
          <w:tcPr>
            <w:tcW w:type="dxa" w:w="1814"/>
            <w:shd w:val="clear" w:color="auto" w:fill="D6E4F0"/>
          </w:tcPr>
          <w:p>
            <w:r>
              <w:rPr>
                <w:b/>
                <w:color w:val="1A375F"/>
                <w:sz w:val="18"/>
              </w:rPr>
              <w:t>Документ 1С</w:t>
            </w:r>
          </w:p>
        </w:tc>
        <w:tc>
          <w:tcPr>
            <w:tcW w:type="dxa" w:w="1814"/>
            <w:shd w:val="clear" w:color="auto" w:fill="D6E4F0"/>
          </w:tcPr>
          <w:p>
            <w:r>
              <w:rPr>
                <w:b/>
                <w:color w:val="1A375F"/>
                <w:sz w:val="18"/>
              </w:rPr>
              <w:t>Сумма, руб.</w:t>
            </w:r>
          </w:p>
        </w:tc>
        <w:tc>
          <w:tcPr>
            <w:tcW w:type="dxa" w:w="1814"/>
            <w:shd w:val="clear" w:color="auto" w:fill="D6E4F0"/>
          </w:tcPr>
          <w:p>
            <w:r>
              <w:rPr>
                <w:b/>
                <w:color w:val="1A375F"/>
                <w:sz w:val="18"/>
              </w:rPr>
              <w:t>Контрагент</w:t>
            </w:r>
          </w:p>
        </w:tc>
      </w:tr>
      <w:tr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0. НСИ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Организация, учётная политика, структура предприятия, склады, контрагенты, договоры, объект строительства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1. Закупки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Заказ на внутреннее потребление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внутренний</w:t>
            </w:r>
          </w:p>
        </w:tc>
      </w:tr>
      <w:tr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1. Закупки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Заказ поставщику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680 000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СтройМатериал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1. Закупки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Приобретение товаров и услуг (поступление МТР)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680 000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СтройМатериал</w:t>
            </w:r>
          </w:p>
        </w:tc>
      </w:tr>
      <w:tr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1. Закупки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Счёт-фактура полученный (НДС к вычету)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НДС 113 333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СтройМатериал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1. Закупки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Заявка + Списание безналичных ДС (оплата поставщику)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680 000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СтройМатериал</w:t>
            </w:r>
          </w:p>
        </w:tc>
      </w:tr>
      <w:tr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2. Субподряд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Заявка + Списание безналичных ДС (аванс 50%)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1 000 000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ЭлектроМонтаж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2. Субподряд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Акт о приёмке выполненных работ (входящая КС-2)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2 000 000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ЭлектроМонтаж</w:t>
            </w:r>
          </w:p>
        </w:tc>
      </w:tr>
      <w:tr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2. Субподряд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Счёт-фактура полученный (НДС)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НДС 333 333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ЭлектроМонтаж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2. Субподряд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Взаимозачёт задолженности (зачёт аванса субподрядчику)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1 000 000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ЭлектроМонтаж</w:t>
            </w:r>
          </w:p>
        </w:tc>
      </w:tr>
      <w:tr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2. Субподряд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Заявка + Списание безналичных ДС (доплата)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1 000 000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ЭлектроМонтаж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3. СМР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Учёт выполненных работ (КС-6а)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внутренний</w:t>
            </w:r>
          </w:p>
        </w:tc>
      </w:tr>
      <w:tr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3. СМР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Реализация строительных работ (КС-2 Внутренняя)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12 500 000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внутренний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3. СМР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Расход материалов в строительстве + Передача материалов в производство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~425 000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внутренний</w:t>
            </w:r>
          </w:p>
        </w:tc>
      </w:tr>
      <w:tr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3. СМР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Реализация строительных работ (КС-2 Внешняя) + печать КС-2 и КС-3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15 000 000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ГлавИнвест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4. Взаиморасч.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Поступление на р/с (аванс от заказчика)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10 000 000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ГлавИнвест</w:t>
            </w:r>
          </w:p>
        </w:tc>
      </w:tr>
      <w:tr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4. Взаиморасч.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Счёт-фактура выданный на аванс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НДС 1 666 667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ГлавИнвест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4. Взаиморасч.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Взаимозачёт задолженности (зачёт аванса заказчика)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10 000 000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ГлавИнвест</w:t>
            </w:r>
          </w:p>
        </w:tc>
      </w:tr>
      <w:tr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4. Взаиморасч.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НДС к вычету с зачтённого аванса (Помощник НДС)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НДС 1 666 667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4. Взаиморасч.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Поступление на р/с (оплата остатка)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5 000 000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ГлавИнвест</w:t>
            </w:r>
          </w:p>
        </w:tc>
      </w:tr>
      <w:tr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4. Взаиморасч.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Акт сверки взаиморасчётов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0 (закрыт)</w:t>
            </w:r>
          </w:p>
        </w:tc>
        <w:tc>
          <w:tcPr>
            <w:tcW w:type="dxa" w:w="1814"/>
            <w:shd w:val="clear" w:color="auto" w:fill="F7F9FD"/>
          </w:tcPr>
          <w:p>
            <w:r>
              <w:rPr>
                <w:sz w:val="18"/>
              </w:rPr>
              <w:t>ГлавИнвест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5. Закрытие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Закрытие месяца (13 регламентных операций)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системный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Б. Ключевые бухгалтерские проводки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Операция</w:t>
            </w:r>
          </w:p>
        </w:tc>
        <w:tc>
          <w:tcPr>
            <w:tcW w:type="dxa" w:w="3024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Проводка</w:t>
            </w:r>
          </w:p>
        </w:tc>
        <w:tc>
          <w:tcPr>
            <w:tcW w:type="dxa" w:w="3024"/>
            <w:shd w:val="clear" w:color="auto" w:fill="D6E4F0"/>
          </w:tcPr>
          <w:p>
            <w:r>
              <w:rPr>
                <w:b/>
                <w:color w:val="1A375F"/>
                <w:sz w:val="20"/>
              </w:rPr>
              <w:t>Сумма, руб.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Поступление МТР от поставщика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10.01 / Кт 60.01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566 667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НДС по МТР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Дт 19 / Кт 60.01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113 333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НДС к вычету (МТР)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68.02 / Кт 19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113 333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Оплата поставщику МТР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Дт 60.01 / Кт 51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680 000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Аванс субподрядчику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60.02 / Кт 51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1 000 000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Акт субподрядчика (затраты)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Дт 20 / Кт 60.01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1 666 667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НДС от субподрядчика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19 / Кт 60.01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333 333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НДС к вычету (субподряд)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Дт 68.02 / Кт 19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333 333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Зачёт аванса субподрядчику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60.01 / Кт 60.02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1 000 000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Доплата субподрядчику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Дт 60.01 / Кт 51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1 000 000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Списание МТР на объект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20 / Кт 10.01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425 000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Выручка от реализации СМР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Дт 62.01 / Кт 90.01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12 500 000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НДС с реализации СМР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90.03 / Кт 68.02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2 500 000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Аванс от заказчика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Дт 51 / Кт 62.02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10 000 000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НДС с аванса заказчика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76.АВ / Кт 68.02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1 666 667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Зачёт аванса заказчика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Дт 62.02 / Кт 62.01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10 000 000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Вычет НДС с зачтённого аванса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68.02 / Кт 76.АВ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1 666 667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Оплата остатка от заказчика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Дт 51 / Кт 62.01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5 000 000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Зарплата рабочих СМУ №1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20 / Кт 70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~ по расчёту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Амортизация строительной техники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Дт 25 / Кт 02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~ по расчёту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Распределение сч.25 на объект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20 / Кт 25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~ по расчёту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Директ-костинг: сч.26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Дт 90.08 / Кт 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~ по расчёту</w:t>
            </w:r>
          </w:p>
        </w:tc>
      </w:tr>
      <w:tr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Закрытие сч.20 (при КС-2)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Дт 90.02 / Кт 20</w:t>
            </w:r>
          </w:p>
        </w:tc>
        <w:tc>
          <w:tcPr>
            <w:tcW w:type="dxa" w:w="3024"/>
            <w:shd w:val="clear" w:color="auto" w:fill="F7F9FD"/>
          </w:tcPr>
          <w:p>
            <w:r>
              <w:rPr>
                <w:sz w:val="20"/>
              </w:rPr>
              <w:t>= себестоимость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2CC"/>
          </w:tcPr>
          <w:p>
            <w:r>
              <w:rPr>
                <w:b/>
                <w:sz w:val="20"/>
              </w:rPr>
              <w:t xml:space="preserve">ℹ️ Примечание:  </w:t>
            </w:r>
            <w:r>
              <w:rPr>
                <w:sz w:val="20"/>
              </w:rPr>
              <w:t>Суммы, помеченные «~ по расчёту», определяются по данным конкретного периода и рассчитываются автоматически при закрытии месяца в 1С.</w:t>
            </w:r>
          </w:p>
        </w:tc>
      </w:tr>
    </w:tbl>
    <w:p/>
    <w:p>
      <w:r>
        <w:br w:type="page"/>
      </w:r>
    </w:p>
    <w:p>
      <w:pPr>
        <w:pStyle w:val="Heading1"/>
      </w:pPr>
      <w:r>
        <w:t>Заключение</w:t>
      </w:r>
    </w:p>
    <w:p>
      <w:r>
        <w:t>Сквозной пример охватывает полный операционный цикл строительной компании в системе 1С:ERP УСО 2.5 — от первоначальной настройки НСИ до закрытия отчётного периода.</w:t>
        <w:br/>
        <w:br/>
        <w:t>Ключевые принципы, которые необходимо соблюдать при работе:</w:t>
        <w:br/>
      </w:r>
    </w:p>
    <w:p>
      <w:pPr>
        <w:pStyle w:val="ListBullet"/>
      </w:pPr>
      <w:r>
        <w:rPr>
          <w:sz w:val="24"/>
        </w:rPr>
        <w:t>Учётная политика настраивается ДО ввода начальных остатков и не меняется в середине периода</w:t>
      </w:r>
    </w:p>
    <w:p>
      <w:pPr>
        <w:pStyle w:val="ListBullet"/>
      </w:pPr>
      <w:r>
        <w:rPr>
          <w:sz w:val="24"/>
        </w:rPr>
        <w:t>Производственные подразделения (СМУ) ОБЯЗАТЕЛЬНО отмечаются флагом «производит продукцию»</w:t>
      </w:r>
    </w:p>
    <w:p>
      <w:pPr>
        <w:pStyle w:val="ListBullet"/>
      </w:pPr>
      <w:r>
        <w:rPr>
          <w:sz w:val="24"/>
        </w:rPr>
        <w:t>Цепочка СМР: КС-6а → КС-2 Внутренняя → КС-2 Внешняя — нельзя пропускать шаги</w:t>
      </w:r>
    </w:p>
    <w:p>
      <w:pPr>
        <w:pStyle w:val="ListBullet"/>
      </w:pPr>
      <w:r>
        <w:rPr>
          <w:sz w:val="24"/>
        </w:rPr>
        <w:t>Для списания МТР на объект использовать отраслевые документы УСО, не стандартную «Требование-накладную»</w:t>
      </w:r>
    </w:p>
    <w:p>
      <w:pPr>
        <w:pStyle w:val="ListBullet"/>
      </w:pPr>
      <w:r>
        <w:rPr>
          <w:sz w:val="24"/>
        </w:rPr>
        <w:t>НДС с аванса начислять в течение 5 дней; восстанавливать НДС в периоде зачёта аванса через Помощник НДС</w:t>
      </w:r>
    </w:p>
    <w:p>
      <w:pPr>
        <w:pStyle w:val="ListBullet"/>
      </w:pPr>
      <w:r>
        <w:rPr>
          <w:sz w:val="24"/>
        </w:rPr>
        <w:t>НЗП на сч.20 после закрытия месяца — нормальное поведение для незакрытых объектов</w:t>
      </w:r>
    </w:p>
    <w:p>
      <w:pPr>
        <w:pStyle w:val="ListBullet"/>
      </w:pPr>
      <w:r>
        <w:rPr>
          <w:sz w:val="24"/>
        </w:rPr>
        <w:t>После каждой сессии с новыми знаниями — обновить базу знаний через /1c-uso-knowledge в режиме UPDATE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2CC"/>
          </w:tcPr>
          <w:p>
            <w:r>
              <w:rPr>
                <w:b/>
                <w:sz w:val="20"/>
              </w:rPr>
              <w:t xml:space="preserve">📚 База знаний:  </w:t>
            </w:r>
            <w:r>
              <w:rPr>
                <w:sz w:val="20"/>
              </w:rPr>
              <w:t>База знаний по 1С:ERP УСО 2.5 хранится в файлах памяти Claude и обновляется после каждой сессии работы с системой. Для поиска информации или добавления новых знаний используйте скилл /1c-uso-knowledge.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7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