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7AE73D87" wp14:editId="1430576F">
            <wp:extent cx="534670" cy="534670"/>
            <wp:effectExtent l="0" t="0" r="0" b="0"/>
            <wp:docPr id="1" name="Рисунок 1" descr="Описание: гумрф новое 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писание: гумрф новое лого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" cy="53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54" w:rsidRPr="00074D54" w:rsidRDefault="00074D54" w:rsidP="00074D54">
      <w:pPr>
        <w:pStyle w:val="VKRTitlePage"/>
        <w:keepNext/>
        <w:spacing w:after="0" w:line="276" w:lineRule="auto"/>
        <w:jc w:val="center"/>
        <w:outlineLvl w:val="8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ФЕДЕРАЛЬНОЕ АГЕНТСТВО МОРСКОГО И РЕЧНОГО ТРАНСПОРТА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b/>
          <w:sz w:val="16"/>
          <w:szCs w:val="16"/>
          <w:lang w:eastAsia="ru-RU"/>
        </w:rPr>
      </w:pP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074D54" w:rsidRPr="00074D54" w:rsidRDefault="00074D54" w:rsidP="00074D54">
      <w:pPr>
        <w:pStyle w:val="VKRTitlePage"/>
        <w:keepNext/>
        <w:spacing w:after="0" w:line="276" w:lineRule="auto"/>
        <w:jc w:val="center"/>
        <w:outlineLvl w:val="8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«Государственный университет морского и речного флота имени адмирала С.О. Макарова»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(ФГБОУ ВО «ГУМРФ имени адмирала С.О. Макарова»)</w:t>
      </w:r>
    </w:p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Институт (факультет)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Кафедра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Направление подготовки (специальность) 26.05.05 Судовождение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  <w:t xml:space="preserve">                                                                                             (код, наименование направления подготовки/специальности)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Форма обучения </w:t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ind w:right="-141"/>
        <w:jc w:val="right"/>
        <w:rPr>
          <w:rFonts w:ascii="Times New Roman" w:eastAsia="Times New Roman" w:hAnsi="Times New Roman" w:cs="Times New Roman"/>
          <w:color w:val="000000"/>
          <w:sz w:val="19"/>
          <w:szCs w:val="19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19"/>
          <w:szCs w:val="19"/>
          <w:lang w:eastAsia="ru-RU"/>
        </w:rPr>
        <w:t xml:space="preserve"> «К ЗАЩИТЕ ДОПУЩЕНА»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lang w:eastAsia="ru-RU"/>
        </w:rPr>
        <w:t>Заведующий кафедрой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7200" w:right="-109" w:firstLine="720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(подпись)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7200" w:right="-109" w:firstLine="720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(ФИО)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9" w:right="-109"/>
        <w:jc w:val="right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lang w:eastAsia="ru-RU"/>
        </w:rPr>
        <w:t xml:space="preserve"> 20</w:t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Выпускная квалификационная работа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Обучающегося Козырева Никиты Алексеевича, группа S-612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(фамилия, имя, отчество)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Вид работы: выпускная квалификационная работа специалиста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(выпускная квалификационная работа бакалавра, специалиста, магистра)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Пояснительная записка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/>
          <w:b w:val="0"/>
          <w:color w:val="000000"/>
          <w:sz w:val="28"/>
        </w:rPr>
        <w:t>Тема: Исследование и анализ применения технологий автономного судовождения (MASS) при плавании в узкостях и перспективы их внедрения на морском флоте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(полное название темы квалификационной работы, в соответствии с приказом об утверждении тематики ВКР)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Руководитель работы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Консультант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   (при </w:t>
      </w:r>
      <w:proofErr w:type="gramStart"/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наличии)   </w:t>
      </w:r>
      <w:proofErr w:type="gramEnd"/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                                                  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Консультант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Обучающийся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(подпись, фамилия, инициалы, дата)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</w:p>
    <w:p w:rsidR="00641AE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2026</w:t>
      </w:r>
    </w:p>
    <w:p>
      <w:pPr>
        <w:pStyle w:val="VKRFrontHeading"/>
      </w:pPr>
      <w:r>
        <w:t>СОДЕРЖАНИЕ</w:t>
      </w:r>
    </w:p>
    <w:p>
      <w:pPr>
        <w:pStyle w:val="VKRTOCEntry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VKRSection0">
        <w:r>
          <w:t>Перечень сокращений</w:t>
        </w:r>
      </w:hyperlink>
      <w:r>
        <w:tab/>
      </w:r>
      <w:fldSimple w:instr="PAGEREF VKRSection0 \h">
        <w:r>
          <w:t>3</w:t>
        </w:r>
      </w:fldSimple>
    </w:p>
    <w:p>
      <w:pPr>
        <w:pStyle w:val="VKRTOCEntry"/>
      </w:pPr>
      <w:hyperlink w:anchor="VKRSection1">
        <w:r>
          <w:t>Введение</w:t>
        </w:r>
      </w:hyperlink>
      <w:r>
        <w:tab/>
      </w:r>
      <w:fldSimple w:instr="PAGEREF VKRSection1 \h">
        <w:r>
          <w:t>4</w:t>
        </w:r>
      </w:fldSimple>
    </w:p>
    <w:p>
      <w:pPr>
        <w:pStyle w:val="VKRTOCEntry"/>
      </w:pPr>
      <w:hyperlink w:anchor="VKRSection2">
        <w:r>
          <w:t>1 Теоретические и нормативные основы автономного судовождения при плавании в узкостях</w:t>
        </w:r>
      </w:hyperlink>
      <w:r>
        <w:tab/>
      </w:r>
      <w:fldSimple w:instr="PAGEREF VKRSection2 \h">
        <w:r>
          <w:t>7</w:t>
        </w:r>
      </w:fldSimple>
    </w:p>
    <w:p>
      <w:pPr>
        <w:pStyle w:val="VKRTOCEntry"/>
        <w:tabs>
          <w:tab w:pos="9071" w:val="right" w:leader="dot"/>
        </w:tabs>
        <w:ind w:left="283"/>
      </w:pPr>
      <w:hyperlink w:anchor="VKRSection3">
        <w:r>
          <w:t>1.1 Понятия, режимы управления и участие человека</w:t>
        </w:r>
      </w:hyperlink>
      <w:r>
        <w:tab/>
      </w:r>
      <w:fldSimple w:instr="PAGEREF VKRSection3 \h">
        <w:r>
          <w:t>7</w:t>
        </w:r>
      </w:fldSimple>
    </w:p>
    <w:p>
      <w:pPr>
        <w:pStyle w:val="VKRTOCEntry"/>
        <w:tabs>
          <w:tab w:pos="9071" w:val="right" w:leader="dot"/>
        </w:tabs>
        <w:ind w:left="283"/>
      </w:pPr>
      <w:hyperlink w:anchor="VKRSection4">
        <w:r>
          <w:t>1.2 Основные элементы технической системы</w:t>
        </w:r>
      </w:hyperlink>
      <w:r>
        <w:tab/>
      </w:r>
      <w:fldSimple w:instr="PAGEREF VKRSection4 \h">
        <w:r>
          <w:t>10</w:t>
        </w:r>
      </w:fldSimple>
    </w:p>
    <w:p>
      <w:pPr>
        <w:pStyle w:val="VKRTOCEntry"/>
        <w:tabs>
          <w:tab w:pos="9071" w:val="right" w:leader="dot"/>
        </w:tabs>
        <w:ind w:left="283"/>
      </w:pPr>
      <w:hyperlink w:anchor="VKRSection5">
        <w:r>
          <w:t>1.3 Особенности плавания в узкостях</w:t>
        </w:r>
      </w:hyperlink>
      <w:r>
        <w:tab/>
      </w:r>
      <w:fldSimple w:instr="PAGEREF VKRSection5 \h">
        <w:r>
          <w:t>16</w:t>
        </w:r>
      </w:fldSimple>
    </w:p>
    <w:p>
      <w:pPr>
        <w:pStyle w:val="VKRTOCEntry"/>
        <w:tabs>
          <w:tab w:pos="9071" w:val="right" w:leader="dot"/>
        </w:tabs>
        <w:ind w:left="283"/>
      </w:pPr>
      <w:hyperlink w:anchor="VKRSection6">
        <w:r>
          <w:t>1.4 Нормативные требования и границы разрешённых режимов</w:t>
        </w:r>
      </w:hyperlink>
      <w:r>
        <w:tab/>
      </w:r>
      <w:fldSimple w:instr="PAGEREF VKRSection6 \h">
        <w:r>
          <w:t>19</w:t>
        </w:r>
      </w:fldSimple>
    </w:p>
    <w:p>
      <w:pPr>
        <w:pStyle w:val="VKRTOCEntry"/>
      </w:pPr>
      <w:hyperlink w:anchor="VKRSection7">
        <w:r>
          <w:t>2 Российский и зарубежный опыт применения технологий автономного судовождения</w:t>
        </w:r>
      </w:hyperlink>
      <w:r>
        <w:tab/>
      </w:r>
      <w:fldSimple w:instr="PAGEREF VKRSection7 \h">
        <w:r>
          <w:t>22</w:t>
        </w:r>
      </w:fldSimple>
    </w:p>
    <w:p>
      <w:pPr>
        <w:pStyle w:val="VKRTOCEntry"/>
        <w:tabs>
          <w:tab w:pos="9071" w:val="right" w:leader="dot"/>
        </w:tabs>
        <w:ind w:left="283"/>
      </w:pPr>
      <w:hyperlink w:anchor="VKRSection8">
        <w:r>
          <w:t>2.1 Документированные этапы российских проектов</w:t>
        </w:r>
      </w:hyperlink>
      <w:r>
        <w:tab/>
      </w:r>
      <w:fldSimple w:instr="PAGEREF VKRSection8 \h">
        <w:r>
          <w:t>22</w:t>
        </w:r>
      </w:fldSimple>
    </w:p>
    <w:p>
      <w:pPr>
        <w:pStyle w:val="VKRTOCEntry"/>
        <w:tabs>
          <w:tab w:pos="9071" w:val="right" w:leader="dot"/>
        </w:tabs>
        <w:ind w:left="283"/>
      </w:pPr>
      <w:hyperlink w:anchor="VKRSection9">
        <w:r>
          <w:t>2.2 Функции комплекса и распределение управления</w:t>
        </w:r>
      </w:hyperlink>
      <w:r>
        <w:tab/>
      </w:r>
      <w:fldSimple w:instr="PAGEREF VKRSection9 \h">
        <w:r>
          <w:t>23</w:t>
        </w:r>
      </w:fldSimple>
    </w:p>
    <w:p>
      <w:pPr>
        <w:pStyle w:val="VKRTOCEntry"/>
        <w:tabs>
          <w:tab w:pos="9071" w:val="right" w:leader="dot"/>
        </w:tabs>
        <w:ind w:left="283"/>
      </w:pPr>
      <w:hyperlink w:anchor="VKRSection10">
        <w:r>
          <w:t>2.3 Условия проверки и значение для плавания в узкостях</w:t>
        </w:r>
      </w:hyperlink>
      <w:r>
        <w:tab/>
      </w:r>
      <w:fldSimple w:instr="PAGEREF VKRSection10 \h">
        <w:r>
          <w:t>24</w:t>
        </w:r>
      </w:fldSimple>
    </w:p>
    <w:p>
      <w:pPr>
        <w:pStyle w:val="VKRTOCEntry"/>
      </w:pPr>
      <w:hyperlink w:anchor="VKRSection11">
        <w:r>
          <w:t>Список использованных источников</w:t>
        </w:r>
      </w:hyperlink>
      <w:r>
        <w:tab/>
      </w:r>
      <w:fldSimple w:instr="PAGEREF VKRSection11 \h">
        <w:r>
          <w:t>26</w:t>
        </w:r>
      </w:fldSimple>
      <w:r>
        <w:fldChar w:fldCharType="end"/>
      </w:r>
    </w:p>
    <w:p>
      <w:pPr>
        <w:pStyle w:val="VKRStructuralHeading"/>
      </w:pPr>
      <w:bookmarkStart w:id="1000" w:name="VKRSection0"/>
      <w:r>
        <w:t>ПЕРЕЧЕНЬ СОКРАЩЕНИЙ</w:t>
      </w:r>
      <w:bookmarkEnd w:id="1000"/>
    </w:p>
    <w:p>
      <w:pPr>
        <w:pStyle w:val="VKRAbbreviation"/>
      </w:pPr>
      <w:r>
        <w:t>ММО</w:t>
        <w:tab/>
        <w:t>Международная морская организация</w:t>
      </w:r>
    </w:p>
    <w:p>
      <w:pPr>
        <w:pStyle w:val="VKRAbbreviation"/>
      </w:pPr>
      <w:r>
        <w:t>MASS</w:t>
        <w:tab/>
        <w:t>Maritime Autonomous Surface Ship — морское автономное надводное судно</w:t>
      </w:r>
    </w:p>
    <w:p>
      <w:pPr>
        <w:pStyle w:val="VKRAbbreviation"/>
      </w:pPr>
      <w:r>
        <w:t>РЛС</w:t>
        <w:tab/>
        <w:t>радиолокационная станция</w:t>
      </w:r>
    </w:p>
    <w:p>
      <w:pPr>
        <w:pStyle w:val="VKRAbbreviation"/>
      </w:pPr>
      <w:r>
        <w:t>АИС</w:t>
        <w:tab/>
        <w:t>автоматическая идентификационная система</w:t>
      </w:r>
    </w:p>
    <w:p>
      <w:pPr>
        <w:pStyle w:val="VKRAbbreviation"/>
      </w:pPr>
      <w:r>
        <w:t>ГНСС</w:t>
        <w:tab/>
        <w:t>глобальная навигационная спутниковая система</w:t>
      </w:r>
    </w:p>
    <w:p>
      <w:pPr>
        <w:pStyle w:val="VKRAbbreviation"/>
      </w:pPr>
      <w:r>
        <w:t>МППСС-72</w:t>
        <w:tab/>
        <w:t>Международные правила предупреждения столкновений судов в море 1972 года</w:t>
      </w:r>
    </w:p>
    <w:bookmarkStart w:id="20" w:name="введение"/>
    <w:p>
      <w:pPr>
        <w:pStyle w:val="VKRStructuralHeading"/>
        <w:pageBreakBefore/>
      </w:pPr>
      <w:bookmarkStart w:id="1001" w:name="VKRSection1"/>
      <w:r>
        <w:rPr>
          <w:rFonts w:ascii="Times New Roman" w:hAnsi="Times New Roman"/>
          <w:color w:val="000000"/>
          <w:sz w:val="28"/>
        </w:rPr>
        <w:t>ВВЕДЕНИЕ</w:t>
      </w:r>
      <w:bookmarkEnd w:id="1001"/>
    </w:p>
    <w:p>
      <w:pPr>
        <w:pStyle w:val="FirstParagraph"/>
      </w:pPr>
      <w:r>
        <w:rPr>
          <w:b w:val="0"/>
        </w:rPr>
        <w:t xml:space="preserve">Развитие автономного судовождения ставит перед морским флотом вопрос о том, какие задачи управления судном могут выполняться технической системой и при каких условиях сохраняется безопасность плавания. Международная морская организация (ММО) рассматривает морское автономное надводное судно — Maritime Autonomous Surface Ship (MASS) — как судно, способное в различной степени действовать независимо от участия человека. Принятый в 2026 году Кодекс безопасности MASS связывает применение автономных функций с установленными эксплуатационными границами, возможностью контроля и заранее определёнными действиями при нарушении условий работы [1, с. 9, 20–24]. Поэтому анализ автономности требует рассматривать не только состав оборудования, но и распределение задач между судовой системой, экипажем и береговым оператором.</w:t>
      </w:r>
    </w:p>
    <w:p>
      <w:pPr>
        <w:pStyle w:val="BodyText"/>
      </w:pPr>
      <w:r>
        <w:rPr>
          <w:b w:val="0"/>
        </w:rPr>
        <w:t xml:space="preserve">Особое значение эта задача приобретает при плавании в узкостях. Ограниченное пространство связывает выбор траектории с глубинами, маневренными характеристиками судна и движением других участников. Согласно Руководству ММО по планированию рейса, на критических участках необходимо учитывать минимальный запас воды под килем, увеличение осадки из-за просадки и крена, особенности циркуляции и влияние течений [5, п. 3.2.2.1–3.2.2.5]. Для автономной системы эти условия образуют взаимосвязанную задачу: обнаружить опасность, определить её значение для дальнейшего движения и выбрать действие, допустимое в имеющемся пространстве.</w:t>
      </w:r>
    </w:p>
    <w:p>
      <w:pPr>
        <w:pStyle w:val="BodyText"/>
      </w:pPr>
      <w:r>
        <w:rPr>
          <w:b w:val="0"/>
        </w:rPr>
        <w:t xml:space="preserve">В настоящей работе основное внимание уделяется обнаружению опасности и пониманию навигационной обстановки. Получение данных о цели ещё не означает, что система правильно определила характер ситуации. Необходимо установить положение и движение объектов, оценить доступный путь, учесть ограничения судна и спрогнозировать последствия решения. Кодекс MASS описывает ситуационную осведомлённость через восприятие элементов окружающей обстановки, понимание их значения и прогнозирование последующего состояния [1, с. 10]. Эта последовательность позволяет рассматривать автономное судовождение как совокупность связанных функций, применимость которых должна оцениваться для определённых условий плавания.</w:t>
      </w:r>
    </w:p>
    <w:p>
      <w:pPr>
        <w:pStyle w:val="BodyText"/>
      </w:pPr>
      <w:r>
        <w:rPr>
          <w:b w:val="0"/>
        </w:rPr>
        <w:t xml:space="preserve">При изучении российских проектов важно различать наличие автономного комплекса и фактически разрешённый режим его использования. Например, в сообщении разработчика о паромах «Маршал Рокоссовский» и «Генерал Черняховский» от 3 октября 2023 года для узкостей и входа в порт описан ручной режим с поддержкой принятия решений, а дистанционное управление отнесено к плаванию в море [7]. Это сообщение характеризует заявленное распределение управления в конкретных проектах и на указанную дату. Оно не устанавливает общий запрет автономного плавания в узкостях, но показывает необходимость отдельно проверять условия применения каждой функции. Аналогичный подход требуется при обращении к зарубежному опыту: сведения о демонстрации технологии следует сопоставлять с районом, режимом управления и доступными материалами испытаний.</w:t>
      </w:r>
    </w:p>
    <w:p>
      <w:pPr>
        <w:pStyle w:val="BodyText"/>
      </w:pPr>
      <w:r>
        <w:rPr>
          <w:b w:val="0"/>
        </w:rPr>
        <w:t xml:space="preserve">Цель выпускной квалификационной работы — определить условия и ограничения применения технологий автономного судовождения при плавании в узкостях и обосновать направления их внедрения на морском флоте на основе анализа нормативных требований, документированных проектов и навигационных ситуаций.</w:t>
      </w:r>
    </w:p>
    <w:p>
      <w:pPr>
        <w:pStyle w:val="BodyText"/>
      </w:pPr>
      <w:r>
        <w:rPr>
          <w:b w:val="0"/>
        </w:rPr>
        <w:t xml:space="preserve">Объект исследования — применение технологий автономного судовождения на морских судах. Предмет исследования — функции обнаружения опасности, оценки навигационной обстановки и управления движением в условиях ограниченного пространства, а также условия распределения управления между системой и человеком.</w:t>
      </w:r>
    </w:p>
    <w:p>
      <w:pPr>
        <w:pStyle w:val="BodyText"/>
      </w:pPr>
      <w:r>
        <w:rPr>
          <w:b w:val="0"/>
        </w:rPr>
        <w:t xml:space="preserve">Для достижения цели поставлены следующие задачи: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Уточнить основные понятия автономного судовождения, состав технической системы и нормативные требования, значимые для плавания в узкостях.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документированные российские проекты, затем зарубежные решения, включая японский опыт, и сопоставить подтверждённые функции и условия их применения.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Проанализировать типовые навигационные ситуации и нарушения работы системы, определив требования к обнаружению опасности, оценке обстановки, выбору действия и передаче управления.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Обосновать направления внедрения технологий на морском флоте и рассмотреть их применимость к одному району плавания в качестве иллюстративного примера.</w:t>
      </w:r>
    </w:p>
    <w:p>
      <w:pPr>
        <w:pStyle w:val="FirstParagraph"/>
      </w:pPr>
      <w:r>
        <w:rPr>
          <w:b w:val="0"/>
        </w:rPr>
        <w:t xml:space="preserve">Методическую основу составляют анализ нормативных документов и технических публикаций, сравнительное рассмотрение проектов и качественный сценарный анализ. Сопоставление проводится по функции системы, режиму управления, условиям плавания и характеру подтверждающих сведений. Документальное требование, сообщение участника проекта и аналитическое предположение рассматриваются раздельно. При отсутствии исходных данных о судне или районе численные характеристики безопасного манёвра не назначаются произвольно.</w:t>
      </w:r>
    </w:p>
    <w:p>
      <w:pPr>
        <w:pStyle w:val="BodyText"/>
      </w:pPr>
      <w:r>
        <w:rPr>
          <w:b w:val="0"/>
        </w:rPr>
        <w:t xml:space="preserve">Исследование строится от общих принципов к условиям применения. Первый раздел формирует терминологическую и нормативную основу. Второй посвящён российским проектам и последующему сопоставлению с зарубежным опытом. В третьем разделе предусматривается анализ навигационных ситуаций в узкостях; в четвёртом — рассмотрение перспектив внедрения и районного примера. Практическая направленность работы состоит в систематизации условий, которые необходимо проверить при оценке пригодности автономных функций для конкретного участка плавания.</w:t>
      </w:r>
    </w:p>
    <w:bookmarkEnd w:id="20"/>
    <w:bookmarkStart w:id="25" w:name="X381a4be41f3d8a6f408f003d821cb6cd7048639"/>
    <w:p>
      <w:pPr>
        <w:pStyle w:val="Heading1"/>
        <w:pageBreakBefore/>
      </w:pPr>
      <w:bookmarkStart w:id="1002" w:name="VKRSection2"/>
      <w:r>
        <w:rPr>
          <w:rFonts w:ascii="Times New Roman" w:hAnsi="Times New Roman"/>
          <w:color w:val="000000"/>
          <w:sz w:val="28"/>
        </w:rPr>
        <w:t>1 ТЕОРЕТИЧЕСКИЕ И НОРМАТИВНЫЕ ОСНОВЫ АВТОНОМНОГО СУДОВОЖДЕНИЯ ПРИ ПЛАВАНИИ В УЗКОСТЯХ</w:t>
      </w:r>
      <w:bookmarkEnd w:id="1002"/>
    </w:p>
    <w:bookmarkStart w:id="21" w:name="Xdad6f52ab5828a7ff9addc932cc1a3c09c46013"/>
    <w:p>
      <w:pPr>
        <w:pStyle w:val="Heading2"/>
      </w:pPr>
      <w:bookmarkStart w:id="1003" w:name="VKRSection3"/>
      <w:r>
        <w:rPr>
          <w:rFonts w:ascii="Times New Roman" w:hAnsi="Times New Roman"/>
          <w:color w:val="000000"/>
          <w:sz w:val="28"/>
        </w:rPr>
        <w:t xml:space="preserve">1.1 Понятия, режимы управления и участие человека</w:t>
      </w:r>
      <w:bookmarkEnd w:id="1003"/>
    </w:p>
    <w:p>
      <w:pPr>
        <w:pStyle w:val="FirstParagraph"/>
      </w:pPr>
      <w:r>
        <w:rPr>
          <w:b w:val="0"/>
        </w:rPr>
        <w:t xml:space="preserve">Автономное судовождение рассматривается в настоящей работе через распределение навигационных задач между человеком и техническими системами. Такое распределение необходимо описывать для определённых условий плавания: один и тот же способ управления может предусматривать разные ограничения при переходе по открытому морю и при движении в узкости. Основанием для анализа служит функциональный подход Кодекса безопасности автономных надводных судов, который связывает режимы работы с выполняемыми задачами, участием человека и допустимыми условиями эксплуатации [1, с. 20–22].</w:t>
      </w:r>
    </w:p>
    <w:p>
      <w:pPr>
        <w:pStyle w:val="BodyText"/>
      </w:pPr>
      <w:r>
        <w:rPr>
          <w:b w:val="0"/>
        </w:rPr>
        <w:t xml:space="preserve">Международная морская организация (ММО) определяет автономное надводное судно — Maritime Autonomous Surface Ship (MASS) — как судно, способное в различной степени действовать независимо от взаимодействия с человеком. Это определение не устанавливает обязательного отсутствия экипажа. В Кодексе отдельно предусмотрено применение автономных и дистанционно управляемых функций при наличии людей на борту, выполняющих другие задачи [1, с. 8–9]. Поэтому в рамках исследования необходимо устанавливать, какие именно функции переданы технической системе или оператору за пределами судна, а также кто контролирует их выполнение.</w:t>
      </w:r>
    </w:p>
    <w:p>
      <w:pPr>
        <w:pStyle w:val="BodyText"/>
      </w:pPr>
      <w:r>
        <w:rPr>
          <w:b w:val="0"/>
        </w:rPr>
        <w:t xml:space="preserve">В мае 2026 года ММО приняла Кодекс безопасности MASS резолюцией MSC.595(111); начало его применения предусмотрено с 1 июля 2026 года [1, с. 1; 3]. Кодекс имеет необязательный статус и дополняет применимые международные инструменты. Согласно разделу об области применения, он относится к грузовым судам, на которые распространяется глава I Международной конвенции по охране человеческой жизни на море 1974 года, и связанным с ними центрам дистанционного управления при указанных в Кодексе условиях. Его положения нельзя автоматически представлять как универсальные обязательные правила для любого автономного плавсредства [1, с. 7–8].</w:t>
      </w:r>
    </w:p>
    <w:p>
      <w:pPr>
        <w:pStyle w:val="BodyText"/>
      </w:pPr>
      <w:r>
        <w:rPr>
          <w:b w:val="0"/>
        </w:rPr>
        <w:t xml:space="preserve">Кодекс разграничивает повышенную автоматизацию обычного судна и использование автономных либо дистанционно управляемых функций, которые дополняют или заменяют работу экипажа. Автономность процесса или оборудования определяется способностью в заданных условиях выбирать управляющие действия без вмешательства человека; такие свойства должны быть предусмотрены проектом и проверены. Дистанционное управление означает выполнение управления функциями и системами из места за пределами судна [1, с. 6, 9–10]. Следовательно, при дистанционном судовождении решение может принимать береговой оператор, а при автономном выполнении функции — система. Наличие дистанционного канала управления само по себе не показывает, что система самостоятельно оценивает навигационную ситуацию.</w:t>
      </w:r>
    </w:p>
    <w:p>
      <w:pPr>
        <w:pStyle w:val="BodyText"/>
      </w:pPr>
      <w:r>
        <w:rPr>
          <w:b w:val="0"/>
        </w:rPr>
        <w:t xml:space="preserve">Для понимания развития терминологии необходимо учитывать классификацию, использованную ММО при исследовании применимости существующей нормативной базы к MASS. Итоги этого исследования опубликованы в циркуляре MSC.1/Circ.1638 от 3 июня 2021 года. В нём выделены четыре степени автономности, приведённые в таблице 1.1. Эта классификация описывает подход, применённый для нормативного исследования, и должна читаться с учётом его назначения [2, п. 3.3–3.5].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1.1 — Степени автономности в нормативном исследовании ММО 2021 года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3288"/>
        <w:gridCol w:w="4762"/>
      </w:tblGrid>
      <w:tr>
        <w:trPr>
          <w:tblHeader w:val="true"/>
          <w:cantSplit/>
        </w:trPr>
        <w:tc>
          <w:tcPr>
            <w:tcW w:type="dxa" w:w="1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Степень</w:t>
            </w:r>
          </w:p>
        </w:tc>
        <w:tc>
          <w:tcPr>
            <w:tcW w:type="dxa" w:w="328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Характер управления</w:t>
            </w:r>
          </w:p>
        </w:tc>
        <w:tc>
          <w:tcPr>
            <w:tcW w:type="dxa" w:w="476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Участие человека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Первая</w:t>
            </w:r>
          </w:p>
        </w:tc>
        <w:tc>
          <w:tcPr>
            <w:tcW w:type="dxa" w:w="328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Автоматизированные процессы и поддержка решений</w:t>
            </w:r>
          </w:p>
        </w:tc>
        <w:tc>
          <w:tcPr>
            <w:tcW w:type="dxa" w:w="476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борту, управляют системами и готовы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Вторая</w:t>
            </w:r>
          </w:p>
        </w:tc>
        <w:tc>
          <w:tcPr>
            <w:tcW w:type="dxa" w:w="328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 и могут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Третья</w:t>
            </w:r>
          </w:p>
        </w:tc>
        <w:tc>
          <w:tcPr>
            <w:tcW w:type="dxa" w:w="328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 борту отсутствуют; управление осуществляется из другого места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Четвёртая</w:t>
            </w:r>
          </w:p>
        </w:tc>
        <w:tc>
          <w:tcPr>
            <w:tcW w:type="dxa" w:w="328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Полностью автономное судно</w:t>
            </w:r>
          </w:p>
        </w:tc>
        <w:tc>
          <w:tcPr>
            <w:tcW w:type="dxa" w:w="476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Система способна самостоятельно принимать решения и определять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Источник: составлено по MSC.1/Circ.1638, п. 3.4 [2]. В пункте 3.5 прямо указано, что перечисление не выражает иерархического порядка и что в течение одного рейса судно может работать в одной или нескольких степенях автономности. Поэтому номер степени не следует использовать как самостоятельное доказательство большей безопасности или лучшей пригодности судна для узкости. Для такого вывода нужны сведения о функциях и условиях их фактического выполнения.</w:t>
      </w:r>
    </w:p>
    <w:p>
      <w:pPr>
        <w:pStyle w:val="BodyText"/>
      </w:pPr>
      <w:r>
        <w:rPr>
          <w:b w:val="0"/>
        </w:rPr>
        <w:t xml:space="preserve">При анализе конкретного проекта более предметное описание даёт распределение задач. Кодекс 2026 года предусматривает указание автономных и дистанционно управляемых функций, их исполнителей, порядка надзора и местонахождения участвующих людей. Режим работы может меняться на разных этапах рейса, но критерии и процедуры перехода должны быть описаны в концепции эксплуатации судна [1, с. 22]. Для рассматриваемой темы существенны вопросы: кто обнаруживает опасность, кто оценивает её развитие, кто выбирает манёвр и кто может изменить принятое решение.</w:t>
      </w:r>
    </w:p>
    <w:p>
      <w:pPr>
        <w:pStyle w:val="BodyText"/>
      </w:pPr>
      <w:r>
        <w:rPr>
          <w:b w:val="0"/>
        </w:rPr>
        <w:t xml:space="preserve">Участие человека сохраняет значение и при автономном выполнении отдельных задач. Кодекс предусматривает наличие капитана, ответственного за MASS независимо от режима работы, и средств вмешательства при необходимости. Экипажу или дистанционному оператору следует предоставлять время и информацию, достаточные для понимания ситуации и принятия управления [1, с. 22]. Для анализа узкостей из этого следует необходимость рассматривать передачу управления как самостоятельную процедуру. Недостаточно только указать, что оператор способен отключить автономный режим: нужно установить, какие сведения он получает и в какой обстановке должен продолжить управление.</w:t>
      </w:r>
    </w:p>
    <w:p>
      <w:pPr>
        <w:pStyle w:val="BodyText"/>
      </w:pPr>
      <w:r>
        <w:rPr>
          <w:b w:val="0"/>
        </w:rPr>
        <w:t xml:space="preserve">Допустимость работы системы связана с её эксплуатационными границами. Кодекс различает эксплуатационные возможности и ограничения судна в целом — Operational Envelope — и проектную область работы отдельной системы или функции — Operational Design Domain. В первое описание входят, в частности, район плавания, условия движения, связь и ограничения среды. Для отдельных функций учитываются безопасные условия применения, возможные неисправности и степень взаимодействия с человеком [1, с. 10, 20–21]. Таким образом, характеристика «автономное судно» требует уточнения условий, в которых предусмотрено выполнение конкретной задачи.</w:t>
      </w:r>
    </w:p>
    <w:p>
      <w:pPr>
        <w:pStyle w:val="BodyText"/>
      </w:pPr>
      <w:r>
        <w:rPr>
          <w:b w:val="0"/>
        </w:rPr>
        <w:t xml:space="preserve">Для дальнейшего исследования принимается следующий порядок описания проектов: выполняемая функция, режим управления, участие человека, допустимые условия и действие при выходе за эти условия. Такой порядок позволит сопоставлять российские и зарубежные разработки по содержанию их работы. Обнаружение опасности и понимание обстановки будут рассматриваться отдельно от исполнения манёвра: наличие средств управления движением ещё не показывает, на какой информации основано решение об изменении курса или скорости.</w:t>
      </w:r>
    </w:p>
    <w:bookmarkEnd w:id="21"/>
    <w:bookmarkStart w:id="22" w:name="основные-элементы-технической-системы"/>
    <w:p>
      <w:pPr>
        <w:pStyle w:val="Heading2"/>
      </w:pPr>
      <w:bookmarkStart w:id="1004" w:name="VKRSection4"/>
      <w:r>
        <w:rPr>
          <w:rFonts w:ascii="Times New Roman" w:hAnsi="Times New Roman"/>
          <w:color w:val="000000"/>
          <w:sz w:val="28"/>
        </w:rPr>
        <w:t xml:space="preserve">1.2 Основные элементы технической системы</w:t>
      </w:r>
      <w:bookmarkEnd w:id="1004"/>
    </w:p>
    <w:p>
      <w:pPr>
        <w:pStyle w:val="FirstParagraph"/>
      </w:pPr>
      <w:r>
        <w:rPr>
          <w:b w:val="0"/>
        </w:rPr>
        <w:t xml:space="preserve">Навигационные функции MASS целесообразно рассматривать как последовательность получения данных, оценки ситуации, выбора действия, его исполнения и контроля результата. В настоящей работе эта последовательность используется как схема анализа технических решений. Она согласуется с выделенными в Кодексе подфункциями навигации: планированием рейса, поддержанием ситуационной осведомлённости, предотвращением столкновений и посадки на мель, выполнением маршрута и наблюдением за его выполнением [1, с. 39–41]. Схема не задаёт единственную аппаратную архитектуру судна; состав оборудования и распределение задач необходимо устанавливать по документации конкретного проекта.</w:t>
      </w:r>
    </w:p>
    <w:p>
      <w:pPr>
        <w:pStyle w:val="BodyText"/>
      </w:pPr>
      <w:r>
        <w:rPr>
          <w:b w:val="0"/>
        </w:rPr>
        <w:t xml:space="preserve">Конкретный пример распределения этих задач представлен в учебном описании комплекса «БЭС-КФ». В нём автономная навигационная система включает обработку поступающих сведений, прогнозирование обстановки и подготовку манёвра; отдельно выделены оптическое наблюдение, управление движением, контроль технических средств и дистанционный пульт. Некоторые элементы предусмотрены как опциональные при наличии на судне равнозначных средств [11, с. 11–13]. Такая организация показывает, что оценка ситуации и выполнение управляющей команды могут относиться к разным подсистемам. При использовании этого примера следует учитывать его происхождение: учебный материал объясняет структуру конкретного комплекса, а фактическая комплектация рассматриваемого судна устанавливается по его документации.</w:t>
      </w:r>
    </w:p>
    <w:p>
      <w:pPr>
        <w:pStyle w:val="BodyText"/>
      </w:pPr>
      <w:r>
        <w:rPr>
          <w:b w:val="0"/>
        </w:rPr>
        <w:t xml:space="preserve">Первое звено связано с получением сведений о собственном судне, окружающем движении и районе плавания. Для оценки навигационной ситуации нужны данные о положении и движении судна, обнаруженных объектах, гидрографических условиях и ограничениях маршрута. Кодекс предусматривает доступность необходимых навигационных данных, их представление в машиночитаемом виде для автономной системы и непрерывное наблюдение за информацией, требуемой для безопасного плавания [1, с. 39–40]. При последующем изучении российских и японских проектов необходимо установить, какие данные фактически получает система и как они поступают к человеку, участвующему в управлении.</w:t>
      </w:r>
    </w:p>
    <w:p>
      <w:pPr>
        <w:pStyle w:val="BodyText"/>
      </w:pPr>
      <w:r>
        <w:rPr>
          <w:b w:val="0"/>
        </w:rPr>
        <w:t xml:space="preserve">В учебном разделе о технических средствах среди источников навигационных данных названы радиолокационная станция (РЛС), автоматическая идентификационная система (АИС), гирокомпас, лаг, эхолот и средства наблюдения за состоянием судна. Дополнительно рассматриваются глобальная навигационная спутниковая система (ГНСС), инерциальные и оптические средства [12, с. 3–4]. Для анализа узкости этот перечень целесообразно распределить по решаемым задачам: определение места собственного судна, оценка его движения, наблюдение внешних объектов и контроль доступных средств управления. Обоснование состава оборудования должно связывать эти задачи с условиями плавания. Перечень приборов сам по себе не устанавливает точность оценки опасности и своевременность реакции системы.</w:t>
      </w:r>
    </w:p>
    <w:p>
      <w:pPr>
        <w:pStyle w:val="BodyText"/>
      </w:pPr>
      <w:r>
        <w:rPr>
          <w:b w:val="0"/>
        </w:rPr>
        <w:t xml:space="preserve">Следующее звено — проверка и объединение поступающих сведений. Данные должны позволять судить об одной и той же обстановке, хотя они могут относиться к разным моментам времени или иметь разные ограничения достоверности. Для целей анализа в этом звене следует рассматривать актуальность информации, противоречия между наблюдениями и признаки отказа источника. Основанием служат положения Кодекса о точности, целостности и качестве данных, а также о непрерывном анализе ситуации [1, с. 24, 40]. Сам факт поступления нескольких сообщений не подтверждает, что их совместное использование даёт правильную оценку опасности.</w:t>
      </w:r>
    </w:p>
    <w:p>
      <w:pPr>
        <w:pStyle w:val="BodyText"/>
      </w:pPr>
      <w:r>
        <w:rPr>
          <w:b w:val="0"/>
        </w:rPr>
        <w:t xml:space="preserve">Описание информационных потоков «БЭС-КФ» позволяет различить данные для автоматической обработки и сведения, представляемые человеку. Оптическая подсистема передаёт информацию об обнаруженных объектах в машиночитаемом виде в навигационную систему, а обработанное видеоизображение — на средства отображения на мостике и дистанционном пульте. Также описано использование сведений оптического наблюдения, АИС и РЛС для анализа работы системы [13, с. 39–40]. Поэтому при сравнении проектов необходимо установить, как наблюдения связываются с одной целью и как учитывается их несогласованность. Передача изображения оператору и формирование данных для алгоритма являются различными задачами, которые требуют собственной проверки.</w:t>
      </w:r>
    </w:p>
    <w:p>
      <w:pPr>
        <w:pStyle w:val="BodyText"/>
      </w:pPr>
      <w:r>
        <w:rPr>
          <w:b w:val="0"/>
        </w:rPr>
        <w:t xml:space="preserve">Обнаружение объекта представляет собой часть более широкой задачи понимания обстановки. В определении ситуационной осведомлённости Кодекс объединяет восприятие окружающей среды и состояния значимых систем, понимание смысла полученных сведений и прогнозирование будущего состояния. Для навигационной системы предусмотрен непрерывный анализ текущей ситуации с учётом её возможностей и режима работы [1, с. 10, 40]. В узкости это позволяет поставить три разных вопроса: обнаружен ли объект, какое значение он имеет для движения судна и какую опасность может представлять при дальнейшем сближении.</w:t>
      </w:r>
    </w:p>
    <w:p>
      <w:pPr>
        <w:pStyle w:val="BodyText"/>
      </w:pPr>
      <w:r>
        <w:rPr>
          <w:b w:val="0"/>
        </w:rPr>
        <w:t xml:space="preserve">Различие между обнаружением и пониманием можно пояснить условной ситуацией. Система получила сведения о встречном судне на ограниченном участке пути. Для выбора действия недостаточно только отметить наличие цели: необходимо связать её движение с положением собственного судна, доступным пространством и возможными последствиями манёвра. Этот пример не является результатом испытания или модельного расчёта. Он показывает, какие исходные сведения и решения следует искать в материалах проектов при анализе способности системы поддерживать ситуационную осведомлённость.</w:t>
      </w:r>
    </w:p>
    <w:p>
      <w:pPr>
        <w:pStyle w:val="BodyText"/>
      </w:pPr>
      <w:r>
        <w:rPr>
          <w:b w:val="0"/>
        </w:rPr>
        <w:t xml:space="preserve">Планирование имеет два взаимосвязанных уровня: подготовку рейсового маршрута и выбор действий в изменяющейся обстановке. Кодекс предусматривает проверку безопасности плана, возможность его пересмотра и участие капитана в утверждении плана и изменений. При предотвращении столкновения, навала или посадки на мель решения об изменении курса либо скорости должны быть своевременными и учитывать безопасные эксплуатационные пределы. Требования главы о безопасности навигации связаны также с Международными правилами предупреждения столкновений судов в море 1972 года (МППСС-72) [1, с. 38–40]. Следовательно, при изучении алгоритма необходимо проверять как основание для выбранного манёвра, так и его соответствие применимым ограничениям.</w:t>
      </w:r>
    </w:p>
    <w:p>
      <w:pPr>
        <w:pStyle w:val="BodyText"/>
      </w:pPr>
      <w:r>
        <w:rPr>
          <w:b w:val="0"/>
        </w:rPr>
        <w:t xml:space="preserve">В учебном изложении управления по маршруту выбор пути отделён от его исполнения: маршрут задаётся заранее, а система использует данные о месте, курсе и скорости для проводки судна. Там же различаются удержание линии маршрута и движение к очередной путевой точке при допустимом отклонении от линии [14, с. 58–59]. Для темы исследования это даёт основание отдельно проверять точность следования заданному пути и способность изменить движение при появлении опасности. Успешное выполнение заранее подготовленного маршрута ещё не показывает, что система самостоятельно обнаружила препятствие, оценила последствия манёвра и выбрала допустимое решение в узкости.</w:t>
      </w:r>
    </w:p>
    <w:p>
      <w:pPr>
        <w:pStyle w:val="BodyText"/>
      </w:pPr>
      <w:r>
        <w:rPr>
          <w:b w:val="0"/>
        </w:rPr>
        <w:t xml:space="preserve">Выбранное действие должно быть передано средствам управления движением и проверено по фактическому результату. В функциональной схеме это отдельные задачи: формирование управляющего воздействия и наблюдение за изменением положения и движения судна. Кодекс предусматривает исполнение маршрута в установленных пределах допустимого отклонения, непрерывное наблюдение за ходом рейса и предупреждение капитана при обстоятельствах, требующих отклонения от плана. Согласование автономной навигационной системы с другими судовыми системами должно предотвращать противоречащие друг другу команды [1, с. 39, 41]. При сравнении проектов поэтому необходимо различать расчёт манёвра, его исполнение и контроль того, что требуемый результат достигнут.</w:t>
      </w:r>
    </w:p>
    <w:p>
      <w:pPr>
        <w:pStyle w:val="BodyText"/>
      </w:pPr>
      <w:r>
        <w:rPr>
          <w:b w:val="0"/>
        </w:rPr>
        <w:t xml:space="preserve">Связь с дистанционным оператором образует ещё одно звено системы. Для дистанционного наблюдения или управления важны пропускная способность канала, целостность данных, надёжность и задержка передачи. Кодекс предусматривает определение требований к связи для разных этапов рейса и режимов работы, контроль её качества, резервирование по результатам оценки риска и порядок действий при ухудшении либо потере связи [1, с. 41–42]. Универсальную допустимую задержку нельзя назначать в работе без исходных данных. Её значение следует обосновывать для конкретного режима и задачи, включая передачу человеку информации, необходимой для принятия управления.</w:t>
      </w:r>
    </w:p>
    <w:p>
      <w:pPr>
        <w:pStyle w:val="BodyText"/>
      </w:pPr>
      <w:r>
        <w:rPr>
          <w:b w:val="0"/>
        </w:rPr>
        <w:t xml:space="preserve">Передача управления требует определённого порядка изменения полномочий. В учебном описании «БЭС-КФ» приведён пример переключателя на мостике, позволяющего физически отключить автономную навигационную систему от исполнительных устройств при переходе к ручному режиму [15, с. 9]. Этот пример относится к конкретной организации управления на судне с экипажем. При рассмотрении каждого проекта необходимо выяснять, кто инициирует переход, как подтверждается принятие управления и какие данные доступны принимающему его человеку. Возможность переключения должна оцениваться вместе с состоянием судна и обстановкой в момент перехода; наличие органа переключения не определяет само по себе безопасность процедуры.</w:t>
      </w:r>
    </w:p>
    <w:p>
      <w:pPr>
        <w:pStyle w:val="BodyText"/>
      </w:pPr>
      <w:r>
        <w:rPr>
          <w:b w:val="0"/>
        </w:rPr>
        <w:t xml:space="preserve">Отказы и выход за допустимые условия должны рассматриваться вместе с нормальной работой. Кодекс различает ухудшение состояния отдельной функции и выход судна в целом за его эксплуатационные границы. При таком выходе предусматривается заранее определённое резервное состояние — fallback state — и действия для безопасного перехода в него и восстановления работы. Эти действия должны быть проверяемыми и оценёнными с точки зрения риска; они не должны приводить к неприемлемой опасности для людей, других судов, инфраструктуры и морской среды [1, с. 21]. Поэтому остановку или удержание положения нельзя заранее объявить пригодной реакцией для любой узкости. В рамках исследования нужно проверить, какие последствия предполагаемое резервное действие имеет в рассматриваемой ситуации.</w:t>
      </w:r>
    </w:p>
    <w:p>
      <w:pPr>
        <w:pStyle w:val="BodyText"/>
      </w:pPr>
      <w:r>
        <w:rPr>
          <w:b w:val="0"/>
        </w:rPr>
        <w:t xml:space="preserve">Контроль достоверности данных связан и с кибербезопасностью. В учебном материале среди признаков нарушения работы перечислены неполный анализ поступающих сведений, прерывание связи и несоответствие модели окружающей обстановки действительности [16, с. 23–24]. Для исследования эти признаки задают вопросы к диагностике: как система обнаруживает несогласованность и какие функции остаются доступными после неё? Указанный симптом сам по себе не доказывает кибератаку, поскольку необходимо установить причину нарушения. Поэтому в сценарном анализе следует отдельно задавать наблюдаемое ухудшение данных, возможную причину и предусмотренное действие, не приписывая системе подтверждённых возможностей защиты без соответствующих документов.</w:t>
      </w:r>
    </w:p>
    <w:p>
      <w:pPr>
        <w:pStyle w:val="BodyText"/>
      </w:pPr>
      <w:r>
        <w:rPr>
          <w:b w:val="0"/>
        </w:rPr>
        <w:t xml:space="preserve">Завершающий элемент связан с регистрацией данных и возможностью объяснить ход работы системы. Кодекс предусматривает ведение записей, позволяющих восстановить операции MASS, включая дистанционное управление и автоматизированное принятие решений. Для технических систем также предусмотрены испытания и валидация, включающие моделирование, проверку компонентов, интеграционные и системные испытания [1, с. 24]. Эти положения определяют вопросы к доказательствам работоспособности проекта: какие входные данные были получены, какое решение принято, как оно исполнено и чем подтверждён результат. В последующих разделах такая проверка позволит отделять описание функций от сведений об их испытаниях и применимости в узкостях.</w:t>
      </w:r>
    </w:p>
    <w:bookmarkEnd w:id="22"/>
    <w:bookmarkStart w:id="23" w:name="особенности-плавания-в-узкостях"/>
    <w:p>
      <w:pPr>
        <w:pStyle w:val="Heading2"/>
      </w:pPr>
      <w:bookmarkStart w:id="1005" w:name="VKRSection5"/>
      <w:r>
        <w:rPr>
          <w:rFonts w:ascii="Times New Roman" w:hAnsi="Times New Roman"/>
          <w:color w:val="000000"/>
          <w:sz w:val="28"/>
        </w:rPr>
        <w:t xml:space="preserve">1.3 Особенности плавания в узкостях</w:t>
      </w:r>
      <w:bookmarkEnd w:id="1005"/>
    </w:p>
    <w:p>
      <w:pPr>
        <w:pStyle w:val="FirstParagraph"/>
      </w:pPr>
      <w:r>
        <w:rPr>
          <w:b w:val="0"/>
        </w:rPr>
        <w:t xml:space="preserve">В настоящем исследовании узкости рассматриваются как участки плавания, где доступное пространство и условия движения ограничивают выбор пути и манёвра. Такая рабочая характеристика нужна для анализа технических функций; она не устанавливает юридическую границу действия правил. Для конкретного участка необходимо отдельно выяснять применимость требований к узкому проходу или фарватеру, наличие системы разделения движения и местных правил. Например, правило 9 МППСС-72 относится к узким проходам и фарватерам, а правило 10 — к принятым ММО системам разделения движения [4].</w:t>
      </w:r>
    </w:p>
    <w:p>
      <w:pPr>
        <w:pStyle w:val="BodyText"/>
      </w:pPr>
      <w:r>
        <w:rPr>
          <w:b w:val="0"/>
        </w:rPr>
        <w:t xml:space="preserve">Исходной задачей является определение пространства, в котором судно может двигаться безопасно. При этом одной ширины прохода недостаточно. Руководство ММО по планированию рейса предусматривает учёт допустимой осадки, маневренных характеристик судна, глубин, опасных участков и актуальной навигационной информации. План должен охватывать переход от причала до причала, включая участки лоцманской проводки [5, п. 2.1, 3.1]. Для анализа MASS это означает необходимость связывать геометрию маршрута с характеристиками определённого судна и условиями конкретного перехода.</w:t>
      </w:r>
    </w:p>
    <w:p>
      <w:pPr>
        <w:pStyle w:val="BodyText"/>
      </w:pPr>
      <w:r>
        <w:rPr>
          <w:b w:val="0"/>
        </w:rPr>
        <w:t xml:space="preserve">Ограничение по глубине следует рассматривать вместе с выбранной скоростью и манёвром. Руководство предусматривает определение минимального запаса воды под килем на критических участках, учёт увеличения осадки из-за просадки и крена при повороте, а также положения точек изменения курса с учётом циркуляции и течений [5, п. 3.2.2.1–3.2.2.5]. В работе эти положения задают перечень проверяемых условий. Численную величину запаса, допустимую скорость или безопасную траекторию нельзя устанавливать без сведений о судне, глубинах и принятом способе расчёта.</w:t>
      </w:r>
    </w:p>
    <w:p>
      <w:pPr>
        <w:pStyle w:val="BodyText"/>
      </w:pPr>
      <w:r>
        <w:rPr>
          <w:b w:val="0"/>
        </w:rPr>
        <w:t xml:space="preserve">Для обнаружения опасности важна не только точность положения цели, но и её отношение к доступному пути. При ограниченном пространстве встречное судно, пересекающая цель и неподвижная навигационная опасность требуют разных решений. Предполагаемое изменение курса следует проверять относительно других участников движения и границ безопасного пространства. Кодекс MASS предусматривает, чтобы действие против столкновения, навала или посадки на мель не создавало иной ситуации с неприемлемым риском [1, с. 40]. Поэтому в сценарном анализе необходимо оценивать последствия манёвра для всей рассматриваемой обстановки.</w:t>
      </w:r>
    </w:p>
    <w:p>
      <w:pPr>
        <w:pStyle w:val="BodyText"/>
      </w:pPr>
      <w:r>
        <w:rPr>
          <w:b w:val="0"/>
        </w:rPr>
        <w:t xml:space="preserve">Правило 9 связывает движение в узком проходе или фарватере с положением относительно правой внешней границы, насколько это безопасно и практически возможно. В нём также учитываются суда, способные безопасно двигаться только в пределах прохода, и ограничения для других участников, которые не должны препятствовать их движению [4]. Для автономной функции существенна способность определить не только направление движения, но и обстоятельства, от которых зависит применимое требование. Выбор правой стороны пути не заменяет проверки глубин, пространства для манёвра и взаимодействия с другими судами.</w:t>
      </w:r>
    </w:p>
    <w:p>
      <w:pPr>
        <w:pStyle w:val="BodyText"/>
      </w:pPr>
      <w:r>
        <w:rPr>
          <w:b w:val="0"/>
        </w:rPr>
        <w:t xml:space="preserve">Гидрометеорологическая обстановка и видимость должны входить в описание сценария. В руководстве по планированию предусмотрен учёт течений, приливов, метеорологических условий, ночного прохождения опасных точек и надёжности определения места. При исполнении плана необходимо оценивать, не создают ли ожидаемые условия недопустимую опасность [5, п. 2.1.7, 4.2–4.3]. Для MASS эти сведения связаны с эксплуатационными границами судна и проектной областью работы отдельных функций. Кодекс предусматривает обнаружение выхода функции за такую область и заранее определённую реакцию судна при выходе за общие эксплуатационные границы [1, с. 20–21].</w:t>
      </w:r>
    </w:p>
    <w:p>
      <w:pPr>
        <w:pStyle w:val="BodyText"/>
      </w:pPr>
      <w:r>
        <w:rPr>
          <w:b w:val="0"/>
        </w:rPr>
        <w:t xml:space="preserve">Взаимодействие с берегом и другими участниками следует включать в анализ наряду с работой бортовой системы. Руководство ММО предусматривает использование сведений о системах управления движением судов, лоцманской проводке, обмене информацией между капитаном и лоцманом и береговых возможностях реагирования на аварийные ситуации [5, п. 2.1.7.5–2.1.7.8]. В дальнейшем необходимо установить, какие сообщения должна получать рассматриваемая система, кто подтверждает их понимание и кто принимает решение при изменении согласованного порядка движения. Наличие канала связи ещё не описывает содержание такого взаимодействия.</w:t>
      </w:r>
    </w:p>
    <w:p>
      <w:pPr>
        <w:pStyle w:val="BodyText"/>
      </w:pPr>
      <w:r>
        <w:rPr>
          <w:b w:val="0"/>
        </w:rPr>
        <w:t xml:space="preserve">В анализе узкостей особенно важен момент обнаружения опасности. Для условного сценария необходимо указать, когда цель становится доступной наблюдению, какие сведения нужны для определения её движения и какие действия доступны собственному судну. Затем следует проверить, достаточно ли имеющейся информации для решения и остаётся ли возможность его исполнения. Эти вопросы организуют оценку проекта; они не задают универсальное допустимое время реакции. Если в источнике отсутствуют сведения о моментах обнаружения, принятия решения и манёвра, вывод о пригодности системы для соответствующего сценария остаётся ограниченным.</w:t>
      </w:r>
    </w:p>
    <w:p>
      <w:pPr>
        <w:pStyle w:val="BodyText"/>
      </w:pPr>
      <w:r>
        <w:rPr>
          <w:b w:val="0"/>
        </w:rPr>
        <w:t xml:space="preserve">Таким образом, описание узкости для настоящего исследования включает геометрию пути и глубины, характеристики судна, движение других участников, видимость и гидрометеорологические условия, связь с берегом и доступные действия при ухудшении обстановки. Дальнейшее сравнение будет строиться по этим условиям. Прохождение маршрута в открытом море, подтверждённое источником, необходимо отличать от выполнения навигационных задач в узкости, даже если оба участка входят в один рейс.</w:t>
      </w:r>
    </w:p>
    <w:bookmarkEnd w:id="23"/>
    <w:bookmarkStart w:id="24" w:name="Xe5e5bc2f85bda039cae810321abad93f268cc24"/>
    <w:p>
      <w:pPr>
        <w:pStyle w:val="Heading2"/>
      </w:pPr>
      <w:bookmarkStart w:id="1006" w:name="VKRSection6"/>
      <w:r>
        <w:rPr>
          <w:rFonts w:ascii="Times New Roman" w:hAnsi="Times New Roman"/>
          <w:color w:val="000000"/>
          <w:sz w:val="28"/>
        </w:rPr>
        <w:t xml:space="preserve">1.4 Нормативные требования и границы разрешённых режимов</w:t>
      </w:r>
      <w:bookmarkEnd w:id="1006"/>
    </w:p>
    <w:p>
      <w:pPr>
        <w:pStyle w:val="FirstParagraph"/>
      </w:pPr>
      <w:r>
        <w:rPr>
          <w:b w:val="0"/>
        </w:rPr>
        <w:t xml:space="preserve">Нормативная оценка MASS требует установления того, какие документы применимы к судну, его функциям и району плавания. Кодекс 2026 года дополняет существующие инструменты, имеет необязательный статус и предусматривает определённую область применения. В части безопасности навигации он связывает функциональные требования с Международной конвенцией по охране человеческой жизни на море и МППСС-72 [1, с. 7–8, 38]. Поэтому использование автономного режима не следует представлять как основание для исключения общих обязанностей по безопасному судовождению.</w:t>
      </w:r>
    </w:p>
    <w:p>
      <w:pPr>
        <w:pStyle w:val="BodyText"/>
      </w:pPr>
      <w:r>
        <w:rPr>
          <w:b w:val="0"/>
        </w:rPr>
        <w:t xml:space="preserve">В официальном обзоре ММО правило 5 связано с надлежащим наблюдением всеми подходящими средствами, правило 6 — с безопасной скоростью, правило 7 — с оценкой риска столкновения по достаточной информации, правило 8 — с действиями для его предотвращения. Правило 9 относится к движению в узком проходе или фарватере [4]. Для технического анализа эти положения задают разные вопросы: как система получает сведения, как оценивает их достаточность, как выбирает скорость и как обосновывает действие. Полную проверку конкретного манёвра необходимо проводить по применимому тексту правил и условиям ситуации; обзорная страница служит ориентиром, а не заменой такой проверки.</w:t>
      </w:r>
    </w:p>
    <w:p>
      <w:pPr>
        <w:pStyle w:val="BodyText"/>
      </w:pPr>
      <w:r>
        <w:rPr>
          <w:b w:val="0"/>
        </w:rPr>
        <w:t xml:space="preserve">Связь между общими правилами и техническими функциями раскрывается в Кодексе MASS. Поддержание ситуационной осведомлённости предполагает непрерывное наблюдение и анализ информации, понимание текущей ситуации и прогноз её развития. При предотвращении столкновения или посадки на мель изменение курса и скорости должно быть своевременным и соответствовать безопасным эксплуатационным пределам. Исполнение маршрута требует наблюдения за фактическим продвижением судна [1, с. 39–41]. Такая структура позволяет проверять не только наличие алгоритма, но и назначение каждой его функции в безопасном судовождении.</w:t>
      </w:r>
    </w:p>
    <w:p>
      <w:pPr>
        <w:pStyle w:val="BodyText"/>
      </w:pPr>
      <w:r>
        <w:rPr>
          <w:b w:val="0"/>
        </w:rPr>
        <w:t xml:space="preserve">Планирование рейса также не сводится к прокладке линии пути. Руководство ММО A.893(21) выделяет сбор и оценку информации, подробное планирование, исполнение и непрерывное наблюдение за выполнением. План включает критические глубины, ограничения судна, условия определения места и варианты действий при обстоятельствах, требующих его изменения [5, п. 1.3, 2.1, 3.2, 5.2]. Для автономной системы необходимо установить, какие сведения она использует из плана, как принимает его изменения и каким образом капитан участвует в их утверждении [1, с. 39–40].</w:t>
      </w:r>
    </w:p>
    <w:p>
      <w:pPr>
        <w:pStyle w:val="BodyText"/>
      </w:pPr>
      <w:r>
        <w:rPr>
          <w:b w:val="0"/>
        </w:rPr>
        <w:t xml:space="preserve">Вопрос человеческого контроля относится к нормативной оценке независимо от степени автоматизации. Кодекс предусматривает ответственное лицо — капитана — и возможность вмешательства. Средства принятия управления навигацией должны быть простыми в использовании, независимыми от контролируемых систем и позволять немедленно принять управление [1, с. 22, 41]. В сценариях узкостей эти положения необходимо рассматривать вместе с предоставлением человеку времени и информации для понимания ситуации. Техническая возможность переключения режима и готовность оператора продолжить управление представляют связанные, но разные условия.</w:t>
      </w:r>
    </w:p>
    <w:p>
      <w:pPr>
        <w:pStyle w:val="BodyText"/>
      </w:pPr>
      <w:r>
        <w:rPr>
          <w:b w:val="0"/>
        </w:rPr>
        <w:t xml:space="preserve">Режим проведения испытания следует отличать от обычной эксплуатации. Временное руководство MSC.1/Circ.1604 от 14 июня 2019 года определяет испытание как ограниченный по времени эксперимент для оценки альтернативного выполнения функций или соблюдения требований. Оно предусматривает разрешение администрации государства флага, а при необходимости — прибрежного государства или портовых властей. Для испытаний рассматриваются оценка риска, аварийные меры, подготовка участников и условия остановки при выходе за параметры безопасности [6, п. 1.2.2–1.2.3, 2.1–2.3]. Этот документ объясняет требования к испытательному режиму; сам по себе он не подтверждает одобрение определённой системы или завершение её проверки.</w:t>
      </w:r>
    </w:p>
    <w:p>
      <w:pPr>
        <w:pStyle w:val="BodyText"/>
      </w:pPr>
      <w:r>
        <w:rPr>
          <w:b w:val="0"/>
        </w:rPr>
        <w:t xml:space="preserve">Для российских проектов необходимо отдельно устанавливать содержание выданных документов и разрешённых режимов. Показателен опубликованный разработчиком пример паромов «Маршал Рокоссовский» и «Генерал Черняховский». В сообщении Sitronics от 3 октября 2023 года дистанционное управление описано применительно к движению в море, а прохождение узкостей и вход в порт — как ручное управление с поддержкой принятия решений [7]. Это датированное сообщение о конкретном проекте; оно не устанавливает общую норму для российского флота и не подтверждает неизменность условий в 2026 году. Для правовой оценки проекта требуются документы Регистра, эксплуатанта и применимые национальные акты.</w:t>
      </w:r>
    </w:p>
    <w:p>
      <w:pPr>
        <w:pStyle w:val="BodyText"/>
      </w:pPr>
      <w:r>
        <w:rPr>
          <w:b w:val="0"/>
        </w:rPr>
        <w:t xml:space="preserve">В дальнейшем нормативный анализ будет оформлен как связь между требованием, навигационной функцией, условиями её использования и подтверждением. Такая связь нужна, чтобы не смешивать наличие разработки, разрешение испытания, сертификацию отдельного режима и доказательство пригодности для узкости. При отсутствии первичного документа об условиях одобрения соответствующее утверждение будет обозначаться как сообщение участника проекта. Окончательная оценка российского нормативного блока должна учитывать действующие национальные документы и ограничения разрешённых режимов.</w:t>
      </w:r>
    </w:p>
    <w:bookmarkEnd w:id="24"/>
    <w:bookmarkEnd w:id="25"/>
    <w:bookmarkStart w:id="29" w:name="X7d461e5545e37f02f20229538d89742f1704e62"/>
    <w:p>
      <w:pPr>
        <w:pStyle w:val="Heading1"/>
        <w:pageBreakBefore/>
      </w:pPr>
      <w:bookmarkStart w:id="1007" w:name="VKRSection7"/>
      <w:r>
        <w:rPr>
          <w:rFonts w:ascii="Times New Roman" w:hAnsi="Times New Roman"/>
          <w:color w:val="000000"/>
          <w:sz w:val="28"/>
        </w:rPr>
        <w:t>2 РОССИЙСКИЙ И ЗАРУБЕЖНЫЙ ОПЫТ ПРИМЕНЕНИЯ ТЕХНОЛОГИЙ АВТОНОМНОГО СУДОВОЖДЕНИЯ</w:t>
      </w:r>
      <w:bookmarkEnd w:id="1007"/>
    </w:p>
    <w:bookmarkStart w:id="26" w:name="X276ba426ad5c9154452377aee069e1ec895b2e6"/>
    <w:p>
      <w:pPr>
        <w:pStyle w:val="Heading2"/>
      </w:pPr>
      <w:bookmarkStart w:id="1008" w:name="VKRSection8"/>
      <w:r>
        <w:rPr>
          <w:rFonts w:ascii="Times New Roman" w:hAnsi="Times New Roman"/>
          <w:color w:val="000000"/>
          <w:sz w:val="28"/>
        </w:rPr>
        <w:t xml:space="preserve">2.1 Документированные этапы российских проектов</w:t>
      </w:r>
      <w:bookmarkEnd w:id="1008"/>
    </w:p>
    <w:p>
      <w:pPr>
        <w:pStyle w:val="FirstParagraph"/>
      </w:pPr>
      <w:r>
        <w:rPr>
          <w:b w:val="0"/>
        </w:rPr>
        <w:t xml:space="preserve">Рассмотрение российских разработок начинается с опубликованных материалов об испытаниях и применении комплекса а-Навигации Sitronics KT. На данном этапе выделены три группы примеров: испытание на сухогрузе «Пола Анфиса», внедрение на паромах «Маршал Рокоссовский» и «Генерал Черняховский», а также применение безэкипажного катера «Странник 575». Эти примеры относятся к одному разработчику и не образуют полного обзора российского рынка. Они дают исходный материал для проверки того, какие функции передавались системе или дистанционному оператору и в каких условиях это происходило [7–10].</w:t>
      </w:r>
    </w:p>
    <w:p>
      <w:pPr>
        <w:pStyle w:val="BodyText"/>
      </w:pPr>
      <w:r>
        <w:rPr>
          <w:b w:val="0"/>
        </w:rPr>
        <w:t xml:space="preserve">В публикации от 11 мая 2021 года Sitronics сообщила об испытании комплекса на сухогрузе «Пола Анфиса» в Азовском море. По описанию компании, управление осуществляли специалисты из офиса «Пола Райз» в Санкт-Петербурге; были проверены дистанционный режим и автономное движение, после чего управление вернули на борт. Сообщение указывает продолжительность испытания в один час [8]. Это свидетельство участника проекта о проведённом испытании. Для оценки прохождения узкости дополнительно нужны программа испытаний, характеристики участка и сведения о конкретных манёврах.</w:t>
      </w:r>
    </w:p>
    <w:p>
      <w:pPr>
        <w:pStyle w:val="BodyText"/>
      </w:pPr>
      <w:r>
        <w:rPr>
          <w:b w:val="0"/>
        </w:rPr>
        <w:t xml:space="preserve">Следующий рассматриваемый этап связан с паромами «Маршал Рокоссовский» и «Генерал Черняховский». В октябре 2023 года разработчик сообщил о получении удостоверений автономных и дистанционно управляемых надводных судов. Декабрьская публикация того же года описывает начало эксплуатации «Генерала Черняховского» в дистанционном режиме с использованием средств а-Навигации и управление на части маршрута в открытом море из берегового центра [7; 9]. Сообщение о запуске описывает начало рейса и запланированное прибытие; оно не заменяет отчёт о завершённом переходе.</w:t>
      </w:r>
    </w:p>
    <w:p>
      <w:pPr>
        <w:pStyle w:val="BodyText"/>
      </w:pPr>
      <w:r>
        <w:rPr>
          <w:b w:val="0"/>
        </w:rPr>
        <w:t xml:space="preserve">В сентябре 2026 года компания опубликовала сообщение о доставке документов катером «Странник 575» в населённые пункты в дельте Северной Двины. Согласно публикации, катер прошёл маршрут длиной более 40 км без людей на борту, с возможностью перехода на дистанционное управление; вмешательства инженеров во время рейса не потребовалось [10]. Эти сведения рассматриваются как сообщение разработчика о конкретной операции. Их нельзя переносить на морской паром или считать доказательством работы при любых условиях в дельте.</w:t>
      </w:r>
    </w:p>
    <w:p>
      <w:pPr>
        <w:pStyle w:val="BodyText"/>
      </w:pPr>
      <w:r>
        <w:rPr>
          <w:b w:val="0"/>
        </w:rPr>
        <w:t xml:space="preserve">Перечисленные этапы позволяют выделить разные предметы проверки: отдельное испытание режима, внедрение комплекса на морских грузопассажирских паромах и конкретную операцию маломерного безэкипажного судна. Для исследования узкостей важно сохранить это различие. Само увеличение числа применений технологии не показывает, что одна и та же система получила одинаковые возможности и разрешения для всех типов судов и участков плавания.</w:t>
      </w:r>
    </w:p>
    <w:bookmarkEnd w:id="26"/>
    <w:bookmarkStart w:id="27" w:name="X31f499202676bc2e662c48b99c6ec9e69a7adc9"/>
    <w:p>
      <w:pPr>
        <w:pStyle w:val="Heading2"/>
      </w:pPr>
      <w:bookmarkStart w:id="1009" w:name="VKRSection9"/>
      <w:r>
        <w:rPr>
          <w:rFonts w:ascii="Times New Roman" w:hAnsi="Times New Roman"/>
          <w:color w:val="000000"/>
          <w:sz w:val="28"/>
        </w:rPr>
        <w:t xml:space="preserve">2.2 Функции комплекса и распределение управления</w:t>
      </w:r>
      <w:bookmarkEnd w:id="1009"/>
    </w:p>
    <w:p>
      <w:pPr>
        <w:pStyle w:val="FirstParagraph"/>
      </w:pPr>
      <w:r>
        <w:rPr>
          <w:b w:val="0"/>
        </w:rPr>
        <w:t xml:space="preserve">В опубликованном описании оборудования паромов выделены автономная навигационная система, оптическая система анализа обстановки и состояния судна, управление движением и маневрированием, контроль и наблюдение за судовыми системами. Там же описан береговой центр в Санкт-Петербурге, который обеспечивал наблюдение за навигационной обстановкой, параметрами движения и дистанционное управление в открытом море [7]. Такой перечень позволяет связать проект с функциональной схемой главы 1: данные об обстановке, оценка, решение, воздействие на движение и наблюдение за состоянием.</w:t>
      </w:r>
    </w:p>
    <w:p>
      <w:pPr>
        <w:pStyle w:val="BodyText"/>
      </w:pPr>
      <w:r>
        <w:rPr>
          <w:b w:val="0"/>
        </w:rPr>
        <w:t xml:space="preserve">Наличие в перечне оптической системы подтверждает, что соответствующая функция заявлена в описании комплекса. Однако из этого сообщения нельзя определить дальность обнаружения, частоту пропуска целей, условия освещения или результаты распознавания. Поэтому способность обнаруживать опасность в узкости следует оценивать по отдельным техническим документам и испытаниям. В частности, нужны сведения о типах целей, условиях их наблюдения и передаче полученной информации системе принятия решений или человеку.</w:t>
      </w:r>
    </w:p>
    <w:p>
      <w:pPr>
        <w:pStyle w:val="BodyText"/>
      </w:pPr>
      <w:r>
        <w:rPr>
          <w:b w:val="0"/>
        </w:rPr>
        <w:t xml:space="preserve">Для рассматриваемой темы существеннее всего опубликованное распределение режимов. В сообщении 2023 года прохождение узкостей и вход в порт описаны как ручное управление совместно с поддержкой принятия решений, тогда как дистанционный режим отнесён к движению в море [7]. Таким образом, этот источник позволяет изучать применение автономных технологий в составе судовождения, но не подтверждает самостоятельное выполнение системой полного прохода через узкость. Перечень разрешённых режимов необходимо сверить с самими выданными документами и актуальными условиями эксплуатации.</w:t>
      </w:r>
    </w:p>
    <w:p>
      <w:pPr>
        <w:pStyle w:val="BodyText"/>
      </w:pPr>
      <w:r>
        <w:rPr>
          <w:b w:val="0"/>
        </w:rPr>
        <w:t xml:space="preserve">Маломерный катер представляет иной вариант распределения задач. В сентябрьской публикации 2026 года основной режим описан как автономный, а дистанционное управление — как доступный вариант при нештатной ситуации [10]. При дальнейшем анализе необходимо установить, как контролировалась навигационная обстановка, какие события должны были вызывать вмешательство и какие ограничения были предусмотрены для рейса. Поскольку опубликованное сообщение не раскрывает полный протокол операции, эти вопросы пока нельзя считать проверенными.</w:t>
      </w:r>
    </w:p>
    <w:bookmarkEnd w:id="27"/>
    <w:bookmarkStart w:id="28" w:name="X57c16efd36f69961fb85aca4e5ad3b831522765"/>
    <w:p>
      <w:pPr>
        <w:pStyle w:val="Heading2"/>
      </w:pPr>
      <w:bookmarkStart w:id="1010" w:name="VKRSection10"/>
      <w:r>
        <w:rPr>
          <w:rFonts w:ascii="Times New Roman" w:hAnsi="Times New Roman"/>
          <w:color w:val="000000"/>
          <w:sz w:val="28"/>
        </w:rPr>
        <w:t xml:space="preserve">2.3 Условия проверки и значение для плавания в узкостях</w:t>
      </w:r>
      <w:bookmarkEnd w:id="1010"/>
    </w:p>
    <w:p>
      <w:pPr>
        <w:pStyle w:val="FirstParagraph"/>
      </w:pPr>
      <w:r>
        <w:rPr>
          <w:b w:val="0"/>
        </w:rPr>
        <w:t xml:space="preserve">Для сопоставления российских примеров в таблице 2.1 указано, что именно описано источником и какие сведения необходимы для анализа узкостей. Таблица отражает текущую доступную доказательную базу, а не рейтинг технических решений. Все рассмотренные сообщения опубликованы участником проектов, поэтому совпадение нескольких публикаций нельзя считать независимой проверкой результата.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2.1 — Первоначальная оценка российских примеров по опубликованным сведениям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35"/>
        <w:gridCol w:w="3118"/>
        <w:gridCol w:w="3402"/>
      </w:tblGrid>
      <w:tr>
        <w:trPr>
          <w:tblHeader w:val="true"/>
          <w:cantSplit/>
        </w:trP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</w:t>
            </w:r>
          </w:p>
        </w:tc>
        <w:tc>
          <w:tcPr>
            <w:tcW w:type="dxa" w:w="311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описано источником</w:t>
            </w:r>
          </w:p>
        </w:tc>
        <w:tc>
          <w:tcPr>
            <w:tcW w:type="dxa" w:w="34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необходимо проверить для узкости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«Пола Анфиса», 2021 год</w:t>
            </w:r>
          </w:p>
        </w:tc>
        <w:tc>
          <w:tcPr>
            <w:tcW w:type="dxa" w:w="311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Дистанционный и автономный режимы во время испытания в Азовском море [8]</w:t>
            </w:r>
          </w:p>
        </w:tc>
        <w:tc>
          <w:tcPr>
            <w:tcW w:type="dxa" w:w="34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Участок испытания, плотность движения, конкретные манёвры и вмешательства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«Маршал Рокоссовский» и «Генерал Черняховский», 2023 год</w:t>
            </w:r>
          </w:p>
        </w:tc>
        <w:tc>
          <w:tcPr>
            <w:tcW w:type="dxa" w:w="311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Комплекс а-Навигации; ручной режим с поддержкой решений в узкостях; дистанционный режим в море [7; 9]</w:t>
            </w:r>
          </w:p>
        </w:tc>
        <w:tc>
          <w:tcPr>
            <w:tcW w:type="dxa" w:w="34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Содержание удостоверений, действующие ограничения, результаты работы средств обнаружения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«Странник 575», 2026 год</w:t>
            </w:r>
          </w:p>
        </w:tc>
        <w:tc>
          <w:tcPr>
            <w:tcW w:type="dxa" w:w="311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Сообщение об автономной операции без людей на борту в дельте Северной Двины [10]</w:t>
            </w:r>
          </w:p>
        </w:tc>
        <w:tc>
          <w:tcPr>
            <w:tcW w:type="dxa" w:w="34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Протокол операции, фактические условия, наблюдение целей, критерии вмешательства и резервные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Из рассмотренных материалов следует рабочий вывод: российские примеры требуют анализа по отдельным навигационным функциям и условиям, а не общего обозначения автономности. Для паромов опубликованный порядок управления прямо ограничивает вывод о самостоятельном прохождении узкостей. Для катера описанная операция представляет интерес как отдельный случай, однако её подробные технические условия ещё необходимо подтвердить. Эти ограничения определяют дальнейший поиск источников и не означают заранее установленной технической неспособности систем.</w:t>
      </w:r>
    </w:p>
    <w:bookmarkEnd w:id="28"/>
    <w:bookmarkEnd w:id="29"/>
    <w:bookmarkStart w:id="40" w:name="список-использованных-источников"/>
    <w:p>
      <w:pPr>
        <w:pStyle w:val="VKRStructuralHeading"/>
        <w:pageBreakBefore/>
      </w:pPr>
      <w:bookmarkStart w:id="1011" w:name="VKRSection11"/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  <w:bookmarkEnd w:id="1011"/>
    </w:p>
    <w:p>
      <w:pPr>
        <w:pStyle w:val="FirstParagraph"/>
      </w:pPr>
      <w:r>
        <w:rPr>
          <w:b w:val="0"/>
        </w:rPr>
        <w:t xml:space="preserve">1 International Maritime Organization. International Code of Safety for Maritime Autonomous Surface Ships (MASS Code) : resolution MSC.595(111) // MSC 111/22. Annex 16. — 2026. — 87 p. — URL:</w:t>
      </w:r>
      <w:r>
        <w:rPr>
          <w:b w:val="0"/>
        </w:rPr>
        <w:t xml:space="preserve"> </w:t>
      </w:r>
      <w:hyperlink r:id="rId15">
        <w:r>
          <w:rPr>
            <w:rStyle w:val="Hyperlink"/>
          </w:rPr>
          <w:t xml:space="preserve">https://wwwcdn.imo.org/localresources/en/MediaCentre/Documents/MSC%20111-22-Annex%2016%20(Secretariat).pdf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2 International Maritime Organization. Outcome of the Regulatory Scoping Exercise for the Use of Maritime Autonomous Surface Ships (MASS) : MSC.1/Circ.1638, 3 June 2021. — 2021. — URL:</w:t>
      </w:r>
      <w:r>
        <w:rPr>
          <w:b w:val="0"/>
        </w:rPr>
        <w:t xml:space="preserve"> </w:t>
      </w:r>
      <w:hyperlink r:id="rId16">
        <w:r>
          <w:rPr>
            <w:rStyle w:val="Hyperlink"/>
          </w:rPr>
          <w:t xml:space="preserve">https://wwwcdn.imo.org/localresources/en/MediaCentre/Documents/MSC.1-Circ.1638%20-%20Outcome%20Of%20The%20Regulatory%20Scoping%20ExerciseFor%20The%20Use%20Of%20Maritime%20Autonomous%20Surface%20Ships...%20(Secretariat).pdf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3 International Maritime Organization. FAQ — Autonomous shipping. — URL:</w:t>
      </w:r>
      <w:r>
        <w:rPr>
          <w:b w:val="0"/>
        </w:rPr>
        <w:t xml:space="preserve"> </w:t>
      </w:r>
      <w:hyperlink r:id="rId9">
        <w:r>
          <w:rPr>
            <w:rStyle w:val="Hyperlink"/>
          </w:rPr>
          <w:t xml:space="preserve">https://www.imo.org/en/mediacentre/hottopics/pages/autonomous-shipping.aspx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4 International Maritime Organization. Convention on the International Regulations for Preventing Collisions at Sea, 1972 (COLREGs) : official overview. — URL:</w:t>
      </w:r>
      <w:r>
        <w:rPr>
          <w:b w:val="0"/>
        </w:rPr>
        <w:t xml:space="preserve"> </w:t>
      </w:r>
      <w:hyperlink r:id="rId8">
        <w:r>
          <w:rPr>
            <w:rStyle w:val="Hyperlink"/>
          </w:rPr>
          <w:t xml:space="preserve">https://www.imo.org/en/about/conventions/pages/colreg.aspx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5 International Maritime Organization. Guidelines for Voyage Planning : resolution A.893(21), adopted on 25 November 1999. — URL:</w:t>
      </w:r>
      <w:r>
        <w:rPr>
          <w:b w:val="0"/>
        </w:rPr>
        <w:t xml:space="preserve"> </w:t>
      </w:r>
      <w:hyperlink r:id="rId14">
        <w:r>
          <w:rPr>
            <w:rStyle w:val="Hyperlink"/>
          </w:rPr>
          <w:t xml:space="preserve">https://wwwcdn.imo.org/localresources/en/KnowledgeCentre/IndexofIMOResolutions/AssemblyDocuments/A.893(21).pdf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6 International Maritime Organization. Interim Guidelines for MASS Trials : MSC.1/Circ.1604, 14 June 2019. — URL:</w:t>
      </w:r>
      <w:r>
        <w:rPr>
          <w:b w:val="0"/>
        </w:rPr>
        <w:t xml:space="preserve"> </w:t>
      </w:r>
      <w:hyperlink r:id="rId17">
        <w:r>
          <w:rPr>
            <w:rStyle w:val="Hyperlink"/>
          </w:rPr>
          <w:t xml:space="preserve">https://wwwcdn.imo.org/localresources/en/MediaCentre/HotTopics/Documents/MSC.1-Circ.1604%20-%20Interim%20Guidelines%20For%20Mass%20Trials%20%28Secretariat%29.pdf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7 Sitronics Group. Паромы ФГУП «Росморпорт» получили первые в России удостоверения морских автономных и дистанционно управляемых надводных судов. — 03.10.2023. — URL:</w:t>
      </w:r>
      <w:r>
        <w:rPr>
          <w:b w:val="0"/>
        </w:rPr>
        <w:t xml:space="preserve"> </w:t>
      </w:r>
      <w:hyperlink r:id="rId10">
        <w:r>
          <w:rPr>
            <w:rStyle w:val="Hyperlink"/>
          </w:rPr>
          <w:t xml:space="preserve">https://www.sitronics.com/reports/15295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8 Sitronics Group. Компания Sitronics KT продемонстрировала автономное судовождение в реальных условиях. — 11.05.2021. — URL:</w:t>
      </w:r>
      <w:r>
        <w:rPr>
          <w:b w:val="0"/>
        </w:rPr>
        <w:t xml:space="preserve"> </w:t>
      </w:r>
      <w:hyperlink r:id="rId13">
        <w:r>
          <w:rPr>
            <w:rStyle w:val="Hyperlink"/>
          </w:rPr>
          <w:t xml:space="preserve">https://www.sitronics.com/reports/6966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9 Sitronics Group. В России началась коммерческая эксплуатация первого морского судна в режиме дистанционного управления: паром «Генерал Черняховский» начал автономный рейс. — 19.12.2023. — URL:</w:t>
      </w:r>
      <w:r>
        <w:rPr>
          <w:b w:val="0"/>
        </w:rPr>
        <w:t xml:space="preserve"> </w:t>
      </w:r>
      <w:hyperlink r:id="rId11">
        <w:r>
          <w:rPr>
            <w:rStyle w:val="Hyperlink"/>
          </w:rPr>
          <w:t xml:space="preserve">https://www.sitronics.com/reports/15592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10 Sitronics Group. Безэкипажный катер Sitronics KT доставил бюллетени для голосования и избирательную документацию на островные территории Архангельской области. — 15.09.2026. — URL:</w:t>
      </w:r>
      <w:r>
        <w:rPr>
          <w:b w:val="0"/>
        </w:rPr>
        <w:t xml:space="preserve"> </w:t>
      </w:r>
      <w:hyperlink r:id="rId12">
        <w:r>
          <w:rPr>
            <w:rStyle w:val="Hyperlink"/>
          </w:rPr>
          <w:t xml:space="preserve">https://www.sitronics.com/reports/18730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11 Раздел 2. Принципы организации структуры МАНС : учебный материал [Электронный ресурс]. — [Б. м. : б. и.], [б. г.]. — 24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12 Раздел 4. Технические средства судовождения МАНС : учебный материал [Электронный ресурс]. — [Б. м. : б. и.], [б. г.]. — 25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13 Раздел 5. Информационные потоки МАНС : учебный материал [Электронный ресурс]. — [Б. м. : б. и.], [б. г.]. — 49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14 Раздел 3. Математические основы средств автономности судна : учебный материал [Электронный ресурс]. — [Б. м. : б. и.], [б. г.]. — 69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15 Раздел 8. Управление МАНС : учебный материал [Электронный ресурс]. — [Б. м. : б. и.], [б. г.]. — 18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16 Раздел 7. Кибербезопасность : учебный материал [Электронный ресурс]. — [Б. м. : б. и.], [б. г.]. — 35 с. — PDF-файл, предоставленный автором ВКР 09.10.2026.</w:t>
      </w:r>
    </w:p>
    <w:bookmarkEnd w:id="40"/>
    <w:sectPr w:rsidR="00641AE4" w:rsidRPr="00074D54">
      <w:headerReference w:type="default" r:id="rId18"/>
      <w:headerReference w:type="first" r:id="rId19"/>
      <w:footerReference w:type="default" r:id="rId20"/>
      <w:footerReference w:type="first" r:id="rId21"/>
      <w:pgSz w:w="11906" w:h="16838"/>
      <w:pgMar w:top="1134" w:right="850" w:bottom="1134" w:left="1701" w:header="567" w:footer="567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4D54"/>
    <w:rsid w:val="00074D54"/>
    <w:rsid w:val="0053207F"/>
    <w:rsid w:val="005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3D628"/>
  <w15:chartTrackingRefBased/>
  <w15:docId w15:val="{BA6BB399-EC43-4C80-BF6A-3062B1EBD8D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customStyle="1" w:styleId="VKRTitlePage">
    <w:name w:val="VKR Title Page"/>
    <w:pPr>
      <w:spacing w:line="276" w:lineRule="auto" w:before="0" w:after="0"/>
      <w:ind w:firstLine="0"/>
    </w:pPr>
    <w:rPr>
      <w:rFonts w:ascii="Times New Roman" w:hAnsi="Times New Roman"/>
      <w:sz w:val="24"/>
    </w:rPr>
  </w:style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  <w:lang w:val="ru-RU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  <w:lang w:val="ru-RU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Hyperlink" w:type="character">
    <w:name w:val="Hyperlink"/>
    <w:rPr>
      <w:rFonts w:ascii="Times New Roman" w:hAnsi="Times New Roman"/>
      <w:color w:val="000000"/>
      <w:sz w:val="2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VKRFrontHeading">
    <w:name w:val="VKR Front Heading"/>
    <w:basedOn w:val="Normal"/>
    <w:pPr>
      <w:keepNext/>
      <w:pageBreakBefore/>
      <w:spacing w:before="0" w:after="280" w:line="360" w:lineRule="auto"/>
      <w:ind w:firstLine="0"/>
      <w:jc w:val="center"/>
      <w:outlineLvl w:val="9"/>
    </w:pPr>
    <w:rPr>
      <w:rFonts w:ascii="Times New Roman" w:hAnsi="Times New Roman"/>
      <w:b/>
      <w:color w:val="000000"/>
      <w:sz w:val="28"/>
    </w:rPr>
  </w:style>
  <w:style w:type="paragraph" w:customStyle="1" w:styleId="VKRStructuralHeading">
    <w:name w:val="VKR Structural Heading"/>
    <w:basedOn w:val="Normal"/>
    <w:pPr>
      <w:keepNext/>
      <w:pageBreakBefore/>
      <w:spacing w:before="0" w:after="280" w:line="360" w:lineRule="auto"/>
      <w:ind w:firstLine="0"/>
      <w:jc w:val="center"/>
      <w:outlineLvl w:val="0"/>
    </w:pPr>
    <w:rPr>
      <w:rFonts w:ascii="Times New Roman" w:hAnsi="Times New Roman"/>
      <w:b/>
      <w:color w:val="000000"/>
      <w:sz w:val="28"/>
    </w:rPr>
  </w:style>
  <w:style w:type="paragraph" w:customStyle="1" w:styleId="VKRTOCEntry">
    <w:name w:val="VKR TOC Entry"/>
    <w:basedOn w:val="Normal"/>
    <w:pPr>
      <w:keepLines/>
      <w:tabs>
        <w:tab w:pos="9354" w:val="right" w:leader="dot"/>
      </w:tabs>
      <w:spacing w:before="0" w:after="0" w:line="360" w:lineRule="auto"/>
      <w:ind w:firstLine="0"/>
      <w:jc w:val="left"/>
      <w:outlineLvl w:val="9"/>
    </w:pPr>
    <w:rPr>
      <w:rFonts w:ascii="Times New Roman" w:hAnsi="Times New Roman"/>
      <w:b w:val="0"/>
      <w:color w:val="000000"/>
      <w:sz w:val="28"/>
    </w:rPr>
  </w:style>
  <w:style w:type="paragraph" w:customStyle="1" w:styleId="VKRAbbreviation">
    <w:name w:val="VKR Abbreviation"/>
    <w:basedOn w:val="Normal"/>
    <w:pPr>
      <w:tabs>
        <w:tab w:pos="1701" w:val="left"/>
      </w:tabs>
      <w:spacing w:before="0" w:after="0" w:line="360" w:lineRule="auto"/>
      <w:ind w:left="1701" w:hanging="1701"/>
      <w:jc w:val="left"/>
      <w:outlineLvl w:val="9"/>
    </w:pPr>
    <w:rPr>
      <w:rFonts w:ascii="Times New Roman" w:hAnsi="Times New Roman"/>
      <w:b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7" Type="http://schemas.openxmlformats.org/officeDocument/2006/relationships/numbering" Target="numbering.xml"/><Relationship Id="rId8" Type="http://schemas.openxmlformats.org/officeDocument/2006/relationships/hyperlink" Target="https://www.imo.org/en/about/conventions/pages/colreg.aspx" TargetMode="External"/><Relationship Id="rId9" Type="http://schemas.openxmlformats.org/officeDocument/2006/relationships/hyperlink" Target="https://www.imo.org/en/mediacentre/hottopics/pages/autonomous-shipping.aspx" TargetMode="External"/><Relationship Id="rId10" Type="http://schemas.openxmlformats.org/officeDocument/2006/relationships/hyperlink" Target="https://www.sitronics.com/reports/15295" TargetMode="External"/><Relationship Id="rId11" Type="http://schemas.openxmlformats.org/officeDocument/2006/relationships/hyperlink" Target="https://www.sitronics.com/reports/15592" TargetMode="External"/><Relationship Id="rId12" Type="http://schemas.openxmlformats.org/officeDocument/2006/relationships/hyperlink" Target="https://www.sitronics.com/reports/18730" TargetMode="External"/><Relationship Id="rId13" Type="http://schemas.openxmlformats.org/officeDocument/2006/relationships/hyperlink" Target="https://www.sitronics.com/reports/6966" TargetMode="External"/><Relationship Id="rId14" Type="http://schemas.openxmlformats.org/officeDocument/2006/relationships/hyperlink" Target="https://wwwcdn.imo.org/localresources/en/KnowledgeCentre/IndexofIMOResolutions/AssemblyDocuments/A.893(21).pdf" TargetMode="External"/><Relationship Id="rId15" Type="http://schemas.openxmlformats.org/officeDocument/2006/relationships/hyperlink" Target="https://wwwcdn.imo.org/localresources/en/MediaCentre/Documents/MSC%20111-22-Annex%2016%20(Secretariat).pdf" TargetMode="External"/><Relationship Id="rId16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17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footer" Target="footer1.xml"/><Relationship Id="rId2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Ушакова Ксения Сергеевна</dc:creator>
  <cp:keywords/>
  <dc:description/>
  <cp:lastModifiedBy>Ушакова Ксения Сергеевна</cp:lastModifiedBy>
  <cp:revision>1</cp:revision>
  <dcterms:created xsi:type="dcterms:W3CDTF">2025-10-28T06:22:00Z</dcterms:created>
  <dcterms:modified xsi:type="dcterms:W3CDTF">2025-10-28T06:22:00Z</dcterms:modified>
</cp:coreProperties>
</file>