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74D54" w:rsidRPr="00074D54" w:rsidRDefault="00074D54" w:rsidP="00074D54">
      <w:pPr>
        <w:pStyle w:val="VKRTitlePage"/>
        <w:spacing w:after="0" w:line="276" w:lineRule="auto"/>
        <w:jc w:val="center"/>
        <w:rPr>
          <w:rFonts w:ascii="Times New Roman" w:eastAsia="Times New Roman" w:hAnsi="Times New Roman" w:cs="Times New Roman"/>
          <w:sz w:val="20"/>
          <w:szCs w:val="20"/>
          <w:lang w:eastAsia="ru-RU"/>
        </w:rPr>
      </w:pPr>
      <w:r w:rsidRPr="00074D54">
        <w:rPr>
          <w:rFonts w:ascii="Times New Roman" w:eastAsia="Times New Roman" w:hAnsi="Times New Roman" w:cs="Times New Roman"/>
          <w:noProof/>
          <w:sz w:val="20"/>
          <w:szCs w:val="20"/>
          <w:lang w:eastAsia="ru-RU"/>
        </w:rPr>
        <w:drawing>
          <wp:inline distT="0" distB="0" distL="0" distR="0" wp14:anchorId="7AE73D87" wp14:editId="1430576F">
            <wp:extent cx="534670" cy="534670"/>
            <wp:effectExtent l="0" t="0" r="0" b="0"/>
            <wp:docPr id="1" name="Рисунок 1" descr="Описание: гумрф новое лог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Описание: гумрф новое лого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4670" cy="534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74D54" w:rsidRPr="00074D54" w:rsidRDefault="00074D54" w:rsidP="00074D54">
      <w:pPr>
        <w:pStyle w:val="VKRTitlePage"/>
        <w:keepNext/>
        <w:spacing w:after="0" w:line="276" w:lineRule="auto"/>
        <w:jc w:val="center"/>
        <w:outlineLvl w:val="8"/>
        <w:rPr>
          <w:rFonts w:ascii="Times New Roman" w:eastAsia="Times New Roman" w:hAnsi="Times New Roman" w:cs="Times New Roman"/>
          <w:b/>
          <w:sz w:val="20"/>
          <w:szCs w:val="20"/>
          <w:lang w:eastAsia="ru-RU"/>
        </w:rPr>
      </w:pPr>
      <w:r w:rsidRPr="00074D54">
        <w:rPr>
          <w:rFonts w:ascii="Times New Roman" w:eastAsia="Times New Roman" w:hAnsi="Times New Roman" w:cs="Times New Roman"/>
          <w:b/>
          <w:sz w:val="20"/>
          <w:szCs w:val="20"/>
          <w:lang w:eastAsia="ru-RU"/>
        </w:rPr>
        <w:t>ФЕДЕРАЛЬНОЕ АГЕНТСТВО МОРСКОГО И РЕЧНОГО ТРАНСПОРТА</w:t>
      </w:r>
    </w:p>
    <w:p w:rsidR="00074D54" w:rsidRPr="00074D54" w:rsidRDefault="00074D54" w:rsidP="00074D54">
      <w:pPr>
        <w:pStyle w:val="VKRTitlePage"/>
        <w:widowControl w:val="0"/>
        <w:autoSpaceDE w:val="0"/>
        <w:autoSpaceDN w:val="0"/>
        <w:adjustRightInd w:val="0"/>
        <w:spacing w:after="0" w:line="276" w:lineRule="auto"/>
        <w:rPr>
          <w:rFonts w:ascii="Times New Roman" w:eastAsia="Times New Roman" w:hAnsi="Times New Roman" w:cs="Times New Roman"/>
          <w:b/>
          <w:sz w:val="16"/>
          <w:szCs w:val="16"/>
          <w:lang w:eastAsia="ru-RU"/>
        </w:rPr>
      </w:pPr>
    </w:p>
    <w:p w:rsidR="00074D54" w:rsidRPr="00074D54" w:rsidRDefault="00074D54" w:rsidP="00074D54">
      <w:pPr>
        <w:pStyle w:val="VKRTitlePage"/>
        <w:widowControl w:val="0"/>
        <w:autoSpaceDE w:val="0"/>
        <w:autoSpaceDN w:val="0"/>
        <w:adjustRightInd w:val="0"/>
        <w:spacing w:after="0" w:line="276" w:lineRule="auto"/>
        <w:jc w:val="center"/>
        <w:rPr>
          <w:rFonts w:ascii="Times New Roman" w:eastAsia="Times New Roman" w:hAnsi="Times New Roman" w:cs="Times New Roman"/>
          <w:b/>
          <w:sz w:val="20"/>
          <w:szCs w:val="20"/>
          <w:lang w:eastAsia="ru-RU"/>
        </w:rPr>
      </w:pPr>
      <w:r w:rsidRPr="00074D54">
        <w:rPr>
          <w:rFonts w:ascii="Times New Roman" w:eastAsia="Times New Roman" w:hAnsi="Times New Roman" w:cs="Times New Roman"/>
          <w:b/>
          <w:sz w:val="20"/>
          <w:szCs w:val="20"/>
          <w:lang w:eastAsia="ru-RU"/>
        </w:rPr>
        <w:t>Федеральное государственное бюджетное образовательное учреждение высшего образования</w:t>
      </w:r>
    </w:p>
    <w:p w:rsidR="00074D54" w:rsidRPr="00074D54" w:rsidRDefault="00074D54" w:rsidP="00074D54">
      <w:pPr>
        <w:pStyle w:val="VKRTitlePage"/>
        <w:keepNext/>
        <w:spacing w:after="0" w:line="276" w:lineRule="auto"/>
        <w:jc w:val="center"/>
        <w:outlineLvl w:val="8"/>
        <w:rPr>
          <w:rFonts w:ascii="Times New Roman" w:eastAsia="Times New Roman" w:hAnsi="Times New Roman" w:cs="Times New Roman"/>
          <w:b/>
          <w:sz w:val="20"/>
          <w:szCs w:val="20"/>
          <w:lang w:eastAsia="ru-RU"/>
        </w:rPr>
      </w:pPr>
      <w:r w:rsidRPr="00074D54">
        <w:rPr>
          <w:rFonts w:ascii="Times New Roman" w:eastAsia="Times New Roman" w:hAnsi="Times New Roman" w:cs="Times New Roman"/>
          <w:b/>
          <w:sz w:val="20"/>
          <w:szCs w:val="20"/>
          <w:lang w:eastAsia="ru-RU"/>
        </w:rPr>
        <w:t>«Государственный университет морского и речного флота имени адмирала С.О. Макарова»</w:t>
      </w:r>
    </w:p>
    <w:p w:rsidR="00074D54" w:rsidRPr="00074D54" w:rsidRDefault="00074D54" w:rsidP="00074D54">
      <w:pPr>
        <w:pStyle w:val="VKRTitlePage"/>
        <w:widowControl w:val="0"/>
        <w:autoSpaceDE w:val="0"/>
        <w:autoSpaceDN w:val="0"/>
        <w:adjustRightInd w:val="0"/>
        <w:spacing w:after="0" w:line="276" w:lineRule="auto"/>
        <w:jc w:val="center"/>
        <w:rPr>
          <w:rFonts w:ascii="Times New Roman" w:eastAsia="Times New Roman" w:hAnsi="Times New Roman" w:cs="Times New Roman"/>
          <w:b/>
          <w:sz w:val="20"/>
          <w:szCs w:val="20"/>
          <w:lang w:eastAsia="ru-RU"/>
        </w:rPr>
      </w:pPr>
      <w:r w:rsidRPr="00074D54">
        <w:rPr>
          <w:rFonts w:ascii="Times New Roman" w:eastAsia="Times New Roman" w:hAnsi="Times New Roman" w:cs="Times New Roman"/>
          <w:b/>
          <w:sz w:val="20"/>
          <w:szCs w:val="20"/>
          <w:lang w:eastAsia="ru-RU"/>
        </w:rPr>
        <w:t>(ФГБОУ ВО «ГУМРФ имени адмирала С.О. Макарова»)</w:t>
      </w:r>
    </w:p>
    <w:p w:rsidR="00074D54" w:rsidRPr="00074D54" w:rsidRDefault="00074D54" w:rsidP="00074D54">
      <w:pPr>
        <w:pStyle w:val="VKRTitlePage"/>
        <w:spacing w:after="0" w:line="276" w:lineRule="auto"/>
        <w:jc w:val="center"/>
        <w:rPr>
          <w:rFonts w:ascii="Times New Roman" w:eastAsia="Times New Roman" w:hAnsi="Times New Roman" w:cs="Times New Roman"/>
          <w:b/>
          <w:sz w:val="20"/>
          <w:szCs w:val="20"/>
          <w:lang w:eastAsia="ru-RU"/>
        </w:rPr>
      </w:pPr>
    </w:p>
    <w:p w:rsidR="00074D54" w:rsidRPr="00074D54" w:rsidRDefault="00074D54" w:rsidP="00074D54">
      <w:pPr>
        <w:pStyle w:val="VKRTitlePage"/>
        <w:autoSpaceDE w:val="0"/>
        <w:autoSpaceDN w:val="0"/>
        <w:adjustRightInd w:val="0"/>
        <w:spacing w:after="0" w:line="276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  <w:r w:rsidRPr="00074D54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 xml:space="preserve">Институт (факультет) </w:t>
      </w:r>
      <w:r w:rsidRPr="00074D54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ru-RU"/>
        </w:rPr>
        <w:tab/>
      </w:r>
      <w:r w:rsidRPr="00074D54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ru-RU"/>
        </w:rPr>
        <w:tab/>
      </w:r>
      <w:r w:rsidRPr="00074D54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ru-RU"/>
        </w:rPr>
        <w:tab/>
      </w:r>
      <w:r w:rsidRPr="00074D54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ru-RU"/>
        </w:rPr>
        <w:tab/>
      </w:r>
      <w:r w:rsidRPr="00074D54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ru-RU"/>
        </w:rPr>
        <w:tab/>
      </w:r>
      <w:r w:rsidRPr="00074D54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ru-RU"/>
        </w:rPr>
        <w:tab/>
      </w:r>
      <w:r w:rsidRPr="00074D54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ru-RU"/>
        </w:rPr>
        <w:tab/>
      </w:r>
      <w:r w:rsidRPr="00074D54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ru-RU"/>
        </w:rPr>
        <w:tab/>
      </w:r>
      <w:r w:rsidRPr="00074D54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ru-RU"/>
        </w:rPr>
        <w:tab/>
      </w:r>
    </w:p>
    <w:p w:rsidR="00074D54" w:rsidRPr="00074D54" w:rsidRDefault="00074D54" w:rsidP="00074D54">
      <w:pPr>
        <w:pStyle w:val="VKRTitlePage"/>
        <w:autoSpaceDE w:val="0"/>
        <w:autoSpaceDN w:val="0"/>
        <w:adjustRightInd w:val="0"/>
        <w:spacing w:after="0" w:line="276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  <w:r w:rsidRPr="00074D54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 xml:space="preserve">Кафедра </w:t>
      </w:r>
      <w:r w:rsidRPr="00074D54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ru-RU"/>
        </w:rPr>
        <w:tab/>
      </w:r>
      <w:r w:rsidRPr="00074D54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ru-RU"/>
        </w:rPr>
        <w:tab/>
      </w:r>
      <w:r w:rsidRPr="00074D54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ru-RU"/>
        </w:rPr>
        <w:tab/>
      </w:r>
      <w:r w:rsidRPr="00074D54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ru-RU"/>
        </w:rPr>
        <w:tab/>
      </w:r>
      <w:r w:rsidRPr="00074D54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ru-RU"/>
        </w:rPr>
        <w:tab/>
      </w:r>
      <w:r w:rsidRPr="00074D54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ru-RU"/>
        </w:rPr>
        <w:tab/>
      </w:r>
      <w:r w:rsidRPr="00074D54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ru-RU"/>
        </w:rPr>
        <w:tab/>
      </w:r>
      <w:r w:rsidRPr="00074D54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ru-RU"/>
        </w:rPr>
        <w:tab/>
      </w:r>
      <w:r w:rsidRPr="00074D54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ru-RU"/>
        </w:rPr>
        <w:tab/>
      </w:r>
      <w:r w:rsidRPr="00074D54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ru-RU"/>
        </w:rPr>
        <w:tab/>
      </w:r>
      <w:r w:rsidRPr="00074D54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ru-RU"/>
        </w:rPr>
        <w:tab/>
      </w:r>
      <w:r w:rsidRPr="00074D54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ru-RU"/>
        </w:rPr>
        <w:tab/>
      </w:r>
    </w:p>
    <w:p w:rsidR="00074D54" w:rsidRPr="00074D54" w:rsidRDefault="00074D54" w:rsidP="00074D54">
      <w:pPr>
        <w:pStyle w:val="VKRTitlePage"/>
        <w:autoSpaceDE w:val="0"/>
        <w:autoSpaceDN w:val="0"/>
        <w:adjustRightInd w:val="0"/>
        <w:spacing w:after="0" w:line="276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  <w:r>
        <w:rPr>
          <w:rFonts w:ascii="Times New Roman" w:hAnsi="Times New Roman"/>
          <w:b w:val="0"/>
          <w:color w:val="000000"/>
          <w:sz w:val="24"/>
        </w:rPr>
        <w:t>Направление подготовки (специальность) 26.05.05 Судовождение</w:t>
      </w:r>
    </w:p>
    <w:p w:rsidR="00074D54" w:rsidRPr="00074D54" w:rsidRDefault="00074D54" w:rsidP="00074D54">
      <w:pPr>
        <w:pStyle w:val="VKRTitlePage"/>
        <w:autoSpaceDE w:val="0"/>
        <w:autoSpaceDN w:val="0"/>
        <w:adjustRightInd w:val="0"/>
        <w:spacing w:after="0" w:line="276" w:lineRule="auto"/>
        <w:jc w:val="center"/>
        <w:rPr>
          <w:rFonts w:ascii="Times New Roman" w:eastAsia="Times New Roman" w:hAnsi="Times New Roman" w:cs="Times New Roman"/>
          <w:color w:val="000000"/>
          <w:sz w:val="16"/>
          <w:szCs w:val="16"/>
          <w:lang w:eastAsia="ru-RU"/>
        </w:rPr>
      </w:pPr>
      <w:r w:rsidRPr="00074D54">
        <w:rPr>
          <w:rFonts w:ascii="Times New Roman" w:eastAsia="Times New Roman" w:hAnsi="Times New Roman" w:cs="Times New Roman"/>
          <w:color w:val="000000"/>
          <w:sz w:val="16"/>
          <w:szCs w:val="16"/>
          <w:lang w:eastAsia="ru-RU"/>
        </w:rPr>
        <w:t xml:space="preserve">                                                                                             (код, наименование направления подготовки/специальности)</w:t>
      </w:r>
    </w:p>
    <w:p w:rsidR="00074D54" w:rsidRPr="00074D54" w:rsidRDefault="00074D54" w:rsidP="00074D54">
      <w:pPr>
        <w:pStyle w:val="VKRTitlePage"/>
        <w:autoSpaceDE w:val="0"/>
        <w:autoSpaceDN w:val="0"/>
        <w:adjustRightInd w:val="0"/>
        <w:spacing w:after="0" w:line="276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74D5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Форма обучения </w:t>
      </w:r>
      <w:r w:rsidRPr="00074D54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ab/>
      </w:r>
      <w:r w:rsidRPr="00074D54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ab/>
      </w:r>
      <w:r w:rsidRPr="00074D54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ab/>
      </w:r>
      <w:r w:rsidRPr="00074D54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ab/>
      </w:r>
      <w:r w:rsidRPr="00074D54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ab/>
      </w:r>
      <w:r w:rsidRPr="00074D54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ab/>
      </w:r>
      <w:r w:rsidRPr="00074D54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ab/>
      </w:r>
      <w:r w:rsidRPr="00074D54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ab/>
      </w:r>
      <w:r w:rsidRPr="00074D54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ab/>
      </w:r>
      <w:r w:rsidRPr="00074D54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ab/>
      </w:r>
      <w:r w:rsidRPr="00074D54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ab/>
      </w:r>
    </w:p>
    <w:p w:rsidR="00074D54" w:rsidRPr="00074D54" w:rsidRDefault="00074D54" w:rsidP="00074D54">
      <w:pPr>
        <w:pStyle w:val="VKRTitlePage"/>
        <w:widowControl w:val="0"/>
        <w:autoSpaceDE w:val="0"/>
        <w:autoSpaceDN w:val="0"/>
        <w:adjustRightInd w:val="0"/>
        <w:spacing w:after="0" w:line="276" w:lineRule="auto"/>
        <w:jc w:val="center"/>
        <w:rPr>
          <w:rFonts w:ascii="Times New Roman" w:eastAsia="Times New Roman" w:hAnsi="Times New Roman" w:cs="Times New Roman"/>
          <w:b/>
          <w:sz w:val="24"/>
          <w:szCs w:val="20"/>
          <w:lang w:eastAsia="ru-RU"/>
        </w:rPr>
      </w:pPr>
    </w:p>
    <w:p w:rsidR="00074D54" w:rsidRPr="00074D54" w:rsidRDefault="00074D54" w:rsidP="00074D54">
      <w:pPr>
        <w:pStyle w:val="VKRTitlePage"/>
        <w:autoSpaceDE w:val="0"/>
        <w:autoSpaceDN w:val="0"/>
        <w:adjustRightInd w:val="0"/>
        <w:spacing w:after="0" w:line="276" w:lineRule="auto"/>
        <w:ind w:right="-141"/>
        <w:jc w:val="right"/>
        <w:rPr>
          <w:rFonts w:ascii="Times New Roman" w:eastAsia="Times New Roman" w:hAnsi="Times New Roman" w:cs="Times New Roman"/>
          <w:color w:val="000000"/>
          <w:sz w:val="19"/>
          <w:szCs w:val="19"/>
          <w:lang w:eastAsia="ru-RU"/>
        </w:rPr>
      </w:pPr>
      <w:r w:rsidRPr="00074D54">
        <w:rPr>
          <w:rFonts w:ascii="Times New Roman" w:eastAsia="Times New Roman" w:hAnsi="Times New Roman" w:cs="Times New Roman"/>
          <w:color w:val="000000"/>
          <w:sz w:val="19"/>
          <w:szCs w:val="19"/>
          <w:lang w:eastAsia="ru-RU"/>
        </w:rPr>
        <w:t xml:space="preserve"> «К ЗАЩИТЕ ДОПУЩЕНА»</w:t>
      </w:r>
    </w:p>
    <w:p w:rsidR="00074D54" w:rsidRPr="00074D54" w:rsidRDefault="00074D54" w:rsidP="00074D54">
      <w:pPr>
        <w:pStyle w:val="VKRTitlePage"/>
        <w:widowControl w:val="0"/>
        <w:autoSpaceDE w:val="0"/>
        <w:autoSpaceDN w:val="0"/>
        <w:adjustRightInd w:val="0"/>
        <w:spacing w:after="0" w:line="276" w:lineRule="auto"/>
        <w:ind w:left="3960" w:right="-109"/>
        <w:jc w:val="right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  <w:r w:rsidRPr="00074D54">
        <w:rPr>
          <w:rFonts w:ascii="Times New Roman" w:eastAsia="Times New Roman" w:hAnsi="Times New Roman" w:cs="Times New Roman"/>
          <w:sz w:val="24"/>
          <w:szCs w:val="20"/>
          <w:lang w:eastAsia="ru-RU"/>
        </w:rPr>
        <w:t>Заведующий кафедрой</w:t>
      </w:r>
    </w:p>
    <w:p w:rsidR="00074D54" w:rsidRPr="00074D54" w:rsidRDefault="00074D54" w:rsidP="00074D54">
      <w:pPr>
        <w:pStyle w:val="VKRTitlePage"/>
        <w:widowControl w:val="0"/>
        <w:autoSpaceDE w:val="0"/>
        <w:autoSpaceDN w:val="0"/>
        <w:adjustRightInd w:val="0"/>
        <w:spacing w:after="0" w:line="276" w:lineRule="auto"/>
        <w:ind w:left="3960" w:right="-109"/>
        <w:jc w:val="right"/>
        <w:rPr>
          <w:rFonts w:ascii="Times New Roman" w:eastAsia="Times New Roman" w:hAnsi="Times New Roman" w:cs="Times New Roman"/>
          <w:sz w:val="24"/>
          <w:szCs w:val="20"/>
          <w:u w:val="single"/>
          <w:lang w:eastAsia="ru-RU"/>
        </w:rPr>
      </w:pPr>
      <w:r w:rsidRPr="00074D54">
        <w:rPr>
          <w:rFonts w:ascii="Times New Roman" w:eastAsia="Times New Roman" w:hAnsi="Times New Roman" w:cs="Times New Roman"/>
          <w:sz w:val="24"/>
          <w:szCs w:val="20"/>
          <w:u w:val="single"/>
          <w:lang w:eastAsia="ru-RU"/>
        </w:rPr>
        <w:tab/>
      </w:r>
      <w:r w:rsidRPr="00074D54">
        <w:rPr>
          <w:rFonts w:ascii="Times New Roman" w:eastAsia="Times New Roman" w:hAnsi="Times New Roman" w:cs="Times New Roman"/>
          <w:sz w:val="24"/>
          <w:szCs w:val="20"/>
          <w:u w:val="single"/>
          <w:lang w:eastAsia="ru-RU"/>
        </w:rPr>
        <w:tab/>
      </w:r>
      <w:r w:rsidRPr="00074D54">
        <w:rPr>
          <w:rFonts w:ascii="Times New Roman" w:eastAsia="Times New Roman" w:hAnsi="Times New Roman" w:cs="Times New Roman"/>
          <w:sz w:val="24"/>
          <w:szCs w:val="20"/>
          <w:u w:val="single"/>
          <w:lang w:eastAsia="ru-RU"/>
        </w:rPr>
        <w:tab/>
      </w:r>
      <w:r w:rsidRPr="00074D54">
        <w:rPr>
          <w:rFonts w:ascii="Times New Roman" w:eastAsia="Times New Roman" w:hAnsi="Times New Roman" w:cs="Times New Roman"/>
          <w:sz w:val="24"/>
          <w:szCs w:val="20"/>
          <w:u w:val="single"/>
          <w:lang w:eastAsia="ru-RU"/>
        </w:rPr>
        <w:tab/>
      </w:r>
    </w:p>
    <w:p w:rsidR="00074D54" w:rsidRPr="00074D54" w:rsidRDefault="00074D54" w:rsidP="00074D54">
      <w:pPr>
        <w:pStyle w:val="VKRTitlePage"/>
        <w:widowControl w:val="0"/>
        <w:autoSpaceDE w:val="0"/>
        <w:autoSpaceDN w:val="0"/>
        <w:adjustRightInd w:val="0"/>
        <w:spacing w:after="0" w:line="276" w:lineRule="auto"/>
        <w:ind w:left="7200" w:right="-109" w:firstLine="720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  <w:r w:rsidRPr="00074D54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      (подпись)</w:t>
      </w:r>
    </w:p>
    <w:p w:rsidR="00074D54" w:rsidRPr="00074D54" w:rsidRDefault="00074D54" w:rsidP="00074D54">
      <w:pPr>
        <w:pStyle w:val="VKRTitlePage"/>
        <w:widowControl w:val="0"/>
        <w:autoSpaceDE w:val="0"/>
        <w:autoSpaceDN w:val="0"/>
        <w:adjustRightInd w:val="0"/>
        <w:spacing w:after="0" w:line="276" w:lineRule="auto"/>
        <w:ind w:left="3960" w:right="-109"/>
        <w:jc w:val="right"/>
        <w:rPr>
          <w:rFonts w:ascii="Times New Roman" w:eastAsia="Times New Roman" w:hAnsi="Times New Roman" w:cs="Times New Roman"/>
          <w:sz w:val="24"/>
          <w:szCs w:val="20"/>
          <w:u w:val="single"/>
          <w:lang w:eastAsia="ru-RU"/>
        </w:rPr>
      </w:pPr>
      <w:r w:rsidRPr="00074D54">
        <w:rPr>
          <w:rFonts w:ascii="Times New Roman" w:eastAsia="Times New Roman" w:hAnsi="Times New Roman" w:cs="Times New Roman"/>
          <w:sz w:val="24"/>
          <w:szCs w:val="20"/>
          <w:u w:val="single"/>
          <w:lang w:eastAsia="ru-RU"/>
        </w:rPr>
        <w:tab/>
      </w:r>
      <w:r w:rsidRPr="00074D54">
        <w:rPr>
          <w:rFonts w:ascii="Times New Roman" w:eastAsia="Times New Roman" w:hAnsi="Times New Roman" w:cs="Times New Roman"/>
          <w:sz w:val="24"/>
          <w:szCs w:val="20"/>
          <w:u w:val="single"/>
          <w:lang w:eastAsia="ru-RU"/>
        </w:rPr>
        <w:tab/>
      </w:r>
      <w:r w:rsidRPr="00074D54">
        <w:rPr>
          <w:rFonts w:ascii="Times New Roman" w:eastAsia="Times New Roman" w:hAnsi="Times New Roman" w:cs="Times New Roman"/>
          <w:sz w:val="24"/>
          <w:szCs w:val="20"/>
          <w:u w:val="single"/>
          <w:lang w:eastAsia="ru-RU"/>
        </w:rPr>
        <w:tab/>
      </w:r>
      <w:r w:rsidRPr="00074D54">
        <w:rPr>
          <w:rFonts w:ascii="Times New Roman" w:eastAsia="Times New Roman" w:hAnsi="Times New Roman" w:cs="Times New Roman"/>
          <w:sz w:val="24"/>
          <w:szCs w:val="20"/>
          <w:u w:val="single"/>
          <w:lang w:eastAsia="ru-RU"/>
        </w:rPr>
        <w:tab/>
      </w:r>
    </w:p>
    <w:p w:rsidR="00074D54" w:rsidRPr="00074D54" w:rsidRDefault="00074D54" w:rsidP="00074D54">
      <w:pPr>
        <w:pStyle w:val="VKRTitlePage"/>
        <w:widowControl w:val="0"/>
        <w:autoSpaceDE w:val="0"/>
        <w:autoSpaceDN w:val="0"/>
        <w:adjustRightInd w:val="0"/>
        <w:spacing w:after="0" w:line="276" w:lineRule="auto"/>
        <w:ind w:left="7200" w:right="-109" w:firstLine="720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  <w:r w:rsidRPr="00074D54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         (ФИО)</w:t>
      </w:r>
    </w:p>
    <w:p w:rsidR="00074D54" w:rsidRPr="00074D54" w:rsidRDefault="00074D54" w:rsidP="00074D54">
      <w:pPr>
        <w:pStyle w:val="VKRTitlePage"/>
        <w:widowControl w:val="0"/>
        <w:autoSpaceDE w:val="0"/>
        <w:autoSpaceDN w:val="0"/>
        <w:adjustRightInd w:val="0"/>
        <w:spacing w:after="0" w:line="276" w:lineRule="auto"/>
        <w:ind w:left="3969" w:right="-109"/>
        <w:jc w:val="right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  <w:r w:rsidRPr="00074D54">
        <w:rPr>
          <w:rFonts w:ascii="Times New Roman" w:eastAsia="Times New Roman" w:hAnsi="Times New Roman" w:cs="Times New Roman"/>
          <w:sz w:val="24"/>
          <w:szCs w:val="20"/>
          <w:u w:val="single"/>
          <w:lang w:eastAsia="ru-RU"/>
        </w:rPr>
        <w:tab/>
      </w:r>
      <w:r w:rsidRPr="00074D54">
        <w:rPr>
          <w:rFonts w:ascii="Times New Roman" w:eastAsia="Times New Roman" w:hAnsi="Times New Roman" w:cs="Times New Roman"/>
          <w:sz w:val="24"/>
          <w:szCs w:val="20"/>
          <w:u w:val="single"/>
          <w:lang w:eastAsia="ru-RU"/>
        </w:rPr>
        <w:tab/>
      </w:r>
      <w:r w:rsidRPr="00074D54">
        <w:rPr>
          <w:rFonts w:ascii="Times New Roman" w:eastAsia="Times New Roman" w:hAnsi="Times New Roman" w:cs="Times New Roman"/>
          <w:sz w:val="24"/>
          <w:szCs w:val="20"/>
          <w:u w:val="single"/>
          <w:lang w:eastAsia="ru-RU"/>
        </w:rPr>
        <w:tab/>
      </w:r>
      <w:r w:rsidRPr="00074D54">
        <w:rPr>
          <w:rFonts w:ascii="Times New Roman" w:eastAsia="Times New Roman" w:hAnsi="Times New Roman" w:cs="Times New Roman"/>
          <w:sz w:val="24"/>
          <w:szCs w:val="20"/>
          <w:lang w:eastAsia="ru-RU"/>
        </w:rPr>
        <w:t xml:space="preserve"> 20</w:t>
      </w:r>
      <w:r w:rsidRPr="00074D54">
        <w:rPr>
          <w:rFonts w:ascii="Times New Roman" w:eastAsia="Times New Roman" w:hAnsi="Times New Roman" w:cs="Times New Roman"/>
          <w:sz w:val="24"/>
          <w:szCs w:val="20"/>
          <w:u w:val="single"/>
          <w:lang w:eastAsia="ru-RU"/>
        </w:rPr>
        <w:tab/>
      </w:r>
    </w:p>
    <w:p w:rsidR="00074D54" w:rsidRPr="00074D54" w:rsidRDefault="00074D54" w:rsidP="00074D54">
      <w:pPr>
        <w:pStyle w:val="VKRTitlePage"/>
        <w:widowControl w:val="0"/>
        <w:autoSpaceDE w:val="0"/>
        <w:autoSpaceDN w:val="0"/>
        <w:adjustRightInd w:val="0"/>
        <w:spacing w:after="0" w:line="276" w:lineRule="auto"/>
        <w:jc w:val="center"/>
        <w:rPr>
          <w:rFonts w:ascii="Times New Roman" w:eastAsia="Times New Roman" w:hAnsi="Times New Roman" w:cs="Times New Roman"/>
          <w:b/>
          <w:sz w:val="24"/>
          <w:szCs w:val="20"/>
          <w:lang w:eastAsia="ru-RU"/>
        </w:rPr>
      </w:pPr>
    </w:p>
    <w:p w:rsidR="00074D54" w:rsidRPr="00074D54" w:rsidRDefault="00074D54" w:rsidP="00074D54">
      <w:pPr>
        <w:pStyle w:val="VKRTitlePage"/>
        <w:autoSpaceDE w:val="0"/>
        <w:autoSpaceDN w:val="0"/>
        <w:adjustRightInd w:val="0"/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074D54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Выпускная квалификационная работа</w:t>
      </w:r>
    </w:p>
    <w:p w:rsidR="00074D54" w:rsidRPr="00074D54" w:rsidRDefault="00074D54" w:rsidP="00074D54">
      <w:pPr>
        <w:pStyle w:val="VKRTitlePage"/>
        <w:widowControl w:val="0"/>
        <w:autoSpaceDE w:val="0"/>
        <w:autoSpaceDN w:val="0"/>
        <w:adjustRightInd w:val="0"/>
        <w:spacing w:after="0" w:line="276" w:lineRule="auto"/>
        <w:jc w:val="center"/>
        <w:rPr>
          <w:rFonts w:ascii="Times New Roman" w:eastAsia="Times New Roman" w:hAnsi="Times New Roman" w:cs="Times New Roman"/>
          <w:b/>
          <w:sz w:val="24"/>
          <w:szCs w:val="20"/>
          <w:lang w:eastAsia="ru-RU"/>
        </w:rPr>
      </w:pPr>
    </w:p>
    <w:p w:rsidR="00074D54" w:rsidRPr="00074D54" w:rsidRDefault="00074D54" w:rsidP="00074D54">
      <w:pPr>
        <w:pStyle w:val="VKRTitlePage"/>
        <w:autoSpaceDE w:val="0"/>
        <w:autoSpaceDN w:val="0"/>
        <w:adjustRightInd w:val="0"/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  <w:r>
        <w:rPr>
          <w:rFonts w:ascii="Times New Roman" w:hAnsi="Times New Roman"/>
          <w:b w:val="0"/>
          <w:color w:val="000000"/>
          <w:sz w:val="24"/>
        </w:rPr>
        <w:t>Обучающегося Козырева Никиты Алексеевича, группа С-612</w:t>
      </w:r>
    </w:p>
    <w:p w:rsidR="00074D54" w:rsidRPr="00074D54" w:rsidRDefault="00074D54" w:rsidP="00074D54">
      <w:pPr>
        <w:pStyle w:val="VKRTitlePage"/>
        <w:autoSpaceDE w:val="0"/>
        <w:autoSpaceDN w:val="0"/>
        <w:adjustRightInd w:val="0"/>
        <w:spacing w:after="0" w:line="276" w:lineRule="auto"/>
        <w:jc w:val="center"/>
        <w:rPr>
          <w:rFonts w:ascii="Times New Roman" w:eastAsia="Times New Roman" w:hAnsi="Times New Roman" w:cs="Times New Roman"/>
          <w:color w:val="000000"/>
          <w:sz w:val="16"/>
          <w:szCs w:val="16"/>
          <w:lang w:eastAsia="ru-RU"/>
        </w:rPr>
      </w:pPr>
      <w:r w:rsidRPr="00074D54">
        <w:rPr>
          <w:rFonts w:ascii="Times New Roman" w:eastAsia="Times New Roman" w:hAnsi="Times New Roman" w:cs="Times New Roman"/>
          <w:iCs/>
          <w:color w:val="000000"/>
          <w:sz w:val="16"/>
          <w:szCs w:val="16"/>
          <w:lang w:eastAsia="ru-RU"/>
        </w:rPr>
        <w:t>(фамилия, имя, отчество)</w:t>
      </w:r>
    </w:p>
    <w:p w:rsidR="00074D54" w:rsidRPr="00074D54" w:rsidRDefault="00074D54" w:rsidP="00074D54">
      <w:pPr>
        <w:pStyle w:val="VKRTitlePage"/>
        <w:autoSpaceDE w:val="0"/>
        <w:autoSpaceDN w:val="0"/>
        <w:adjustRightInd w:val="0"/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  <w:r>
        <w:rPr>
          <w:rFonts w:ascii="Times New Roman" w:hAnsi="Times New Roman"/>
          <w:b w:val="0"/>
          <w:color w:val="000000"/>
          <w:sz w:val="24"/>
        </w:rPr>
        <w:t>Вид работы: выпускная квалификационная работа специалиста</w:t>
      </w:r>
    </w:p>
    <w:p w:rsidR="00074D54" w:rsidRPr="00074D54" w:rsidRDefault="00074D54" w:rsidP="00074D54">
      <w:pPr>
        <w:pStyle w:val="VKRTitlePage"/>
        <w:autoSpaceDE w:val="0"/>
        <w:autoSpaceDN w:val="0"/>
        <w:adjustRightInd w:val="0"/>
        <w:spacing w:after="0" w:line="276" w:lineRule="auto"/>
        <w:jc w:val="center"/>
        <w:rPr>
          <w:rFonts w:ascii="Times New Roman" w:eastAsia="Times New Roman" w:hAnsi="Times New Roman" w:cs="Times New Roman"/>
          <w:color w:val="000000"/>
          <w:sz w:val="16"/>
          <w:szCs w:val="16"/>
          <w:lang w:eastAsia="ru-RU"/>
        </w:rPr>
      </w:pPr>
      <w:r w:rsidRPr="00074D54">
        <w:rPr>
          <w:rFonts w:ascii="Times New Roman" w:eastAsia="Times New Roman" w:hAnsi="Times New Roman" w:cs="Times New Roman"/>
          <w:iCs/>
          <w:color w:val="000000"/>
          <w:sz w:val="16"/>
          <w:szCs w:val="16"/>
          <w:lang w:eastAsia="ru-RU"/>
        </w:rPr>
        <w:t>(выпускная квалификационная работа бакалавра, специалиста, магистра)</w:t>
      </w:r>
    </w:p>
    <w:p w:rsidR="00074D54" w:rsidRPr="00074D54" w:rsidRDefault="00074D54" w:rsidP="00074D54">
      <w:pPr>
        <w:pStyle w:val="VKRTitlePage"/>
        <w:widowControl w:val="0"/>
        <w:autoSpaceDE w:val="0"/>
        <w:autoSpaceDN w:val="0"/>
        <w:adjustRightInd w:val="0"/>
        <w:spacing w:after="0" w:line="276" w:lineRule="auto"/>
        <w:jc w:val="center"/>
        <w:rPr>
          <w:rFonts w:ascii="Times New Roman" w:eastAsia="Times New Roman" w:hAnsi="Times New Roman" w:cs="Times New Roman"/>
          <w:b/>
          <w:sz w:val="24"/>
          <w:szCs w:val="20"/>
          <w:lang w:eastAsia="ru-RU"/>
        </w:rPr>
      </w:pPr>
    </w:p>
    <w:p w:rsidR="00074D54" w:rsidRPr="00074D54" w:rsidRDefault="00074D54" w:rsidP="00074D54">
      <w:pPr>
        <w:pStyle w:val="VKRTitlePage"/>
        <w:autoSpaceDE w:val="0"/>
        <w:autoSpaceDN w:val="0"/>
        <w:adjustRightInd w:val="0"/>
        <w:spacing w:after="0" w:line="276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074D54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Пояснительная записка</w:t>
      </w:r>
    </w:p>
    <w:p w:rsidR="00074D54" w:rsidRPr="00074D54" w:rsidRDefault="00074D54" w:rsidP="00074D54">
      <w:pPr>
        <w:pStyle w:val="VKRTitlePage"/>
        <w:widowControl w:val="0"/>
        <w:autoSpaceDE w:val="0"/>
        <w:autoSpaceDN w:val="0"/>
        <w:adjustRightInd w:val="0"/>
        <w:spacing w:after="0" w:line="276" w:lineRule="auto"/>
        <w:jc w:val="center"/>
        <w:rPr>
          <w:rFonts w:ascii="Times New Roman" w:eastAsia="Times New Roman" w:hAnsi="Times New Roman" w:cs="Times New Roman"/>
          <w:b/>
          <w:sz w:val="24"/>
          <w:szCs w:val="20"/>
          <w:lang w:eastAsia="ru-RU"/>
        </w:rPr>
      </w:pPr>
    </w:p>
    <w:p w:rsidR="00074D54" w:rsidRPr="00074D54" w:rsidRDefault="00074D54" w:rsidP="00074D54">
      <w:pPr>
        <w:pStyle w:val="VKRTitlePage"/>
        <w:autoSpaceDE w:val="0"/>
        <w:autoSpaceDN w:val="0"/>
        <w:adjustRightInd w:val="0"/>
        <w:spacing w:after="0" w:line="276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hAnsi="Times New Roman"/>
          <w:b w:val="0"/>
          <w:color w:val="000000"/>
          <w:sz w:val="28"/>
        </w:rPr>
        <w:t>Тема: Исследование и анализ применения технологий автономного судовождения (MASS) при плавании в узкостях и перспективы их внедрения на морском флоте</w:t>
      </w:r>
    </w:p>
    <w:p w:rsidR="00074D54" w:rsidRPr="00074D54" w:rsidRDefault="00074D54" w:rsidP="00074D54">
      <w:pPr>
        <w:pStyle w:val="VKRTitlePage"/>
        <w:autoSpaceDE w:val="0"/>
        <w:autoSpaceDN w:val="0"/>
        <w:adjustRightInd w:val="0"/>
        <w:spacing w:after="0" w:line="276" w:lineRule="auto"/>
        <w:jc w:val="center"/>
        <w:rPr>
          <w:rFonts w:ascii="Times New Roman" w:eastAsia="Times New Roman" w:hAnsi="Times New Roman" w:cs="Times New Roman"/>
          <w:color w:val="000000"/>
          <w:sz w:val="16"/>
          <w:szCs w:val="16"/>
          <w:lang w:eastAsia="ru-RU"/>
        </w:rPr>
      </w:pPr>
      <w:r w:rsidRPr="00074D54">
        <w:rPr>
          <w:rFonts w:ascii="Times New Roman" w:eastAsia="Times New Roman" w:hAnsi="Times New Roman" w:cs="Times New Roman"/>
          <w:iCs/>
          <w:color w:val="000000"/>
          <w:sz w:val="16"/>
          <w:szCs w:val="16"/>
          <w:lang w:eastAsia="ru-RU"/>
        </w:rPr>
        <w:t>(полное название темы квалификационной работы, в соответствии с приказом об утверждении тематики ВКР)</w:t>
      </w:r>
    </w:p>
    <w:p w:rsidR="00074D54" w:rsidRPr="00074D54" w:rsidRDefault="00074D54" w:rsidP="00074D54">
      <w:pPr>
        <w:pStyle w:val="VKRTitlePage"/>
        <w:widowControl w:val="0"/>
        <w:autoSpaceDE w:val="0"/>
        <w:autoSpaceDN w:val="0"/>
        <w:adjustRightInd w:val="0"/>
        <w:spacing w:after="0" w:line="276" w:lineRule="auto"/>
        <w:jc w:val="center"/>
        <w:rPr>
          <w:rFonts w:ascii="Times New Roman" w:eastAsia="Times New Roman" w:hAnsi="Times New Roman" w:cs="Times New Roman"/>
          <w:b/>
          <w:sz w:val="24"/>
          <w:szCs w:val="20"/>
          <w:lang w:eastAsia="ru-RU"/>
        </w:rPr>
      </w:pPr>
    </w:p>
    <w:p w:rsidR="00074D54" w:rsidRPr="00074D54" w:rsidRDefault="00074D54" w:rsidP="00074D54">
      <w:pPr>
        <w:pStyle w:val="VKRTitlePage"/>
        <w:autoSpaceDE w:val="0"/>
        <w:autoSpaceDN w:val="0"/>
        <w:adjustRightInd w:val="0"/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  <w:r w:rsidRPr="00074D54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 xml:space="preserve">Руководитель работы </w:t>
      </w:r>
      <w:r w:rsidRPr="00074D54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ru-RU"/>
        </w:rPr>
        <w:tab/>
      </w:r>
      <w:r w:rsidRPr="00074D54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ru-RU"/>
        </w:rPr>
        <w:tab/>
      </w:r>
      <w:r w:rsidRPr="00074D54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ru-RU"/>
        </w:rPr>
        <w:tab/>
      </w:r>
      <w:r w:rsidRPr="00074D54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ru-RU"/>
        </w:rPr>
        <w:tab/>
      </w:r>
      <w:r w:rsidRPr="00074D54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ru-RU"/>
        </w:rPr>
        <w:tab/>
      </w:r>
      <w:r w:rsidRPr="00074D54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ru-RU"/>
        </w:rPr>
        <w:tab/>
      </w:r>
      <w:r w:rsidRPr="00074D54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ru-RU"/>
        </w:rPr>
        <w:tab/>
      </w:r>
      <w:r w:rsidRPr="00074D54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ru-RU"/>
        </w:rPr>
        <w:tab/>
      </w:r>
      <w:r w:rsidRPr="00074D54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ru-RU"/>
        </w:rPr>
        <w:tab/>
      </w:r>
      <w:r w:rsidRPr="00074D54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ru-RU"/>
        </w:rPr>
        <w:tab/>
      </w:r>
    </w:p>
    <w:p w:rsidR="00074D54" w:rsidRPr="00074D54" w:rsidRDefault="00074D54" w:rsidP="00074D54">
      <w:pPr>
        <w:pStyle w:val="VKRTitlePage"/>
        <w:autoSpaceDE w:val="0"/>
        <w:autoSpaceDN w:val="0"/>
        <w:adjustRightInd w:val="0"/>
        <w:spacing w:after="0" w:line="276" w:lineRule="auto"/>
        <w:jc w:val="center"/>
        <w:rPr>
          <w:rFonts w:ascii="Times New Roman" w:eastAsia="Times New Roman" w:hAnsi="Times New Roman" w:cs="Times New Roman"/>
          <w:color w:val="000000"/>
          <w:sz w:val="16"/>
          <w:szCs w:val="16"/>
          <w:lang w:eastAsia="ru-RU"/>
        </w:rPr>
      </w:pPr>
      <w:r w:rsidRPr="00074D54">
        <w:rPr>
          <w:rFonts w:ascii="Times New Roman" w:eastAsia="Times New Roman" w:hAnsi="Times New Roman" w:cs="Times New Roman"/>
          <w:iCs/>
          <w:color w:val="000000"/>
          <w:sz w:val="16"/>
          <w:szCs w:val="16"/>
          <w:lang w:eastAsia="ru-RU"/>
        </w:rPr>
        <w:t>(должность, подпись, фамилия, инициалы, дата)</w:t>
      </w:r>
    </w:p>
    <w:p w:rsidR="00074D54" w:rsidRPr="00074D54" w:rsidRDefault="00074D54" w:rsidP="00074D54">
      <w:pPr>
        <w:pStyle w:val="VKRTitlePage"/>
        <w:autoSpaceDE w:val="0"/>
        <w:autoSpaceDN w:val="0"/>
        <w:adjustRightInd w:val="0"/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  <w:r w:rsidRPr="00074D54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 xml:space="preserve">Консультант </w:t>
      </w:r>
      <w:r w:rsidRPr="00074D54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ru-RU"/>
        </w:rPr>
        <w:tab/>
      </w:r>
      <w:r w:rsidRPr="00074D54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ru-RU"/>
        </w:rPr>
        <w:tab/>
      </w:r>
      <w:r w:rsidRPr="00074D54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ru-RU"/>
        </w:rPr>
        <w:tab/>
      </w:r>
      <w:r w:rsidRPr="00074D54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ru-RU"/>
        </w:rPr>
        <w:tab/>
      </w:r>
      <w:r w:rsidRPr="00074D54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ru-RU"/>
        </w:rPr>
        <w:tab/>
      </w:r>
      <w:r w:rsidRPr="00074D54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ru-RU"/>
        </w:rPr>
        <w:tab/>
      </w:r>
      <w:r w:rsidRPr="00074D54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ru-RU"/>
        </w:rPr>
        <w:tab/>
      </w:r>
      <w:r w:rsidRPr="00074D54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ru-RU"/>
        </w:rPr>
        <w:tab/>
      </w:r>
      <w:r w:rsidRPr="00074D54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ru-RU"/>
        </w:rPr>
        <w:tab/>
      </w:r>
      <w:r w:rsidRPr="00074D54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ru-RU"/>
        </w:rPr>
        <w:tab/>
      </w:r>
      <w:r w:rsidRPr="00074D54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ru-RU"/>
        </w:rPr>
        <w:tab/>
      </w:r>
      <w:r w:rsidRPr="00074D54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ru-RU"/>
        </w:rPr>
        <w:tab/>
      </w:r>
    </w:p>
    <w:p w:rsidR="00074D54" w:rsidRPr="00074D54" w:rsidRDefault="00074D54" w:rsidP="00074D54">
      <w:pPr>
        <w:pStyle w:val="VKRTitlePage"/>
        <w:autoSpaceDE w:val="0"/>
        <w:autoSpaceDN w:val="0"/>
        <w:adjustRightInd w:val="0"/>
        <w:spacing w:after="0" w:line="276" w:lineRule="auto"/>
        <w:rPr>
          <w:rFonts w:ascii="Times New Roman" w:eastAsia="Times New Roman" w:hAnsi="Times New Roman" w:cs="Times New Roman"/>
          <w:color w:val="000000"/>
          <w:sz w:val="16"/>
          <w:szCs w:val="16"/>
          <w:lang w:eastAsia="ru-RU"/>
        </w:rPr>
      </w:pPr>
      <w:r w:rsidRPr="00074D54">
        <w:rPr>
          <w:rFonts w:ascii="Times New Roman" w:eastAsia="Times New Roman" w:hAnsi="Times New Roman" w:cs="Times New Roman"/>
          <w:iCs/>
          <w:color w:val="000000"/>
          <w:sz w:val="16"/>
          <w:szCs w:val="16"/>
          <w:lang w:eastAsia="ru-RU"/>
        </w:rPr>
        <w:t xml:space="preserve">   (при </w:t>
      </w:r>
      <w:proofErr w:type="gramStart"/>
      <w:r w:rsidRPr="00074D54">
        <w:rPr>
          <w:rFonts w:ascii="Times New Roman" w:eastAsia="Times New Roman" w:hAnsi="Times New Roman" w:cs="Times New Roman"/>
          <w:iCs/>
          <w:color w:val="000000"/>
          <w:sz w:val="16"/>
          <w:szCs w:val="16"/>
          <w:lang w:eastAsia="ru-RU"/>
        </w:rPr>
        <w:t xml:space="preserve">наличии)   </w:t>
      </w:r>
      <w:proofErr w:type="gramEnd"/>
      <w:r w:rsidRPr="00074D54">
        <w:rPr>
          <w:rFonts w:ascii="Times New Roman" w:eastAsia="Times New Roman" w:hAnsi="Times New Roman" w:cs="Times New Roman"/>
          <w:iCs/>
          <w:color w:val="000000"/>
          <w:sz w:val="16"/>
          <w:szCs w:val="16"/>
          <w:lang w:eastAsia="ru-RU"/>
        </w:rPr>
        <w:t xml:space="preserve">                                                  (должность, подпись, фамилия, инициалы, дата)</w:t>
      </w:r>
    </w:p>
    <w:p w:rsidR="00074D54" w:rsidRPr="00074D54" w:rsidRDefault="00074D54" w:rsidP="00074D54">
      <w:pPr>
        <w:pStyle w:val="VKRTitlePage"/>
        <w:autoSpaceDE w:val="0"/>
        <w:autoSpaceDN w:val="0"/>
        <w:adjustRightInd w:val="0"/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  <w:r w:rsidRPr="00074D54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 xml:space="preserve">Консультант </w:t>
      </w:r>
      <w:r w:rsidRPr="00074D54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ru-RU"/>
        </w:rPr>
        <w:tab/>
      </w:r>
      <w:r w:rsidRPr="00074D54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ru-RU"/>
        </w:rPr>
        <w:tab/>
      </w:r>
      <w:r w:rsidRPr="00074D54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ru-RU"/>
        </w:rPr>
        <w:tab/>
      </w:r>
      <w:r w:rsidRPr="00074D54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ru-RU"/>
        </w:rPr>
        <w:tab/>
      </w:r>
      <w:r w:rsidRPr="00074D54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ru-RU"/>
        </w:rPr>
        <w:tab/>
      </w:r>
      <w:r w:rsidRPr="00074D54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ru-RU"/>
        </w:rPr>
        <w:tab/>
      </w:r>
      <w:r w:rsidRPr="00074D54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ru-RU"/>
        </w:rPr>
        <w:tab/>
      </w:r>
      <w:r w:rsidRPr="00074D54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ru-RU"/>
        </w:rPr>
        <w:tab/>
      </w:r>
      <w:r w:rsidRPr="00074D54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ru-RU"/>
        </w:rPr>
        <w:tab/>
      </w:r>
      <w:r w:rsidRPr="00074D54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ru-RU"/>
        </w:rPr>
        <w:tab/>
      </w:r>
      <w:r w:rsidRPr="00074D54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ru-RU"/>
        </w:rPr>
        <w:tab/>
      </w:r>
      <w:r w:rsidRPr="00074D54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ru-RU"/>
        </w:rPr>
        <w:tab/>
      </w:r>
    </w:p>
    <w:p w:rsidR="00074D54" w:rsidRPr="00074D54" w:rsidRDefault="00074D54" w:rsidP="00074D54">
      <w:pPr>
        <w:pStyle w:val="VKRTitlePage"/>
        <w:autoSpaceDE w:val="0"/>
        <w:autoSpaceDN w:val="0"/>
        <w:adjustRightInd w:val="0"/>
        <w:spacing w:after="0" w:line="276" w:lineRule="auto"/>
        <w:jc w:val="center"/>
        <w:rPr>
          <w:rFonts w:ascii="Times New Roman" w:eastAsia="Times New Roman" w:hAnsi="Times New Roman" w:cs="Times New Roman"/>
          <w:iCs/>
          <w:color w:val="000000"/>
          <w:sz w:val="16"/>
          <w:szCs w:val="16"/>
          <w:lang w:eastAsia="ru-RU"/>
        </w:rPr>
      </w:pPr>
      <w:r w:rsidRPr="00074D54">
        <w:rPr>
          <w:rFonts w:ascii="Times New Roman" w:eastAsia="Times New Roman" w:hAnsi="Times New Roman" w:cs="Times New Roman"/>
          <w:iCs/>
          <w:color w:val="000000"/>
          <w:sz w:val="16"/>
          <w:szCs w:val="16"/>
          <w:lang w:eastAsia="ru-RU"/>
        </w:rPr>
        <w:t>(должность, подпись, фамилия, инициалы, дата)</w:t>
      </w:r>
    </w:p>
    <w:p w:rsidR="00074D54" w:rsidRPr="00074D54" w:rsidRDefault="00074D54" w:rsidP="00074D54">
      <w:pPr>
        <w:pStyle w:val="VKRTitlePage"/>
        <w:autoSpaceDE w:val="0"/>
        <w:autoSpaceDN w:val="0"/>
        <w:adjustRightInd w:val="0"/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  <w:r w:rsidRPr="00074D54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 xml:space="preserve">Обучающийся </w:t>
      </w:r>
      <w:r w:rsidRPr="00074D54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ru-RU"/>
        </w:rPr>
        <w:tab/>
      </w:r>
      <w:r w:rsidRPr="00074D54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ru-RU"/>
        </w:rPr>
        <w:tab/>
      </w:r>
      <w:r w:rsidRPr="00074D54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ru-RU"/>
        </w:rPr>
        <w:tab/>
      </w:r>
      <w:r w:rsidRPr="00074D54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ru-RU"/>
        </w:rPr>
        <w:tab/>
      </w:r>
      <w:r w:rsidRPr="00074D54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ru-RU"/>
        </w:rPr>
        <w:tab/>
      </w:r>
      <w:r w:rsidRPr="00074D54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ru-RU"/>
        </w:rPr>
        <w:tab/>
      </w:r>
      <w:r w:rsidRPr="00074D54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ru-RU"/>
        </w:rPr>
        <w:tab/>
      </w:r>
      <w:r w:rsidRPr="00074D54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ru-RU"/>
        </w:rPr>
        <w:tab/>
      </w:r>
      <w:r w:rsidRPr="00074D54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ru-RU"/>
        </w:rPr>
        <w:tab/>
      </w:r>
      <w:r w:rsidRPr="00074D54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ru-RU"/>
        </w:rPr>
        <w:tab/>
      </w:r>
      <w:r w:rsidRPr="00074D54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ru-RU"/>
        </w:rPr>
        <w:tab/>
      </w:r>
    </w:p>
    <w:p w:rsidR="00074D54" w:rsidRPr="00074D54" w:rsidRDefault="00074D54" w:rsidP="00074D54">
      <w:pPr>
        <w:pStyle w:val="VKRTitlePage"/>
        <w:autoSpaceDE w:val="0"/>
        <w:autoSpaceDN w:val="0"/>
        <w:adjustRightInd w:val="0"/>
        <w:spacing w:after="0" w:line="276" w:lineRule="auto"/>
        <w:jc w:val="center"/>
        <w:rPr>
          <w:rFonts w:ascii="Times New Roman" w:eastAsia="Times New Roman" w:hAnsi="Times New Roman" w:cs="Times New Roman"/>
          <w:color w:val="000000"/>
          <w:sz w:val="16"/>
          <w:szCs w:val="16"/>
          <w:lang w:eastAsia="ru-RU"/>
        </w:rPr>
      </w:pPr>
      <w:r w:rsidRPr="00074D54">
        <w:rPr>
          <w:rFonts w:ascii="Times New Roman" w:eastAsia="Times New Roman" w:hAnsi="Times New Roman" w:cs="Times New Roman"/>
          <w:iCs/>
          <w:color w:val="000000"/>
          <w:sz w:val="16"/>
          <w:szCs w:val="16"/>
          <w:lang w:eastAsia="ru-RU"/>
        </w:rPr>
        <w:t>(подпись, фамилия, инициалы, дата)</w:t>
      </w:r>
    </w:p>
    <w:p w:rsidR="00074D54" w:rsidRPr="00074D54" w:rsidRDefault="00074D54" w:rsidP="00074D54">
      <w:pPr>
        <w:pStyle w:val="VKRTitlePage"/>
        <w:widowControl w:val="0"/>
        <w:autoSpaceDE w:val="0"/>
        <w:autoSpaceDN w:val="0"/>
        <w:adjustRightInd w:val="0"/>
        <w:spacing w:after="0" w:line="276" w:lineRule="auto"/>
        <w:jc w:val="center"/>
        <w:rPr>
          <w:rFonts w:ascii="Times New Roman" w:eastAsia="Times New Roman" w:hAnsi="Times New Roman" w:cs="Times New Roman"/>
          <w:b/>
          <w:sz w:val="24"/>
          <w:szCs w:val="20"/>
          <w:lang w:eastAsia="ru-RU"/>
        </w:rPr>
      </w:pPr>
    </w:p>
    <w:p w:rsidR="00074D54" w:rsidRPr="00074D54" w:rsidRDefault="00074D54" w:rsidP="00074D54">
      <w:pPr>
        <w:pStyle w:val="VKRTitlePage"/>
        <w:spacing w:after="0" w:line="276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74D54">
        <w:rPr>
          <w:rFonts w:ascii="Times New Roman" w:eastAsia="Times New Roman" w:hAnsi="Times New Roman" w:cs="Times New Roman"/>
          <w:sz w:val="24"/>
          <w:szCs w:val="24"/>
          <w:lang w:eastAsia="ru-RU"/>
        </w:rPr>
        <w:t>Санкт-Петербург</w:t>
      </w:r>
    </w:p>
    <w:p w:rsidR="00641AE4" w:rsidRPr="00074D54" w:rsidRDefault="00074D54" w:rsidP="00074D54">
      <w:pPr>
        <w:pStyle w:val="VKRTitlePage"/>
        <w:spacing w:after="0" w:line="276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hAnsi="Times New Roman"/>
          <w:b w:val="0"/>
          <w:color w:val="000000"/>
          <w:sz w:val="24"/>
        </w:rPr>
        <w:t>2026</w:t>
      </w:r>
    </w:p>
    <w:p>
      <w:pPr>
        <w:pStyle w:val="VKRFrontHeading"/>
      </w:pPr>
      <w:r>
        <w:t>СОДЕРЖАНИЕ</w:t>
      </w:r>
    </w:p>
    <w:p>
      <w:pPr>
        <w:pStyle w:val="VKRTOCEntry"/>
        <w:ind w:right="454"/>
      </w:pPr>
      <w:hyperlink w:anchor="VKRSection0">
        <w:r>
          <w:t>Перечень сокращений</w:t>
        </w:r>
      </w:hyperlink>
      <w:r>
        <w:t xml:space="preserve"> </w:t>
        <w:tab/>
      </w:r>
      <w:fldSimple w:instr="PAGEREF VKRSection0 \h">
        <w:r>
          <w:t>4</w:t>
        </w:r>
      </w:fldSimple>
    </w:p>
    <w:p>
      <w:pPr>
        <w:pStyle w:val="VKRTOCEntry"/>
        <w:ind w:right="454"/>
      </w:pPr>
      <w:hyperlink w:anchor="VKRSection1">
        <w:r>
          <w:t>Введение</w:t>
        </w:r>
      </w:hyperlink>
      <w:r>
        <w:t xml:space="preserve"> </w:t>
        <w:tab/>
      </w:r>
      <w:fldSimple w:instr="PAGEREF VKRSection1 \h">
        <w:r>
          <w:t>5</w:t>
        </w:r>
      </w:fldSimple>
    </w:p>
    <w:p>
      <w:pPr>
        <w:pStyle w:val="VKRTOCEntry"/>
        <w:ind w:right="454"/>
      </w:pPr>
      <w:hyperlink w:anchor="VKRSection2">
        <w:r>
          <w:t>1 Теоретические основы автономного судовождения и проблемы его применения в узкостях</w:t>
        </w:r>
      </w:hyperlink>
      <w:r>
        <w:t xml:space="preserve"> </w:t>
        <w:tab/>
      </w:r>
      <w:fldSimple w:instr="PAGEREF VKRSection2 \h">
        <w:r>
          <w:t>8</w:t>
        </w:r>
      </w:fldSimple>
    </w:p>
    <w:p>
      <w:pPr>
        <w:pStyle w:val="VKRTOCEntry"/>
        <w:tabs>
          <w:tab w:pos="9071" w:val="right" w:leader="dot"/>
        </w:tabs>
        <w:ind w:left="283" w:right="454"/>
      </w:pPr>
      <w:hyperlink w:anchor="VKRSection3">
        <w:r>
          <w:t>1.1 Основные понятия и режимы автономного судовождения</w:t>
        </w:r>
      </w:hyperlink>
      <w:r>
        <w:t xml:space="preserve"> </w:t>
        <w:tab/>
      </w:r>
      <w:fldSimple w:instr="PAGEREF VKRSection3 \h">
        <w:r>
          <w:t>8</w:t>
        </w:r>
      </w:fldSimple>
    </w:p>
    <w:p>
      <w:pPr>
        <w:pStyle w:val="VKRTOCEntry"/>
        <w:tabs>
          <w:tab w:pos="9071" w:val="right" w:leader="dot"/>
        </w:tabs>
        <w:ind w:left="283" w:right="454"/>
      </w:pPr>
      <w:hyperlink w:anchor="VKRSection4">
        <w:r>
          <w:t>1.2 Понятие узкости и связанные навигационные понятия</w:t>
        </w:r>
      </w:hyperlink>
      <w:r>
        <w:t xml:space="preserve"> </w:t>
        <w:tab/>
      </w:r>
      <w:fldSimple w:instr="PAGEREF VKRSection4 \h">
        <w:r>
          <w:t>11</w:t>
        </w:r>
      </w:fldSimple>
    </w:p>
    <w:p>
      <w:pPr>
        <w:pStyle w:val="VKRTOCEntry"/>
        <w:tabs>
          <w:tab w:pos="9071" w:val="right" w:leader="dot"/>
        </w:tabs>
        <w:ind w:left="283" w:right="454"/>
      </w:pPr>
      <w:hyperlink w:anchor="VKRSection5">
        <w:r>
          <w:t>1.3 Технические средства и принципы работы автономной системы судовождения</w:t>
        </w:r>
      </w:hyperlink>
      <w:r>
        <w:t xml:space="preserve"> </w:t>
        <w:tab/>
      </w:r>
      <w:fldSimple w:instr="PAGEREF VKRSection5 \h">
        <w:r>
          <w:t>13</w:t>
        </w:r>
      </w:fldSimple>
    </w:p>
    <w:p>
      <w:pPr>
        <w:pStyle w:val="VKRTOCEntry"/>
        <w:tabs>
          <w:tab w:pos="9071" w:val="right" w:leader="dot"/>
        </w:tabs>
        <w:ind w:left="283" w:right="454"/>
      </w:pPr>
      <w:hyperlink w:anchor="VKRSection6">
        <w:r>
          <w:t>1.4 Основные навигационные проблемы при плавании в узкостях</w:t>
        </w:r>
      </w:hyperlink>
      <w:r>
        <w:t xml:space="preserve"> </w:t>
        <w:tab/>
      </w:r>
      <w:fldSimple w:instr="PAGEREF VKRSection6 \h">
        <w:r>
          <w:t>24</w:t>
        </w:r>
      </w:fldSimple>
    </w:p>
    <w:p>
      <w:pPr>
        <w:pStyle w:val="VKRTOCEntry"/>
        <w:tabs>
          <w:tab w:pos="9071" w:val="right" w:leader="dot"/>
        </w:tabs>
        <w:ind w:left="283" w:right="454"/>
      </w:pPr>
      <w:hyperlink w:anchor="VKRSection7">
        <w:r>
          <w:t>1.5 Международные требования к безопасности автономного судовождения</w:t>
        </w:r>
      </w:hyperlink>
      <w:r>
        <w:t xml:space="preserve"> </w:t>
        <w:tab/>
      </w:r>
      <w:fldSimple w:instr="PAGEREF VKRSection7 \h">
        <w:r>
          <w:t>26</w:t>
        </w:r>
      </w:fldSimple>
    </w:p>
    <w:p>
      <w:pPr>
        <w:pStyle w:val="VKRTOCEntry"/>
        <w:ind w:right="454"/>
      </w:pPr>
      <w:hyperlink w:anchor="VKRSection8">
        <w:r>
          <w:t>2 Российский опыт разработки и применения технологий автономного судовождения</w:t>
        </w:r>
      </w:hyperlink>
      <w:r>
        <w:t xml:space="preserve"> </w:t>
        <w:tab/>
      </w:r>
      <w:fldSimple w:instr="PAGEREF VKRSection8 \h">
        <w:r>
          <w:t>30</w:t>
        </w:r>
      </w:fldSimple>
    </w:p>
    <w:p>
      <w:pPr>
        <w:pStyle w:val="VKRTOCEntry"/>
        <w:tabs>
          <w:tab w:pos="9071" w:val="right" w:leader="dot"/>
        </w:tabs>
        <w:ind w:left="283" w:right="454"/>
      </w:pPr>
      <w:hyperlink w:anchor="VKRSection9">
        <w:r>
          <w:t>2.1 Развитие автономного судовождения в России и основные проекты</w:t>
        </w:r>
      </w:hyperlink>
      <w:r>
        <w:t xml:space="preserve"> </w:t>
        <w:tab/>
      </w:r>
      <w:fldSimple w:instr="PAGEREF VKRSection9 \h">
        <w:r>
          <w:t>30</w:t>
        </w:r>
      </w:fldSimple>
    </w:p>
    <w:p>
      <w:pPr>
        <w:pStyle w:val="VKRTOCEntry"/>
        <w:tabs>
          <w:tab w:pos="9071" w:val="right" w:leader="dot"/>
        </w:tabs>
        <w:ind w:left="283" w:right="454"/>
      </w:pPr>
      <w:hyperlink w:anchor="VKRSection10">
        <w:r>
          <w:t>2.2 Российские технические решения и реализованные навигационные функции</w:t>
        </w:r>
      </w:hyperlink>
      <w:r>
        <w:t xml:space="preserve"> </w:t>
        <w:tab/>
      </w:r>
      <w:fldSimple w:instr="PAGEREF VKRSection10 \h">
        <w:r>
          <w:t>31</w:t>
        </w:r>
      </w:fldSimple>
    </w:p>
    <w:p>
      <w:pPr>
        <w:pStyle w:val="VKRTOCEntry"/>
        <w:tabs>
          <w:tab w:pos="9071" w:val="right" w:leader="dot"/>
        </w:tabs>
        <w:ind w:left="283" w:right="454"/>
      </w:pPr>
      <w:hyperlink w:anchor="VKRSection11">
        <w:r>
          <w:t>2.3 Испытания и эксплуатация российских систем: результаты и ограничения</w:t>
        </w:r>
      </w:hyperlink>
      <w:r>
        <w:t xml:space="preserve"> </w:t>
        <w:tab/>
      </w:r>
      <w:fldSimple w:instr="PAGEREF VKRSection11 \h">
        <w:r>
          <w:t>32</w:t>
        </w:r>
      </w:fldSimple>
    </w:p>
    <w:p>
      <w:pPr>
        <w:pStyle w:val="VKRTOCEntry"/>
        <w:tabs>
          <w:tab w:pos="9071" w:val="right" w:leader="dot"/>
        </w:tabs>
        <w:ind w:left="283"/>
      </w:pPr>
      <w:r>
        <w:t>2.4 Нормативные и организационные условия применения автономного судовождения в России</w:t>
      </w:r>
    </w:p>
    <w:p>
      <w:pPr>
        <w:pStyle w:val="VKRTOCEntry"/>
      </w:pPr>
      <w:r>
        <w:t>3 Анализ применимости технологий автономного судовождения при плавании в узкостях</w:t>
      </w:r>
    </w:p>
    <w:p>
      <w:pPr>
        <w:pStyle w:val="VKRTOCEntry"/>
        <w:tabs>
          <w:tab w:pos="9071" w:val="right" w:leader="dot"/>
        </w:tabs>
        <w:ind w:left="283"/>
      </w:pPr>
      <w:r>
        <w:t>3.1 Зарубежный опыт решения навигационных задач автономного судовождения на примере японских проектов</w:t>
      </w:r>
    </w:p>
    <w:p>
      <w:pPr>
        <w:pStyle w:val="VKRTOCEntry"/>
        <w:tabs>
          <w:tab w:pos="9071" w:val="right" w:leader="dot"/>
        </w:tabs>
        <w:ind w:left="283"/>
      </w:pPr>
      <w:r>
        <w:t>3.2 Критерии оценки и сопоставление российских и зарубежных решений</w:t>
      </w:r>
    </w:p>
    <w:p>
      <w:pPr>
        <w:pStyle w:val="VKRTOCEntry"/>
        <w:tabs>
          <w:tab w:pos="9071" w:val="right" w:leader="dot"/>
        </w:tabs>
        <w:ind w:left="283"/>
      </w:pPr>
      <w:r>
        <w:t>3.3 Анализ обнаружения опасностей и принятия решений в типовых ситуациях плавания в узкостях</w:t>
      </w:r>
    </w:p>
    <w:p>
      <w:pPr>
        <w:pStyle w:val="VKRTOCEntry"/>
        <w:tabs>
          <w:tab w:pos="9071" w:val="right" w:leader="dot"/>
        </w:tabs>
        <w:ind w:left="283"/>
      </w:pPr>
      <w:r>
        <w:t>3.4 Ограничения автономного управления и условия вмешательства человека</w:t>
      </w:r>
    </w:p>
    <w:p>
      <w:pPr>
        <w:pStyle w:val="VKRTOCEntry"/>
      </w:pPr>
      <w:r>
        <w:t>4 Перспективы внедрения автономного судовождения на морском флоте</w:t>
      </w:r>
    </w:p>
    <w:p>
      <w:pPr>
        <w:pStyle w:val="VKRTOCEntry"/>
        <w:tabs>
          <w:tab w:pos="9071" w:val="right" w:leader="dot"/>
        </w:tabs>
        <w:ind w:left="283"/>
      </w:pPr>
      <w:r>
        <w:t>4.1 Технические, нормативные и организационные условия внедрения</w:t>
      </w:r>
    </w:p>
    <w:p>
      <w:pPr>
        <w:pStyle w:val="VKRTOCEntry"/>
        <w:tabs>
          <w:tab w:pos="9071" w:val="right" w:leader="dot"/>
        </w:tabs>
        <w:ind w:left="283"/>
      </w:pPr>
      <w:r>
        <w:t>4.2 Перспективы перехода от традиционного к автономному судовождению и изменение роли экипажа</w:t>
      </w:r>
    </w:p>
    <w:p>
      <w:pPr>
        <w:pStyle w:val="VKRTOCEntry"/>
        <w:tabs>
          <w:tab w:pos="9071" w:val="right" w:leader="dot"/>
        </w:tabs>
        <w:ind w:left="283"/>
      </w:pPr>
      <w:r>
        <w:t>4.3 Возможная последовательность внедрения автономных функций на российском морском флоте</w:t>
      </w:r>
    </w:p>
    <w:p>
      <w:pPr>
        <w:pStyle w:val="VKRTOCEntry"/>
        <w:tabs>
          <w:tab w:pos="9071" w:val="right" w:leader="dot"/>
        </w:tabs>
        <w:ind w:left="283"/>
      </w:pPr>
      <w:r>
        <w:t>4.4 Применение результатов анализа к отдельному району плавания</w:t>
      </w:r>
    </w:p>
    <w:p>
      <w:pPr>
        <w:pStyle w:val="VKRTOCEntry"/>
      </w:pPr>
      <w:r>
        <w:t>Заключение</w:t>
      </w:r>
    </w:p>
    <w:p>
      <w:pPr>
        <w:pStyle w:val="VKRTOCEntry"/>
        <w:ind w:right="454"/>
      </w:pPr>
      <w:hyperlink w:anchor="VKRSection12">
        <w:r>
          <w:t>Список использованных источников</w:t>
        </w:r>
      </w:hyperlink>
      <w:r>
        <w:t xml:space="preserve"> </w:t>
        <w:tab/>
      </w:r>
      <w:fldSimple w:instr="PAGEREF VKRSection12 \h">
        <w:r>
          <w:t>34</w:t>
        </w:r>
      </w:fldSimple>
    </w:p>
    <w:p>
      <w:pPr>
        <w:pStyle w:val="VKRTOCEntry"/>
      </w:pPr>
      <w:r>
        <w:t>Приложения (при необходимости)</w:t>
      </w:r>
    </w:p>
    <w:p>
      <w:pPr>
        <w:pStyle w:val="VKRStructuralHeading"/>
      </w:pPr>
      <w:bookmarkStart w:id="1000" w:name="VKRSection0"/>
      <w:r>
        <w:t>ПЕРЕЧЕНЬ СОКРАЩЕНИЙ</w:t>
      </w:r>
      <w:bookmarkEnd w:id="1000"/>
    </w:p>
    <w:p>
      <w:pPr>
        <w:pStyle w:val="VKRAbbreviation"/>
      </w:pPr>
      <w:r>
        <w:t>ИМО</w:t>
        <w:tab/>
        <w:t>Международная морская организация</w:t>
      </w:r>
    </w:p>
    <w:p>
      <w:pPr>
        <w:pStyle w:val="VKRAbbreviation"/>
      </w:pPr>
      <w:r>
        <w:t>MASS</w:t>
        <w:tab/>
        <w:t>Maritime Autonomous Surface Ship (морское автономное надводное судно)</w:t>
      </w:r>
    </w:p>
    <w:p>
      <w:pPr>
        <w:pStyle w:val="VKRAbbreviation"/>
      </w:pPr>
      <w:r>
        <w:t>МППСС-72</w:t>
        <w:tab/>
        <w:t>Международные правила предупреждения столкновений судов в море 1972 года</w:t>
      </w:r>
    </w:p>
    <w:p>
      <w:pPr>
        <w:pStyle w:val="VKRAbbreviation"/>
      </w:pPr>
      <w:r>
        <w:t>ГНСС</w:t>
        <w:tab/>
        <w:t>глобальная навигационная спутниковая система</w:t>
      </w:r>
    </w:p>
    <w:p>
      <w:pPr>
        <w:pStyle w:val="VKRAbbreviation"/>
      </w:pPr>
      <w:r>
        <w:t>РЛС</w:t>
        <w:tab/>
        <w:t>радиолокационная станция</w:t>
      </w:r>
    </w:p>
    <w:p>
      <w:pPr>
        <w:pStyle w:val="VKRAbbreviation"/>
      </w:pPr>
      <w:r>
        <w:t>САРП</w:t>
        <w:tab/>
        <w:t>средства автоматической радиолокационной прокладки</w:t>
      </w:r>
    </w:p>
    <w:p>
      <w:pPr>
        <w:pStyle w:val="VKRAbbreviation"/>
      </w:pPr>
      <w:r>
        <w:t>АИС</w:t>
        <w:tab/>
        <w:t>автоматическая идентификационная система</w:t>
      </w:r>
    </w:p>
    <w:p>
      <w:pPr>
        <w:pStyle w:val="VKRAbbreviation"/>
      </w:pPr>
      <w:r>
        <w:t>ЭКНИС</w:t>
        <w:tab/>
        <w:t>электронная картографическая навигационно-информационная система</w:t>
      </w:r>
    </w:p>
    <w:p>
      <w:pPr>
        <w:pStyle w:val="VKRAbbreviation"/>
      </w:pPr>
      <w:r>
        <w:t>CAS</w:t>
        <w:tab/>
        <w:t>Collision Avoidance System (система предотвращения столкновений)</w:t>
      </w:r>
    </w:p>
    <w:p>
      <w:pPr>
        <w:pStyle w:val="VKRAbbreviation"/>
      </w:pPr>
      <w:r>
        <w:t>АНС</w:t>
        <w:tab/>
        <w:t>автономная навигационная система</w:t>
      </w:r>
    </w:p>
    <w:p>
      <w:pPr>
        <w:pStyle w:val="VKRAbbreviation"/>
      </w:pPr>
      <w:r>
        <w:t>ПИД</w:t>
        <w:tab/>
        <w:t>пропорционально-интегрально-дифференциальный</w:t>
      </w:r>
    </w:p>
    <w:bookmarkStart w:id="20" w:name="введение"/>
    <w:p>
      <w:pPr>
        <w:pStyle w:val="VKRStructuralHeading"/>
        <w:pageBreakBefore/>
      </w:pPr>
      <w:bookmarkStart w:id="1001" w:name="VKRSection1"/>
      <w:r>
        <w:rPr>
          <w:rFonts w:ascii="Times New Roman" w:hAnsi="Times New Roman"/>
          <w:color w:val="000000"/>
          <w:sz w:val="28"/>
        </w:rPr>
        <w:t>ВВЕДЕНИЕ</w:t>
      </w:r>
      <w:bookmarkEnd w:id="1001"/>
    </w:p>
    <w:p>
      <w:pPr>
        <w:pStyle w:val="FirstParagraph"/>
      </w:pPr>
      <w:r>
        <w:rPr>
          <w:b w:val="0"/>
        </w:rPr>
        <w:t xml:space="preserve">Развитие автономного судовождения ставит перед морским флотом вопрос о том, какие задачи управления судном могут выполняться технической системой и при каких условиях сохраняется безопасность плавания. Международная морская организация (ИМО) рассматривает морское автономное надводное судно (Maritime Autonomous Surface Ship, MASS) как судно, способное в различной степени действовать независимо от участия человека. Принятый в 2026 году Кодекс безопасности MASS связывает применение автономных функций с установленными эксплуатационными границами, возможностью контроля и заранее определёнными действиями при нарушении условий работы [1, с. 9, 20–24; 20]. Поэтому анализ автономности требует рассматривать не только состав оборудования, но и распределение задач между судовой системой, экипажем и береговым оператором.</w:t>
      </w:r>
    </w:p>
    <w:p>
      <w:pPr>
        <w:pStyle w:val="BodyText"/>
      </w:pPr>
      <w:r>
        <w:rPr>
          <w:b w:val="0"/>
        </w:rPr>
        <w:t xml:space="preserve">Особое значение эта задача приобретает при плавании в узкостях. Ограниченное пространство связывает выбор траектории с глубинами, маневренными характеристиками судна и движением других участников. Согласно Руководству ИМО по планированию рейса, на критических участках необходимо учитывать минимальный запас воды под килем, увеличение осадки из-за просадки и крена, особенности циркуляции и влияние течений [5, п. 3.2.2.1–3.2.2.5]. Для автономной системы эти условия образуют взаимосвязанную задачу: обнаружить опасность, определить её значение для дальнейшего движения и выбрать действие, допустимое в имеющемся пространстве.</w:t>
      </w:r>
    </w:p>
    <w:p>
      <w:pPr>
        <w:pStyle w:val="BodyText"/>
      </w:pPr>
      <w:r>
        <w:rPr>
          <w:b w:val="0"/>
        </w:rPr>
        <w:t xml:space="preserve">В настоящей работе основное внимание уделяется обнаружению опасности и пониманию навигационной обстановки. Получение данных о цели ещё не означает, что система правильно определила характер ситуации. Необходимо установить положение и движение объектов, оценить доступный путь, учесть ограничения судна и спрогнозировать последствия решения. Кодекс MASS описывает ситуационную осведомлённость через восприятие элементов окружающей обстановки, понимание их значения и прогнозирование последующего состояния [1, с. 10]. Эта последовательность позволяет рассматривать автономное судовождение как совокупность связанных функций, применимость которых должна оцениваться для определённых условий плавания.</w:t>
      </w:r>
    </w:p>
    <w:p>
      <w:pPr>
        <w:pStyle w:val="BodyText"/>
      </w:pPr>
      <w:r>
        <w:rPr>
          <w:b w:val="0"/>
        </w:rPr>
        <w:t xml:space="preserve">При изучении российских проектов важно различать наличие автономного комплекса и фактически разрешённый режим его использования. Например, в сообщении разработчика о паромах «Маршал Рокоссовский» и «Генерал Черняховский» от 3 октября 2023 года для узкостей и входа в порт описан ручной режим с поддержкой принятия решений, а дистанционное управление отнесено к плаванию в море [7]. Это сообщение характеризует заявленное распределение управления в конкретных проектах и на указанную дату. Оно не устанавливает общий запрет автономного плавания в узкостях, но показывает необходимость отдельно проверять условия применения каждой функции. Аналогичный подход требуется при обращении к зарубежному опыту: сведения о демонстрации технологии следует сопоставлять с районом, режимом управления и доступными материалами испытаний.</w:t>
      </w:r>
    </w:p>
    <w:p>
      <w:pPr>
        <w:pStyle w:val="BodyText"/>
      </w:pPr>
      <w:r>
        <w:rPr>
          <w:b w:val="0"/>
        </w:rPr>
        <w:t xml:space="preserve">Цель выпускной квалификационной работы состоит в том, чтобы определить условия и ограничения применения технологий автономного судовождения при плавании в узкостях и обосновать направления их внедрения на морском флоте на основе анализа нормативных требований, документированных проектов и навигационных ситуаций.</w:t>
      </w:r>
    </w:p>
    <w:p>
      <w:pPr>
        <w:pStyle w:val="BodyText"/>
      </w:pPr>
      <w:r>
        <w:rPr>
          <w:b w:val="0"/>
        </w:rPr>
        <w:t xml:space="preserve">Объектом исследования является применение технологий автономного судовождения на морских судах. Предмет исследования включает функции обнаружения опасности, оценки навигационной обстановки и управления движением в условиях ограниченного пространства, а также условия распределения управления между системой и человеком.</w:t>
      </w:r>
    </w:p>
    <w:p>
      <w:pPr>
        <w:pStyle w:val="BodyText"/>
      </w:pPr>
      <w:r>
        <w:rPr>
          <w:b w:val="0"/>
        </w:rPr>
        <w:t xml:space="preserve">Для достижения цели поставлены следующие задачи:</w:t>
      </w:r>
    </w:p>
    <w:p>
      <w:pPr>
        <w:pStyle w:val="Compact"/>
        <w:numPr>
          <w:ilvl w:val="0"/>
          <w:numId w:val="1001"/>
        </w:numPr>
      </w:pPr>
      <w:r>
        <w:rPr>
          <w:b w:val="0"/>
        </w:rPr>
        <w:t xml:space="preserve">Уточнить понятия автономного судовождения и узкости, принципы работы технической системы и нормативные требования, значимые для плавания в узкостях.</w:t>
      </w:r>
    </w:p>
    <w:p>
      <w:pPr>
        <w:pStyle w:val="Compact"/>
        <w:numPr>
          <w:ilvl w:val="0"/>
          <w:numId w:val="1001"/>
        </w:numPr>
      </w:pPr>
      <w:r>
        <w:rPr>
          <w:b w:val="0"/>
        </w:rPr>
        <w:t xml:space="preserve">Рассмотреть документированные российские проекты, реализованные навигационные функции и условия их применения.</w:t>
      </w:r>
    </w:p>
    <w:p>
      <w:pPr>
        <w:pStyle w:val="Compact"/>
        <w:numPr>
          <w:ilvl w:val="0"/>
          <w:numId w:val="1001"/>
        </w:numPr>
      </w:pPr>
      <w:r>
        <w:rPr>
          <w:b w:val="0"/>
        </w:rPr>
        <w:t xml:space="preserve">Сопоставить российские и зарубежные решения, включая японский опыт, и проанализировать типовые ситуации плавания в узкостях, определив требования к обнаружению опасности, оценке обстановки, выбору действия и передаче управления.</w:t>
      </w:r>
    </w:p>
    <w:p>
      <w:pPr>
        <w:pStyle w:val="Compact"/>
        <w:numPr>
          <w:ilvl w:val="0"/>
          <w:numId w:val="1001"/>
        </w:numPr>
      </w:pPr>
      <w:r>
        <w:rPr>
          <w:b w:val="0"/>
        </w:rPr>
        <w:t xml:space="preserve">Обосновать направления внедрения технологий на морском флоте и рассмотреть их применимость к одному району плавания в качестве иллюстративного примера.</w:t>
      </w:r>
    </w:p>
    <w:p>
      <w:pPr>
        <w:pStyle w:val="FirstParagraph"/>
      </w:pPr>
      <w:r>
        <w:rPr>
          <w:b w:val="0"/>
        </w:rPr>
        <w:t xml:space="preserve">Методическую основу составляют анализ нормативных документов и технических публикаций, сравнительное рассмотрение проектов и качественный сценарный анализ. Сопоставление проводится по функции системы, режиму управления, условиям плавания и характеру подтверждающих сведений. Документальное требование, сообщение участника проекта и аналитическое предположение рассматриваются раздельно. При отсутствии исходных данных о судне или районе численные характеристики безопасного манёвра не назначаются произвольно.</w:t>
      </w:r>
    </w:p>
    <w:p>
      <w:pPr>
        <w:pStyle w:val="BodyText"/>
      </w:pPr>
      <w:r>
        <w:rPr>
          <w:b w:val="0"/>
        </w:rPr>
        <w:t xml:space="preserve">Исследование строится от общих принципов к условиям применения. Первый раздел формирует терминологическую, техническую и нормативную основу. Второй посвящён российским проектам. В третьем разделе предусматривается сопоставление с зарубежным опытом и анализ навигационных ситуаций в узкостях; в четвёртом планируется рассмотрение перспектив внедрения и районного примера. Практическая направленность работы состоит в систематизации условий, которые необходимо проверить при оценке пригодности автономных функций для конкретного участка плавания.</w:t>
      </w:r>
    </w:p>
    <w:bookmarkEnd w:id="20"/>
    <w:bookmarkStart w:id="26" w:name="X32bd3c32c28b10d1426470eb95294bd15528921"/>
    <w:p>
      <w:pPr>
        <w:pStyle w:val="Heading1"/>
        <w:pageBreakBefore/>
      </w:pPr>
      <w:bookmarkStart w:id="1002" w:name="VKRSection2"/>
      <w:r>
        <w:rPr>
          <w:rFonts w:ascii="Times New Roman" w:hAnsi="Times New Roman"/>
          <w:color w:val="000000"/>
          <w:sz w:val="28"/>
        </w:rPr>
        <w:t>1 ТЕОРЕТИЧЕСКИЕ ОСНОВЫ АВТОНОМНОГО СУДОВОЖДЕНИЯ И ПРОБЛЕМЫ ЕГО ПРИМЕНЕНИЯ В УЗКОСТЯХ</w:t>
      </w:r>
      <w:bookmarkEnd w:id="1002"/>
    </w:p>
    <w:bookmarkStart w:id="21" w:name="X5742fa8b645e15511acd7bdaedef35a072275e2"/>
    <w:p>
      <w:pPr>
        <w:pStyle w:val="Heading2"/>
      </w:pPr>
      <w:bookmarkStart w:id="1003" w:name="VKRSection3"/>
      <w:r>
        <w:rPr>
          <w:rFonts w:ascii="Times New Roman" w:hAnsi="Times New Roman"/>
          <w:color w:val="000000"/>
          <w:sz w:val="28"/>
        </w:rPr>
        <w:t xml:space="preserve">1.1 Основные понятия и режимы автономного судовождения</w:t>
      </w:r>
      <w:bookmarkEnd w:id="1003"/>
    </w:p>
    <w:p>
      <w:pPr>
        <w:pStyle w:val="FirstParagraph"/>
      </w:pPr>
      <w:r>
        <w:rPr>
          <w:b w:val="0"/>
        </w:rPr>
        <w:t xml:space="preserve">Автономное судовождение рассматривается в настоящей работе через распределение навигационных задач между человеком и техническими системами. Такое распределение необходимо описывать для определённых условий плавания: один и тот же способ управления может предусматривать разные ограничения при переходе по открытому морю и при движении в узкости. Основанием для анализа служит функциональный подход Кодекса безопасности автономных надводных судов, который связывает режимы работы с выполняемыми задачами, участием человека и допустимыми условиями эксплуатации [1, с. 20–22].</w:t>
      </w:r>
    </w:p>
    <w:p>
      <w:pPr>
        <w:pStyle w:val="BodyText"/>
      </w:pPr>
      <w:r>
        <w:rPr>
          <w:b w:val="0"/>
        </w:rPr>
        <w:t xml:space="preserve">Международная морская организация (ИМО) определяет автономное надводное судно (Maritime Autonomous Surface Ship, MASS) как судно, способное в различной степени действовать независимо от взаимодействия с человеком. Это определение не устанавливает обязательного отсутствия экипажа. В Кодексе отдельно предусмотрено применение автономных и дистанционно управляемых функций при наличии людей на борту, выполняющих другие задачи [1, с. 8–9]. Поэтому в рамках исследования необходимо устанавливать, какие именно функции переданы технической системе или оператору за пределами судна, а также кто контролирует их выполнение.</w:t>
      </w:r>
    </w:p>
    <w:p>
      <w:pPr>
        <w:pStyle w:val="BodyText"/>
      </w:pPr>
      <w:r>
        <w:rPr>
          <w:b w:val="0"/>
        </w:rPr>
        <w:t xml:space="preserve">В мае 2026 года ИМО приняла Кодекс безопасности MASS резолюцией MSC.595(111); начало его применения предусмотрено с 1 июля 2026 года [1, с. 1; 3]. Кодекс имеет необязательный статус и дополняет применимые международные инструменты. Согласно разделу об области применения, он относится к грузовым судам, на которые распространяется глава I Международной конвенции по охране человеческой жизни на море 1974 года, и связанным с ними центрам дистанционного управления при указанных в Кодексе условиях. Его положения нельзя автоматически представлять как универсальные обязательные правила для любого автономного плавсредства [1, с. 7–8].</w:t>
      </w:r>
    </w:p>
    <w:p>
      <w:pPr>
        <w:pStyle w:val="BodyText"/>
      </w:pPr>
      <w:r>
        <w:rPr>
          <w:b w:val="0"/>
        </w:rPr>
        <w:t xml:space="preserve">Кодекс разграничивает повышенную автоматизацию обычного судна и использование автономных либо дистанционно управляемых функций, которые дополняют или заменяют работу экипажа. Автономность процесса или оборудования определяется способностью в заданных условиях выбирать управляющие действия без вмешательства человека; такие свойства должны быть предусмотрены проектом и проверены. Дистанционное управление означает выполнение управления функциями и системами из места за пределами судна [1, с. 6, 9–10]. Следовательно, при дистанционном судовождении решение может принимать береговой оператор, а при автономном выполнении функции решение формирует система. Наличие дистанционного канала управления само по себе не показывает, что система самостоятельно оценивает навигационную ситуацию.</w:t>
      </w:r>
    </w:p>
    <w:p>
      <w:pPr>
        <w:pStyle w:val="BodyText"/>
      </w:pPr>
      <w:r>
        <w:rPr>
          <w:b w:val="0"/>
        </w:rPr>
        <w:t xml:space="preserve">Для понимания развития терминологии необходимо учитывать классификацию, использованную ИМО при исследовании применимости существующей нормативной базы к MASS. Итоги этого исследования опубликованы в циркуляре MSC.1/Circ.1638 от 3 июня 2021 года. В нём выделены четыре степени автономности, приведённые в таблице 1.1. Эта классификация описывает подход, применённый для нормативного исследования, и должна читаться с учётом его назначения [2, п. 3.3–3.5].</w:t>
      </w:r>
    </w:p>
    <w:p>
      <w:pPr>
        <w:pStyle w:val="BodyText"/>
        <w:keepNext/>
        <w:ind w:firstLine="0"/>
        <w:jc w:val="left"/>
      </w:pPr>
      <w:r>
        <w:rPr>
          <w:rFonts w:ascii="Times New Roman" w:hAnsi="Times New Roman"/>
          <w:b w:val="0"/>
          <w:sz w:val="24"/>
        </w:rPr>
        <w:t xml:space="preserve">Таблица 1.1 – Степени автономности в нормативном исследовании ИМО 2021 года</w:t>
      </w:r>
    </w:p>
    <w:tbl>
      <w:tblPr>
        <w:tblStyle w:val="TableGrid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304"/>
        <w:gridCol w:w="3288"/>
        <w:gridCol w:w="4762"/>
      </w:tblGrid>
      <w:tr>
        <w:trPr>
          <w:tblHeader w:val="true"/>
          <w:cantSplit/>
        </w:trPr>
        <w:tc>
          <w:tcPr>
            <w:tcW w:type="dxa" w:w="1304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 xml:space="preserve">Степень</w:t>
            </w:r>
          </w:p>
        </w:tc>
        <w:tc>
          <w:tcPr>
            <w:tcW w:type="dxa" w:w="3288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 xml:space="preserve">Характер управления</w:t>
            </w:r>
          </w:p>
        </w:tc>
        <w:tc>
          <w:tcPr>
            <w:tcW w:type="dxa" w:w="4762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 xml:space="preserve">Участие человека</w:t>
            </w:r>
          </w:p>
        </w:tc>
      </w:tr>
      <w:tr>
        <w:trPr>
          <w:cantSplit/>
        </w:trPr>
        <w:tc>
          <w:tcPr>
            <w:tcW w:type="dxa" w:w="1304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 xml:space="preserve">Первая</w:t>
            </w:r>
          </w:p>
        </w:tc>
        <w:tc>
          <w:tcPr>
            <w:tcW w:type="dxa" w:w="3288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 xml:space="preserve">Автоматизированные процессы и поддержка решений</w:t>
            </w:r>
          </w:p>
        </w:tc>
        <w:tc>
          <w:tcPr>
            <w:tcW w:type="dxa" w:w="4762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 xml:space="preserve">Моряки находятся на борту, управляют системами и готовы принять управление</w:t>
            </w:r>
          </w:p>
        </w:tc>
      </w:tr>
      <w:tr>
        <w:trPr>
          <w:cantSplit/>
        </w:trPr>
        <w:tc>
          <w:tcPr>
            <w:tcW w:type="dxa" w:w="1304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 xml:space="preserve">Вторая</w:t>
            </w:r>
          </w:p>
        </w:tc>
        <w:tc>
          <w:tcPr>
            <w:tcW w:type="dxa" w:w="3288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 xml:space="preserve">Дистанционно управляемое судно</w:t>
            </w:r>
          </w:p>
        </w:tc>
        <w:tc>
          <w:tcPr>
            <w:tcW w:type="dxa" w:w="4762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 xml:space="preserve">Моряки находятся на борту и могут принять управление</w:t>
            </w:r>
          </w:p>
        </w:tc>
      </w:tr>
      <w:tr>
        <w:trPr>
          <w:cantSplit/>
        </w:trPr>
        <w:tc>
          <w:tcPr>
            <w:tcW w:type="dxa" w:w="1304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 xml:space="preserve">Третья</w:t>
            </w:r>
          </w:p>
        </w:tc>
        <w:tc>
          <w:tcPr>
            <w:tcW w:type="dxa" w:w="3288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 xml:space="preserve">Дистанционно управляемое судно</w:t>
            </w:r>
          </w:p>
        </w:tc>
        <w:tc>
          <w:tcPr>
            <w:tcW w:type="dxa" w:w="4762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 xml:space="preserve">Моряки на борту отсутствуют; управление осуществляется из другого места</w:t>
            </w:r>
          </w:p>
        </w:tc>
      </w:tr>
      <w:tr>
        <w:trPr>
          <w:cantSplit/>
        </w:trPr>
        <w:tc>
          <w:tcPr>
            <w:tcW w:type="dxa" w:w="1304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 xml:space="preserve">Четвёртая</w:t>
            </w:r>
          </w:p>
        </w:tc>
        <w:tc>
          <w:tcPr>
            <w:tcW w:type="dxa" w:w="3288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 xml:space="preserve">Полностью автономное судно</w:t>
            </w:r>
          </w:p>
        </w:tc>
        <w:tc>
          <w:tcPr>
            <w:tcW w:type="dxa" w:w="4762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 xml:space="preserve">Система способна самостоятельно принимать решения и определять действия</w:t>
            </w:r>
          </w:p>
        </w:tc>
      </w:tr>
    </w:tbl>
    <w:p>
      <w:pPr>
        <w:pStyle w:val="BodyText"/>
      </w:pPr>
      <w:r>
        <w:rPr>
          <w:b w:val="0"/>
        </w:rPr>
        <w:t xml:space="preserve">Источник: составлено по MSC.1/Circ.1638, п. 3.4 [2]. В пункте 3.5 прямо указано, что перечисление не выражает иерархического порядка и что в течение одного рейса судно может работать в одной или нескольких степенях автономности. Поэтому номер степени не следует использовать как самостоятельное доказательство большей безопасности или лучшей пригодности судна для узкости. Для такого вывода нужны сведения о функциях и условиях их фактического выполнения.</w:t>
      </w:r>
    </w:p>
    <w:p>
      <w:pPr>
        <w:pStyle w:val="BodyText"/>
      </w:pPr>
      <w:r>
        <w:rPr>
          <w:b w:val="0"/>
        </w:rPr>
        <w:t xml:space="preserve">При анализе конкретного проекта более предметное описание даёт распределение задач. Кодекс 2026 года предусматривает указание автономных и дистанционно управляемых функций, их исполнителей, порядка надзора и местонахождения участвующих людей. Режим работы может меняться на разных этапах рейса, но критерии и процедуры перехода должны быть описаны в концепции эксплуатации судна [1, с. 22]. Для рассматриваемой темы существенны вопросы: кто обнаруживает опасность, кто оценивает её развитие, кто выбирает манёвр и кто может изменить принятое решение.</w:t>
      </w:r>
    </w:p>
    <w:p>
      <w:pPr>
        <w:pStyle w:val="BodyText"/>
      </w:pPr>
      <w:r>
        <w:rPr>
          <w:b w:val="0"/>
        </w:rPr>
        <w:t xml:space="preserve">Участие человека сохраняет значение и при автономном выполнении отдельных задач. Кодекс предусматривает наличие капитана, ответственного за MASS независимо от режима работы, и средств вмешательства при необходимости. Экипажу или дистанционному оператору следует предоставлять время и информацию, достаточные для понимания ситуации и принятия управления [1, с. 22]. Для анализа узкостей из этого следует необходимость рассматривать передачу управления как самостоятельную процедуру. Недостаточно только указать, что оператор способен отключить автономный режим: нужно установить, какие сведения он получает и в какой обстановке должен продолжить управление.</w:t>
      </w:r>
    </w:p>
    <w:p>
      <w:pPr>
        <w:pStyle w:val="BodyText"/>
      </w:pPr>
      <w:r>
        <w:rPr>
          <w:b w:val="0"/>
        </w:rPr>
        <w:t xml:space="preserve">Допустимость работы системы связана с её эксплуатационными границами. Кодекс различает эксплуатационные возможности и ограничения судна в целом (Operational Envelope) и предусмотренную проектом область условий работы отдельной системы или функции (Operational Design Domain). В первое описание входят, в частности, район плавания, условия движения, связь и ограничения среды. Для отдельных функций учитываются безопасные условия применения, возможные неисправности и степень взаимодействия с человеком [1, с. 10, 20–21]. Таким образом, характеристика «автономное судно» требует уточнения условий, в которых предусмотрено выполнение конкретной задачи.</w:t>
      </w:r>
    </w:p>
    <w:p>
      <w:pPr>
        <w:pStyle w:val="BodyText"/>
      </w:pPr>
      <w:r>
        <w:rPr>
          <w:b w:val="0"/>
        </w:rPr>
        <w:t xml:space="preserve">Для дальнейшего исследования принимается следующий порядок описания проектов: выполняемая функция, режим управления, участие человека, допустимые условия и действие при выходе за эти условия. Такой порядок позволит сопоставлять российские и зарубежные разработки по содержанию их работы. Обнаружение опасности и понимание обстановки будут рассматриваться отдельно от исполнения манёвра: наличие средств управления движением ещё не показывает, на какой информации основано решение об изменении курса или скорости.</w:t>
      </w:r>
    </w:p>
    <w:bookmarkEnd w:id="21"/>
    <w:bookmarkStart w:id="22" w:name="X911f6ae2ed747da53fae72a96f203123f2cf49c"/>
    <w:p>
      <w:pPr>
        <w:pStyle w:val="Heading2"/>
      </w:pPr>
      <w:bookmarkStart w:id="1004" w:name="VKRSection4"/>
      <w:r>
        <w:rPr>
          <w:rFonts w:ascii="Times New Roman" w:hAnsi="Times New Roman"/>
          <w:color w:val="000000"/>
          <w:sz w:val="28"/>
        </w:rPr>
        <w:t xml:space="preserve">1.2 Понятие узкости и связанные навигационные понятия</w:t>
      </w:r>
      <w:bookmarkEnd w:id="1004"/>
    </w:p>
    <w:p>
      <w:pPr>
        <w:pStyle w:val="FirstParagraph"/>
      </w:pPr>
      <w:r>
        <w:rPr>
          <w:b w:val="0"/>
        </w:rPr>
        <w:t xml:space="preserve">В настоящей работе узкостью называется участок плавания, на котором доступное для судна пространство ограничивает выбор пути и манёвра. Это рабочее определение задаёт предмет технического анализа: система должна вести судно в допустимых границах и учитывать, какое пространство остаётся для расхождения, поворота или изменения скорости. При оценке участка ширину водной поверхности необходимо сопоставлять с глубинами, осадкой, размерами и маневренными характеристиками судна. Руководство ИМО по планированию рейса предусматривает учёт этих характеристик, минимального запаса воды под килем, просадки, крена на повороте и течений [5, п. 2.1, 3.2.2.1–3.2.2.5].</w:t>
      </w:r>
    </w:p>
    <w:p>
      <w:pPr>
        <w:pStyle w:val="BodyText"/>
      </w:pPr>
      <w:r>
        <w:rPr>
          <w:b w:val="0"/>
        </w:rPr>
        <w:t xml:space="preserve">Термины «узкость», «узкий проход» и «фарватер» требуют разграничения между навигационным описанием участка и применением правового требования. Правило 9 Международных правил предупреждения столкновений судов в море 1972 года (МППСС-72) относится к движению в узком проходе или фарватере. Оно предусматривает движение ближе к внешней границе, находящейся с правого борта, насколько это безопасно и практически возможно, и учитывает суда, которые могут безопасно следовать только в пределах этого прохода или фарватера [18, правило 9(a)–(d), международная редакция]. Поэтому отнесение ситуации к правилу влияет на взаимодействие судов; его нельзя подменять произвольно выбранной в исследовании шириной участка.</w:t>
      </w:r>
    </w:p>
    <w:p>
      <w:pPr>
        <w:pStyle w:val="BodyText"/>
      </w:pPr>
      <w:r>
        <w:rPr>
          <w:b w:val="0"/>
        </w:rPr>
        <w:t xml:space="preserve">Названия «канал» и «пролив» также не заменяют описание условий судовождения. Для задачи управления необходимо установить конкретную конфигурацию пути, границы безопасных глубин, участки поворота, возможные направления движения других судов и действующие правила. В этой работе название района служит исходной характеристикой, а пригодность автономной функции оценивается по установленным навигационным ограничениям. Такой подход согласуется с требованием планировать весь переход, включая участки лоцманской проводки, и определять опасные места по доступной актуальной информации [5, п. 2.1, 3.1].</w:t>
      </w:r>
    </w:p>
    <w:p>
      <w:pPr>
        <w:pStyle w:val="BodyText"/>
      </w:pPr>
      <w:r>
        <w:rPr>
          <w:b w:val="0"/>
        </w:rPr>
        <w:t xml:space="preserve">Отдельно следует различать экранирование цели препятствием и ограниченную видимость. При подходе к изгибу другое судно может быть закрыто берегом или сооружением; правило 9(f) предусматривает для таких участков особую осторожность и соответствующий звуковой сигнал. Ограниченная видимость определяется правилом 3(l) через такие условия, как туман, дымка, снегопад, сильный ливень, песчаная буря и другие подобные причины [18, правила 3(l), 9(f), международная редакция]. Для автономной системы эти случаи задают разные условия наблюдения: в одном случае необходимо учитывать геометрически закрытый сектор, в другом следует оценивать возможности средств наблюдения при ухудшении видимости.</w:t>
      </w:r>
    </w:p>
    <w:p>
      <w:pPr>
        <w:pStyle w:val="BodyText"/>
      </w:pPr>
      <w:r>
        <w:rPr>
          <w:b w:val="0"/>
        </w:rPr>
        <w:t xml:space="preserve">Таким образом, при дальнейшем сравнении проектов узкость описывается набором условий: доступное пространство, глубины, конфигурация пути, движение участников, условия наблюдения и применимые правила. Это позволяет поставить проверяемый вопрос о каждой функции системы. Например, требуется установить, обнаруживает ли она цель после выхода из закрытого сектора и остаётся ли рассчитанный манёвр внутри безопасного пространства, а не ограничиваться указанием на наличие автоматического управления.</w:t>
      </w:r>
    </w:p>
    <w:bookmarkEnd w:id="22"/>
    <w:bookmarkStart w:id="23" w:name="X0bc034fe7d3fd068c9294d20e2ed5a346f4d785"/>
    <w:p>
      <w:pPr>
        <w:pStyle w:val="Heading2"/>
      </w:pPr>
      <w:bookmarkStart w:id="1005" w:name="VKRSection5"/>
      <w:r>
        <w:rPr>
          <w:rFonts w:ascii="Times New Roman" w:hAnsi="Times New Roman"/>
          <w:color w:val="000000"/>
          <w:sz w:val="28"/>
        </w:rPr>
        <w:t xml:space="preserve">1.3 Технические средства и принципы работы автономной системы судовождения</w:t>
      </w:r>
      <w:bookmarkEnd w:id="1005"/>
    </w:p>
    <w:p>
      <w:pPr>
        <w:pStyle w:val="FirstParagraph"/>
      </w:pPr>
      <w:r>
        <w:rPr>
          <w:b w:val="0"/>
        </w:rPr>
        <w:t xml:space="preserve">Автономная система судовождения объединяет средства наблюдения, вычислительные модули и устройства управления движением. Между ними передаются разные данные: измеренные координаты, сведения о целях, ограничения маршрута, заданные курс и скорость, команды исполнительным механизмам. При замкнутом управлении результат действия вновь измеряется и используется для следующей команды. Такая обратная связь позволяет корректировать движение по фактическому состоянию судна [15, с. 5–6]. Функциональная последовательность включает определение собственного состояния, наблюдение за объектами, согласование данных, оценку опасности, построение движения и его исполнение. Состав оборудования и распределение вычислений зависят от проекта.</w:t>
      </w:r>
    </w:p>
    <w:p>
      <w:pPr>
        <w:pStyle w:val="BodyText"/>
      </w:pPr>
      <w:r>
        <w:rPr>
          <w:b w:val="0"/>
        </w:rPr>
        <w:t xml:space="preserve">Такое разделение согласуется с обзором архитектуры автономной навигации, опубликованным в 2025 году. Авторы связывают ситуационную осведомлённость и объединение данных датчиков с предотвращением столкновений, а принятые решения связывают с управлением движением и исполнительными механизмами [19, разд. 3.1, 3.4]. Обзор служит основанием для описания функциональных связей; фактическая точность и надёжность конкретного комплекса устанавливаются по его испытаниям.</w:t>
      </w:r>
    </w:p>
    <w:p>
      <w:pPr>
        <w:pStyle w:val="BodyText"/>
      </w:pPr>
      <w:r>
        <w:rPr>
          <w:b w:val="0"/>
        </w:rPr>
        <w:t xml:space="preserve">В составе комплекса необходимо различать прибор, программный модуль и алгоритм. Прибор получает физическое измерение: например, гирокомпас определяет курс. Программный модуль принимает данные, проверяет их и решает выделенную задачу, например оценивает движение цели. Алгоритм задаёт способ расчёта внутри этого модуля. Нейронная сеть является одним из возможных вычислительных методов, а не названием всей системы автономного судовождения. В архитектурном обзоре отдельно рассматриваются средства наблюдения, обработка информации, предотвращение столкновений и управление движением; для этих задач приведены разные методы [19, разд. 3.1, 3.6–3.7].</w:t>
      </w:r>
    </w:p>
    <w:p>
      <w:pPr>
        <w:pStyle w:val="BodyText"/>
      </w:pPr>
      <w:r>
        <w:rPr>
          <w:b w:val="0"/>
        </w:rPr>
        <w:t xml:space="preserve">Первый набор данных описывает собственное судно. Приёмник глобальной навигационной спутниковой системы (ГНСС) предоставляет навигационное решение о его положении и движении; гирокомпас измеряет курс; лаг определяет скорость в соответствии с используемым принципом измерения; датчик угловой скорости измеряет быстроту поворота. Эхолот даёт сведения о глубине под преобразователем, а датчики рулевой и энергетической установок показывают фактическое положение органов управления и состояние механизмов. В техническом составе, рассмотренном в учебном курсе, дополнительно предусмотрены инерциальная навигация, средства измерения ветра, качки и видимости [12, с. 3–4]. Для расчёта манёвра эти величины имеют разное назначение: координаты показывают положение судна, курс характеризует направление его диаметральной плоскости, а скорость и угловая скорость описывают поступательное движение и поворот.</w:t>
      </w:r>
    </w:p>
    <w:p>
      <w:pPr>
        <w:pStyle w:val="BodyText"/>
      </w:pPr>
      <w:r>
        <w:rPr>
          <w:b w:val="0"/>
        </w:rPr>
        <w:t xml:space="preserve">Второй набор данных относится к окружающим объектам. Радиолокационная станция (РЛС) обнаруживает отражающие объекты и определяет их положение относительно судна. Средства автоматической радиолокационной прокладки (САРП) обрабатывают последовательные радиолокационные наблюдения для сопровождения целей и оценки их движения. Автоматическая идентификационная система (АИС) служит источником передаваемых участниками данных; её сообщения необходимо сопоставлять с другими наблюдениями. Оптические средства анализируют изображения видимого и инфракрасного диапазонов. В отдельных комплектациях предусматриваются лазерные дальномеры, лидары и средства приёма внешних звуковых сигналов [12, с. 3–4; 13, с. 39]. Различные каналы позволяют исследовать один объект с разных сторон: получить его положение относительно судна, признаки внешнего вида и доступные идентификационные сведения. Наличие одного канала не подтверждает полноту наблюдения всей акватории.</w:t>
      </w:r>
    </w:p>
    <w:p>
      <w:pPr>
        <w:pStyle w:val="BodyText"/>
      </w:pPr>
      <w:r>
        <w:rPr>
          <w:b w:val="0"/>
        </w:rPr>
        <w:t xml:space="preserve">Картографическая информация поступает из другого источника. Электронная картографическая навигационно-информационная система (ЭКНИС; англ. ECDIS) обеспечивает работу с электронной навигационной картой и навигационными данными; для автономного планирования нужны доступные программе сведения о береговых границах, глубинах и ограничениях района [13, с. 19; 19, разд. 3.3.1, 3.6.1–3.6.2]. Камера не определяет безопасную глубину по изображению воды, а текущий отсчёт эхолота не описывает глубины на всём будущем пути. Поэтому сведения о целях должны сопоставляться с картографическими ограничениями. Наличие изображения карты на экране само по себе ещё не показывает, какие данные получает модуль автоматического планирования.</w:t>
      </w:r>
    </w:p>
    <w:p>
      <w:pPr>
        <w:pStyle w:val="BodyText"/>
      </w:pPr>
      <w:r>
        <w:rPr>
          <w:b w:val="0"/>
        </w:rPr>
        <w:t xml:space="preserve">Программное обеспечение связывает перечисленные источники. Входные модули принимают измерения и сообщения, средства контроля выявляют недоступность или несогласованность данных, модули обработки формируют описание обстановки, а планировщик передаёт задание системе управления. Эти функции могут быть распределены между устройствами и вычислителями; функциональная схема не означает, что все они выполняются одной программой на одном компьютере [11, с. 11–13; 19, разд. 3.1]. Для конкретного проекта необходимо различать название продукта, его программные модули и состав фактически установленного оборудования.</w:t>
      </w:r>
    </w:p>
    <w:p>
      <w:pPr>
        <w:pStyle w:val="BodyText"/>
      </w:pPr>
      <w:r>
        <w:rPr>
          <w:b w:val="0"/>
        </w:rPr>
        <w:t xml:space="preserve">Работу оптической подсистемы можно проследить по конкретной последовательности обработки. В описанном учебном примере кадры нескольких камер собираются с общей временной привязкой, корректируются и объединяются в панорамное изображение. Затем программа выделяет объекты, определяет доступные признаки и связывает наблюдения на последовательных кадрах. Результатом становится формуляр цели: её идентификатор, тип и оценённые параметры. При достаточной продолжительности наблюдения определяются характеристики движения. На экран оператора передаётся изображение с обозначениями объектов, а в навигационную систему поступают формуляры в согласованном формате [13, с. 39–40]. Таким образом, видеопоток для человека и данные для расчёта манёвра являются разными выходами одной подсистемы.</w:t>
      </w:r>
    </w:p>
    <w:p>
      <w:pPr>
        <w:pStyle w:val="BodyText"/>
      </w:pPr>
      <w:r>
        <w:rPr>
          <w:b w:val="0"/>
        </w:rPr>
        <w:t xml:space="preserve">Одним из применений нейросети является распознавание объектов на изображении. В обзоре рассматриваются свёрточные нейронные сети, которые обрабатывают изображения и используются для распознавания и классификации морских объектов [19, разд. 3.6.1]. При машинном обучении модель настраивается по обучающим данным, а при эксплуатации применяет полученные параметры к новым наблюдениям. В рассматриваемом учебном описании поиск объектов использует загруженные образы и данные, сформированные в результате машинного обучения [13, с. 39–40]. Из этого описания не следует, что система непрерывно переобучается во время рейса.</w:t>
      </w:r>
    </w:p>
    <w:p>
      <w:pPr>
        <w:pStyle w:val="BodyText"/>
      </w:pPr>
      <w:r>
        <w:rPr>
          <w:b w:val="0"/>
        </w:rPr>
        <w:t xml:space="preserve">Результат распознавания имеет ограниченное назначение: обнаруженный участок изображения, признаки или предполагаемый тип объекта ещё не являются командой рулевой машине. Далее нужны сопровождение цели, оценка её положения и движения, проверка риска и допустимости манёвра. Ошибка распознавания способна перейти на следующий уровень, поэтому наличие нейросети не устраняет необходимость проверять качество наблюдения и условия применения. Точное семейство сети, её версия, обучающие данные и ошибки конкретного комплекса в использованных описаниях не раскрыты; приписывать ему определённую модель без документации нельзя [13, с. 39–40; 19, разд. 3.6.1].</w:t>
      </w:r>
    </w:p>
    <w:p>
      <w:pPr>
        <w:pStyle w:val="BodyText"/>
      </w:pPr>
      <w:r>
        <w:rPr>
          <w:b w:val="0"/>
        </w:rPr>
        <w:t xml:space="preserve">Согласование наблюдений требуется потому, что одна цель может присутствовать сразу в нескольких источниках. Если объект обнаружен камерой и РЛС и одновременно передаёт данные АИС, вычислительная система должна установить, относятся ли эти записи к одному судну. В учебном описании предусмотрено сопоставление информации оптической подсистемы, АИС и РЛС [13, с. 40]. Для анализа такой функции существенны система координат, момент наблюдения и погрешность: сравнивать необработанные числа без их приведения к сопоставимому виду недостаточно. Например, после изменения движения цели прежнее сообщение и новое измерение могут расходиться без отказа датчика. Это объясняет, почему в исследовании наряду с координатами необходимо учитывать возраст данных и качество сопровождения. Конкретный алгоритм объединения наблюдений и его параметры должны устанавливаться по документации рассматриваемого комплекса.</w:t>
      </w:r>
    </w:p>
    <w:p>
      <w:pPr>
        <w:pStyle w:val="BodyText"/>
      </w:pPr>
      <w:r>
        <w:rPr>
          <w:b w:val="0"/>
        </w:rPr>
        <w:t xml:space="preserve">Навигационная модель связывает сведения о целях с положением собственного судна и ограничениями акватории. Для плоского описания движения используются координаты положения, курс, продольная и поперечная скорости и угловая скорость рыскания. В модели морского судна Фоссена эти величины разделены на положение и ориентацию относительно неподвижной системы координат и скорости в системе, связанной с корпусом. Динамическая часть учитывает инерцию, присоединённые массы, гидродинамическое сопротивление, управляющие силы и внешние воздействия [17, разделы Mathematical Formulation и 3-DOF Surface Craft]. Практический смысл такого разделения состоит в том, что намеченная линия движения должна быть достижима судном с его текущей скоростью и управляемостью. Геометрически свободный поворот ещё требует проверки по динамике движения.</w:t>
      </w:r>
    </w:p>
    <w:p>
      <w:pPr>
        <w:pStyle w:val="BodyText"/>
      </w:pPr>
      <w:r>
        <w:rPr>
          <w:b w:val="0"/>
        </w:rPr>
        <w:t xml:space="preserve">При оценке опасности рассчитывается взаимное положение судна и целей относительно планируемого движения. В учебном описании модуля предупреждения столкновений используются координаты, путевые углы и скорости целей, сведения о собственном судне, маршрут, береговые границы, мели и другие ограничения. По этим данным модуль выделяет опасные цели и нарушения ограничений, после чего рассчитывает варианты расхождения [14, с. 55–56]. Здесь прослеживается переход от наблюдения к решению: отметка цели становится основанием для манёвра только после оценки её движения и связи с доступным путём. Для узкости этот этап особенно важен, поскольку действие, увеличивающее расстояние до одного судна, может приблизить собственное судно к границе безопасных глубин.</w:t>
      </w:r>
    </w:p>
    <w:p>
      <w:pPr>
        <w:pStyle w:val="BodyText"/>
      </w:pPr>
      <w:r>
        <w:rPr>
          <w:b w:val="0"/>
        </w:rPr>
        <w:t xml:space="preserve">В учебном материале этот этап представлен конкретным программным модулем Collision Avoidance System (CAS), включённым в программное обеспечение автономной навигационной системы (АНС) и подсистему автоматического маневрирования и расхождения. На вход подаются координаты, путевые углы и скорости целей, состояние своего судна, навигационные опасности и настройки расхождения. При обнаружении опасной цели или нарушения ограничений модуль строит варианты манёвра; судоводитель может просматривать предложенное расхождение на экране [14, с. 55–56]. Обозначение CAS в данном источнике относится к описанному программному модулю. Оно не доказывает одинаковую реализацию всех систем предотвращения столкновений и не устанавливает используемую нейросетевую архитектуру.</w:t>
      </w:r>
    </w:p>
    <w:p>
      <w:pPr>
        <w:pStyle w:val="BodyText"/>
      </w:pPr>
      <w:r>
        <w:rPr>
          <w:b w:val="0"/>
        </w:rPr>
        <w:t xml:space="preserve">Модуль планирования движения формирует последовательность допустимых положений судна и изменения скорости. Исходный маршрут задаёт общий путь, а локальный манёвр уточняет его с учётом текущей обстановки. При проверке варианта должны учитываться другие суда, неподвижные опасности и возможность его исполнения. Кодекс MASS требует, чтобы действия по предотвращению столкновения, навала или посадки на мель не создавали иной ситуации с неприемлемым риском [1, с. 39–40]. Поэтому результат работы этого модуля нельзя описывать только командой «повернуть вправо». Требуется определить, где начинается поворот, как изменяется движение, остаётся ли судно в допустимом пространстве и как оно продолжает переход после расхождения.</w:t>
      </w:r>
    </w:p>
    <w:p>
      <w:pPr>
        <w:pStyle w:val="BodyText"/>
      </w:pPr>
      <w:r>
        <w:rPr>
          <w:b w:val="0"/>
        </w:rPr>
        <w:t xml:space="preserve">Для поиска пути могут использоваться алгоритмы, которые не относятся к нейронным сетям. В обзоре среди методов планирования названы поиск A* и его варианты; в описании представления среды упоминается алгоритм Дейкстры [19, разд. 3.6.1–3.6.2]. Такие методы ищут путь между допустимыми положениями по заданному правилу оценки переходов. Чтобы применить результат к судну, в постановке задачи необходимо учесть запретные области и выполнимость движения. Название алгоритма само по себе не подтверждает, что найденный путь соответствует маневренным характеристикам судна и всем применимым требованиям МППСС-72. В этой работе перечисленные методы рассматриваются как варианты реализации, а не как подтверждённое оснащение российских паромов.</w:t>
      </w:r>
    </w:p>
    <w:p>
      <w:pPr>
        <w:pStyle w:val="BodyText"/>
      </w:pPr>
      <w:r>
        <w:rPr>
          <w:b w:val="0"/>
        </w:rPr>
        <w:t xml:space="preserve">Следующий уровень отвечает за движение по выбранному пути. Система управления маршрутом сравнивает положение судна с активным участком и рассчитывает задание для авторулевого. В режиме удержания линии пути регулируемой величиной является боковое отклонение от этой линии. В другом режиме система направляет судно к путевой точке; возвращение на исходную линию при этом может не быть целью управления [14, с. 58–59]. Различие существенно для узкости: направление к одной и той же точке не означает одинаковую траекторию подхода. Следовательно, проверять нужно и координаты конечной точки, и путь, по которому система собирается к ней прийти.</w:t>
      </w:r>
    </w:p>
    <w:p>
      <w:pPr>
        <w:pStyle w:val="BodyText"/>
      </w:pPr>
      <w:r>
        <w:rPr>
          <w:b w:val="0"/>
        </w:rPr>
        <w:t xml:space="preserve">Авторулевой работает с заданием курса. Он сопоставляет его с измеренным курсом и формирует управляющее воздействие, изменяющее движение судна. В рассмотренной схеме контур управления маршрутом задаёт курс, а внутренний контур курса участвует в устранении бокового отклонения [14, с. 58]. Исполнительный уровень реализует команды через имеющиеся на судне средства: рулевую машину, управление главным двигателем, винторулевыми колонками либо другими движителями. Их объединение с мостиковыми средствами описывается как взаимодействие подсистем интегрированной системы управления [15, с. 5–6]. После воздействия вновь измеряются движение судна и состояние механизмов. Если фактический поворот не соответствует ожидаемому, следующая команда формируется уже с учётом этого расхождения.</w:t>
      </w:r>
    </w:p>
    <w:p>
      <w:pPr>
        <w:pStyle w:val="BodyText"/>
      </w:pPr>
      <w:r>
        <w:rPr>
          <w:b w:val="0"/>
        </w:rPr>
        <w:t xml:space="preserve">Работу программного регулятора можно проследить в открытом проекте Python Vehicle Simulator Т. И. Фоссена. Это средство моделирования судов и других морских аппаратов, дополняющее набор MATLAB Marine Systems Simulator. В исследованной версии класс frigate содержит метод headingAutopilot: он получает текущие курс и угловую скорость рыскания, вычисляет их отклонения от заданного движения и вызывает функцию PIDpolePlacement из файла control.py. Результатом является команда угла перекладки руля [21, README; frigate.py, headingAutopilot; control.py, PIDpolePlacement].</w:t>
      </w:r>
    </w:p>
    <w:p>
      <w:pPr>
        <w:pStyle w:val="BodyText"/>
      </w:pPr>
      <w:r>
        <w:rPr>
          <w:b w:val="0"/>
        </w:rPr>
        <w:t xml:space="preserve">Пропорционально-интегрально-дифференциальный регулятор (ПИД-регулятор) в этом примере использует текущую ошибку, накопленную ошибку и отклонение скорости изменения управляемой величины. Эти составляющие позволяют реагировать на отклонение, учитывать его сохранение во времени и характер изменения движения. Вычисление выполняется по заданным формулам и коэффициентам; нейронная сеть в рассмотренной функции не используется [21, control.py, PIDpolePlacement]. Этот пример показывает именно способ исполнения задания курса. Этот исходный код не подтверждает применение такого регулятора на рассматриваемых российских судах. Регулирование курса само по себе не обеспечивает обнаружение целей и выбор безопасного пути; пример кода также не подтверждает одобрение системы для эксплуатации.</w:t>
      </w:r>
    </w:p>
    <w:p>
      <w:pPr>
        <w:pStyle w:val="BodyText"/>
      </w:pPr>
      <w:r>
        <w:rPr>
          <w:b w:val="0"/>
        </w:rPr>
        <w:t xml:space="preserve">Разделение уровней объясняет отличие авторулевого от автономного судовождения. Удержание заданного курса является задачей исполнения. Выбор самого курса с учётом встречного судна, глубин и применимых требований относится к более высоким уровням. Система может точно вести судно по заданной линии, но для безопасного автономного прохода дополнительно требуются обнаружение объектов, оценка ситуации и изменение плана движения.</w:t>
      </w:r>
    </w:p>
    <w:p>
      <w:pPr>
        <w:pStyle w:val="BodyText"/>
      </w:pPr>
      <w:r>
        <w:rPr>
          <w:b w:val="0"/>
        </w:rPr>
        <w:t xml:space="preserve">Нормативные требования определяют, какие условия должны обеспечивать эти функции. Правило 5 МППСС-72 требует постоянного надлежащего визуального и слухового наблюдения, а также использования всех доступных средств, подходящих для существующих обстоятельств и условий; правило 6 связывает безопасную скорость с видимостью, плотностью движения, маневренностью и другими обстоятельствами; правило 7 относится к оценке опасности столкновения; правило 8 определяет требования к своевременности, характеру и проверке результата действия; правило 9 устанавливает требования для узких проходов и фарватеров [18, международные правила 5–9]. Поэтому система не может ограничиться правилом вида «если обнаружено судно, повернуть вправо». Она должна учитывать применимую ситуацию, доступное пространство, другие опасности и последствия своего действия.</w:t>
      </w:r>
    </w:p>
    <w:p>
      <w:pPr>
        <w:pStyle w:val="BodyText"/>
      </w:pPr>
      <w:r>
        <w:rPr>
          <w:b w:val="0"/>
        </w:rPr>
        <w:t xml:space="preserve">Перевод правового требования в программную проверку является инженерной задачей. Например, требование безопасной скорости требует оценки условий и возможностей судна, а проверка эффективности манёвра требует повторного наблюдения после выдачи команды. Эти связи представляют функциональный разбор требований, а не доказательство соответствия конкретной программы МППСС-72. Сам текст правил не предписывает нейросеть или определённый язык программирования. Для автономных функций Кодекс MASS дополнительно рассматривает эксплуатационные границы, резервные действия, взаимодействие с человеком и проверку технических систем [1, с. 20–24, 39–42].</w:t>
      </w:r>
    </w:p>
    <w:p>
      <w:pPr>
        <w:pStyle w:val="BodyText"/>
      </w:pPr>
      <w:r>
        <w:rPr>
          <w:b w:val="0"/>
        </w:rPr>
        <w:t xml:space="preserve">Последовательность удобно показать на условном примере, который не является описанием проведённого испытания. При следовании по узкости средства наблюдения обнаружили малое судно, от которого не поступает сообщение АИС. Радиолокационные и оптические наблюдения передаются на обработку; программа связывает последовательные обнаружения и оценивает движение цели. Модуль оценки опасности сопоставляет прогноз с собственным путём. Затем планировщик проверяет возможные изменения движения с учётом правил, границ безопасных глубин и динамики судна. Допустимое задание передаётся системе управления маршрутом и авторулевому, которые формируют команды исполнительным механизмам. Новые измерения показывают, выполняется ли манёвр и уменьшается ли опасность. При недостатке данных или выходе за предусмотренные условия требуется установленная процедура резервного управления, а не предположение о том, что нейросеть сама найдёт безопасный выход [1, с. 21–24, 39–40; 14, с. 55–59].</w:t>
      </w:r>
    </w:p>
    <w:p>
      <w:pPr>
        <w:pStyle w:val="BodyText"/>
      </w:pPr>
      <w:r>
        <w:rPr>
          <w:b w:val="0"/>
        </w:rPr>
        <w:t xml:space="preserve">В таблице 1.2 приведена функциональная схема, составленная по рассмотренным источникам; она не задаёт обязательную комплектацию любого автономного судна.</w:t>
      </w:r>
    </w:p>
    <w:p>
      <w:pPr>
        <w:pStyle w:val="BodyText"/>
        <w:keepNext/>
        <w:ind w:firstLine="0"/>
        <w:jc w:val="left"/>
      </w:pPr>
      <w:r>
        <w:rPr>
          <w:rFonts w:ascii="Times New Roman" w:hAnsi="Times New Roman"/>
          <w:b w:val="0"/>
          <w:sz w:val="24"/>
        </w:rPr>
        <w:t xml:space="preserve">Таблица 1.2 – Передача данных и команд в системе автономного судовождения</w:t>
      </w:r>
    </w:p>
    <w:tbl>
      <w:tblPr>
        <w:tblStyle w:val="TableGrid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381"/>
        <w:gridCol w:w="3288"/>
        <w:gridCol w:w="3685"/>
      </w:tblGrid>
      <w:tr>
        <w:trPr>
          <w:tblHeader w:val="true"/>
          <w:cantSplit/>
        </w:trPr>
        <w:tc>
          <w:tcPr>
            <w:tcW w:type="dxa" w:w="2381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 xml:space="preserve">Звено системы</w:t>
            </w:r>
          </w:p>
        </w:tc>
        <w:tc>
          <w:tcPr>
            <w:tcW w:type="dxa" w:w="3288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 xml:space="preserve">Входные данные</w:t>
            </w:r>
          </w:p>
        </w:tc>
        <w:tc>
          <w:tcPr>
            <w:tcW w:type="dxa" w:w="3685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 xml:space="preserve">Обработка и выход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 xml:space="preserve">Оценка собственного состояния</w:t>
            </w:r>
          </w:p>
        </w:tc>
        <w:tc>
          <w:tcPr>
            <w:tcW w:type="dxa" w:w="3288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 xml:space="preserve">Измерения положения, курса, скорости, поворота</w:t>
            </w:r>
          </w:p>
        </w:tc>
        <w:tc>
          <w:tcPr>
            <w:tcW w:type="dxa" w:w="3685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 xml:space="preserve">Оценка положения и движения своего судна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 xml:space="preserve">Наблюдение за объектами</w:t>
            </w:r>
          </w:p>
        </w:tc>
        <w:tc>
          <w:tcPr>
            <w:tcW w:type="dxa" w:w="3288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 xml:space="preserve">Радиолокационные и оптические наблюдения, сообщения АИС</w:t>
            </w:r>
          </w:p>
        </w:tc>
        <w:tc>
          <w:tcPr>
            <w:tcW w:type="dxa" w:w="3685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 xml:space="preserve">Обнаруженные цели, доступные признаки и параметры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 xml:space="preserve">Согласование наблюдений</w:t>
            </w:r>
          </w:p>
        </w:tc>
        <w:tc>
          <w:tcPr>
            <w:tcW w:type="dxa" w:w="3288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 xml:space="preserve">Записи разных источников и моменты измерений</w:t>
            </w:r>
          </w:p>
        </w:tc>
        <w:tc>
          <w:tcPr>
            <w:tcW w:type="dxa" w:w="3685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 xml:space="preserve">Сопоставленные формуляры целей, выявленные расхождения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 xml:space="preserve">Оценка опасности и планирование</w:t>
            </w:r>
          </w:p>
        </w:tc>
        <w:tc>
          <w:tcPr>
            <w:tcW w:type="dxa" w:w="3288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 xml:space="preserve">Цели, маршрут, ограничения акватории, характеристики судна</w:t>
            </w:r>
          </w:p>
        </w:tc>
        <w:tc>
          <w:tcPr>
            <w:tcW w:type="dxa" w:w="3685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 xml:space="preserve">Допустимый вариант движения или выявленное ограничение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 xml:space="preserve">Управление маршрутом и курсом</w:t>
            </w:r>
          </w:p>
        </w:tc>
        <w:tc>
          <w:tcPr>
            <w:tcW w:type="dxa" w:w="3288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 xml:space="preserve">План движения и фактическое состояние судна</w:t>
            </w:r>
          </w:p>
        </w:tc>
        <w:tc>
          <w:tcPr>
            <w:tcW w:type="dxa" w:w="3685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 xml:space="preserve">Задания курса и скорости, управляющие воздействия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 xml:space="preserve">Исполнение и контроль</w:t>
            </w:r>
          </w:p>
        </w:tc>
        <w:tc>
          <w:tcPr>
            <w:tcW w:type="dxa" w:w="3288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 xml:space="preserve">Команды, состояние рулевой и энергетической установок</w:t>
            </w:r>
          </w:p>
        </w:tc>
        <w:tc>
          <w:tcPr>
            <w:tcW w:type="dxa" w:w="3685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 xml:space="preserve">Изменение движения, обратная связь и сигналы отклонений</w:t>
            </w:r>
          </w:p>
        </w:tc>
      </w:tr>
    </w:tbl>
    <w:p>
      <w:pPr>
        <w:pStyle w:val="BodyText"/>
      </w:pPr>
      <w:r>
        <w:rPr>
          <w:b w:val="0"/>
        </w:rPr>
        <w:t xml:space="preserve">Связи между звеньями помогают определить направление проверки при нарушении работы. При пропуске цели проверяют средства наблюдения и обработку их данных; при неверном сопоставлении записей проверяют объединение наблюдений; при опасной траектории проверяют оценку обстановки и планирование; при невыполненном повороте проверяют управление и исполнительные механизмы. Это исходные направления диагностики: по одному внешнему признаку нельзя однозначно установить неисправное звено. Такое разделение позволяет проверять конкретную функцию, вместо того чтобы оценивать весь комплекс по общему обозначению «автономный» [1, с. 24, 39–40; 13, с. 39–40; 14, с. 55–59; 15, с. 5–6].</w:t>
      </w:r>
    </w:p>
    <w:p>
      <w:pPr>
        <w:pStyle w:val="BodyText"/>
      </w:pPr>
      <w:r>
        <w:rPr>
          <w:b w:val="0"/>
        </w:rPr>
        <w:t xml:space="preserve">Береговой центр добавляет канал наблюдения и управления. В учебном примере комплекса «БЭС-КФ» отдельно выделены автономная навигационная система, оптические средства, пульт дистанционного управления, обмен данными и диагностика [11, с. 11–13]. В автономном режиме действия формируются соответствующими судовыми функциями; при дистанционном управлении в принятии решений участвует удалённый оператор. Для анализа необходимо установить, какие данные передаются на берег, какие команды допускаются и как подтверждается их исполнение. Кодекс MASS предусматривает определение характеристик каналов связи с учётом потребностей выполняемых функций [1, с. 41–42]. Поэтому один факт наличия связи не описывает возможности дистанционного управления в конкретной ситуации.</w:t>
      </w:r>
    </w:p>
    <w:p>
      <w:pPr>
        <w:pStyle w:val="BodyText"/>
      </w:pPr>
      <w:r>
        <w:rPr>
          <w:b w:val="0"/>
        </w:rPr>
        <w:t xml:space="preserve">Передача управления человеку требует отдельной процедуры. В рассмотренном комплексе механический переключатель на мостике позволяет отключить автономную навигационную систему от средств управления исполнительными устройствами [15, с. 9]. Организационная часть перехода должна определять, кто принимает управление и какая информация ему доступна. При выходе за эксплуатационные границы Кодекс предусматривает заранее определённое резервное состояние и оценённые действия перехода к нему [1, с. 21–22]. Для узкости нельзя заранее выбрать универсальную реакцию: остановка, продолжение движения с ограничениями или передача управления оцениваются с учётом оставшегося пространства, течения и других судов.</w:t>
      </w:r>
    </w:p>
    <w:p>
      <w:pPr>
        <w:pStyle w:val="BodyText"/>
      </w:pPr>
      <w:r>
        <w:rPr>
          <w:b w:val="0"/>
        </w:rPr>
        <w:t xml:space="preserve">Диагностика и регистрация данных замыкают проверку системы. Неполные наблюдения, прерывание связи и расхождение модели с фактической обстановкой являются основаниями выяснять причину нарушения; сами по себе такие симптомы не устанавливают кибератаку [16, с. 23–24]. Записи исходных данных, решений и команд позволяют восстановить, на каком звене возникла ошибка. Кодекс предусматривает регистрацию операций и проверку технических систем, включая интеграционные и системные испытания [1, с. 24]. В дальнейшем эти сведения используются для оценки того, какие функции российского или зарубежного проекта подтверждены именно в условиях, существенных для плавания в узкостях.</w:t>
      </w:r>
    </w:p>
    <w:bookmarkEnd w:id="23"/>
    <w:bookmarkStart w:id="24" w:name="Xdf1b120d09c46bd257b0f81b78a36e02e7173f6"/>
    <w:p>
      <w:pPr>
        <w:pStyle w:val="Heading2"/>
      </w:pPr>
      <w:bookmarkStart w:id="1006" w:name="VKRSection6"/>
      <w:r>
        <w:rPr>
          <w:rFonts w:ascii="Times New Roman" w:hAnsi="Times New Roman"/>
          <w:color w:val="000000"/>
          <w:sz w:val="28"/>
        </w:rPr>
        <w:t xml:space="preserve">1.4 Основные навигационные проблемы при плавании в узкостях</w:t>
      </w:r>
      <w:bookmarkEnd w:id="1006"/>
    </w:p>
    <w:p>
      <w:pPr>
        <w:pStyle w:val="FirstParagraph"/>
      </w:pPr>
      <w:r>
        <w:rPr>
          <w:b w:val="0"/>
        </w:rPr>
        <w:t xml:space="preserve">Исходной задачей является определение пространства, в котором судно может двигаться безопасно. При этом одной ширины прохода недостаточно. Руководство ИМО по планированию рейса предусматривает учёт допустимой осадки, маневренных характеристик судна, глубин, опасных участков и актуальной навигационной информации. План должен охватывать переход от причала до причала, включая участки лоцманской проводки [5, п. 2.1, 3.1]. Для анализа MASS это означает необходимость связывать геометрию маршрута с характеристиками определённого судна и условиями конкретного перехода.</w:t>
      </w:r>
    </w:p>
    <w:p>
      <w:pPr>
        <w:pStyle w:val="BodyText"/>
      </w:pPr>
      <w:r>
        <w:rPr>
          <w:b w:val="0"/>
        </w:rPr>
        <w:t xml:space="preserve">Ограничение по глубине следует рассматривать вместе с выбранной скоростью и манёвром. Руководство предусматривает определение минимального запаса воды под килем на критических участках, учёт увеличения осадки из-за просадки и крена при повороте, а также положения точек изменения курса с учётом циркуляции и течений [5, п. 3.2.2.1–3.2.2.5]. В работе эти положения задают перечень проверяемых условий. Численную величину запаса, допустимую скорость или безопасную траекторию нельзя устанавливать без сведений о судне, глубинах и принятом способе расчёта.</w:t>
      </w:r>
    </w:p>
    <w:p>
      <w:pPr>
        <w:pStyle w:val="BodyText"/>
      </w:pPr>
      <w:r>
        <w:rPr>
          <w:b w:val="0"/>
        </w:rPr>
        <w:t xml:space="preserve">Для обнаружения опасности важна не только точность положения цели, но и её отношение к доступному пути. При ограниченном пространстве встречное судно, пересекающая цель и неподвижная навигационная опасность требуют разных решений. Предполагаемое изменение курса следует проверять относительно других участников движения и границ безопасного пространства. Кодекс MASS предусматривает, чтобы действие против столкновения, навала или посадки на мель не создавало иной ситуации с неприемлемым риском [1, с. 40]. Поэтому в сценарном анализе необходимо оценивать последствия манёвра для всей рассматриваемой обстановки.</w:t>
      </w:r>
    </w:p>
    <w:p>
      <w:pPr>
        <w:pStyle w:val="BodyText"/>
      </w:pPr>
      <w:r>
        <w:rPr>
          <w:b w:val="0"/>
        </w:rPr>
        <w:t xml:space="preserve">Правило 9 связывает движение в узком проходе или фарватере с положением относительно правой внешней границы, насколько это безопасно и практически возможно. В нём также учитываются суда, способные безопасно двигаться только в пределах прохода, и ограничения для других участников, которые не должны препятствовать их движению [18, международное правило 9(a)–(d)]. Для автономной функции существенна способность определить не только направление движения, но и обстоятельства, от которых зависит применимое требование. Выбор правой стороны пути не заменяет проверки глубин, пространства для манёвра и взаимодействия с другими судами.</w:t>
      </w:r>
    </w:p>
    <w:p>
      <w:pPr>
        <w:pStyle w:val="BodyText"/>
      </w:pPr>
      <w:r>
        <w:rPr>
          <w:b w:val="0"/>
        </w:rPr>
        <w:t xml:space="preserve">Гидрометеорологическая обстановка и видимость должны входить в описание сценария. В руководстве по планированию предусмотрен учёт течений, приливов, метеорологических условий, ночного прохождения опасных точек и надёжности определения места. При исполнении плана необходимо оценивать, не создают ли ожидаемые условия недопустимую опасность [5, п. 2.1.7, 4.2–4.3]. Для MASS эти сведения связаны с эксплуатационными границами судна и предусмотренной проектом областью условий работы отдельных функций. Кодекс предусматривает обнаружение выхода функции за такую область и заранее определённую реакцию судна при выходе за общие эксплуатационные границы [1, с. 20–21].</w:t>
      </w:r>
    </w:p>
    <w:p>
      <w:pPr>
        <w:pStyle w:val="BodyText"/>
      </w:pPr>
      <w:r>
        <w:rPr>
          <w:b w:val="0"/>
        </w:rPr>
        <w:t xml:space="preserve">Взаимодействие с берегом и другими участниками следует включать в анализ наряду с работой бортовой системы. Руководство ИМО предусматривает использование сведений о системах управления движением судов, лоцманской проводке, обмене информацией между капитаном и лоцманом и береговых возможностях реагирования на аварийные ситуации [5, п. 2.1.7.5–2.1.7.8]. В дальнейшем необходимо установить, какие сообщения должна получать рассматриваемая система, кто подтверждает их понимание и кто принимает решение при изменении согласованного порядка движения. Наличие канала связи ещё не описывает содержание такого взаимодействия.</w:t>
      </w:r>
    </w:p>
    <w:p>
      <w:pPr>
        <w:pStyle w:val="BodyText"/>
      </w:pPr>
      <w:r>
        <w:rPr>
          <w:b w:val="0"/>
        </w:rPr>
        <w:t xml:space="preserve">В анализе узкостей особенно важен момент обнаружения опасности. Для условного сценария необходимо указать, когда цель становится доступной наблюдению, какие сведения нужны для определения её движения и какие действия доступны собственному судну. Затем следует проверить, достаточно ли имеющейся информации для решения и остаётся ли возможность его исполнения. Эти вопросы организуют оценку проекта; они не задают универсальное допустимое время реакции. Если в источнике отсутствуют сведения о моментах обнаружения, принятия решения и манёвра, вывод о пригодности системы для соответствующего сценария остаётся ограниченным.</w:t>
      </w:r>
    </w:p>
    <w:p>
      <w:pPr>
        <w:pStyle w:val="BodyText"/>
      </w:pPr>
      <w:r>
        <w:rPr>
          <w:b w:val="0"/>
        </w:rPr>
        <w:t xml:space="preserve">Таким образом, описание узкости для настоящего исследования включает геометрию пути и глубины, характеристики судна, движение других участников, видимость и гидрометеорологические условия, связь с берегом и доступные действия при ухудшении обстановки. Дальнейшее сравнение будет строиться по этим условиям. Прохождение маршрута в открытом море, подтверждённое источником, необходимо отличать от выполнения навигационных задач в узкости, даже если оба участка входят в один рейс.</w:t>
      </w:r>
    </w:p>
    <w:bookmarkEnd w:id="24"/>
    <w:bookmarkStart w:id="25" w:name="X6b846899848c399b3f450104d757d889aba5580"/>
    <w:p>
      <w:pPr>
        <w:pStyle w:val="Heading2"/>
      </w:pPr>
      <w:bookmarkStart w:id="1007" w:name="VKRSection7"/>
      <w:r>
        <w:rPr>
          <w:rFonts w:ascii="Times New Roman" w:hAnsi="Times New Roman"/>
          <w:color w:val="000000"/>
          <w:sz w:val="28"/>
        </w:rPr>
        <w:t xml:space="preserve">1.5 Международные требования к безопасности автономного судовождения</w:t>
      </w:r>
      <w:bookmarkEnd w:id="1007"/>
    </w:p>
    <w:p>
      <w:pPr>
        <w:pStyle w:val="FirstParagraph"/>
      </w:pPr>
      <w:r>
        <w:rPr>
          <w:b w:val="0"/>
        </w:rPr>
        <w:t xml:space="preserve">Нормативная оценка MASS требует установления того, какие документы применимы к судну, его функциям и району плавания. Кодекс 2026 года дополняет существующие инструменты, имеет необязательный статус и предусматривает определённую область применения. В части безопасности навигации он связывает функциональные требования с Международной конвенцией по охране человеческой жизни на море и МППСС-72 [1, с. 7–8, 38]. Поэтому использование автономного режима не следует представлять как основание для исключения общих обязанностей по безопасному судовождению.</w:t>
      </w:r>
    </w:p>
    <w:p>
      <w:pPr>
        <w:pStyle w:val="BodyText"/>
      </w:pPr>
      <w:r>
        <w:rPr>
          <w:b w:val="0"/>
        </w:rPr>
        <w:t xml:space="preserve">В официальном обзоре ИМО перечислены требования к наблюдению, безопасной скорости, оценке опасности столкновения и действиям для его предотвращения [4]. В тексте международных правил правило 5 предусматривает постоянное визуальное и слуховое наблюдение с использованием всех доступных подходящих средств; правило 6 устанавливает требования к безопасной скорости; правило 7 определяет порядок оценки опасности столкновения; правило 8 относится к действиям для его предотвращения. Правило 9 регулирует движение в узком проходе или фарватере [18, международные правила 5–9]. Для технического анализа эти положения задают разные вопросы: как система получает сведения, как оценивает их достаточность, как выбирает скорость и как обосновывает действие. Полную проверку конкретного манёвра необходимо проводить по применимому тексту правил и условиям ситуации; обзорная страница служит ориентиром, а не заменой такой проверки.</w:t>
      </w:r>
    </w:p>
    <w:p>
      <w:pPr>
        <w:pStyle w:val="BodyText"/>
      </w:pPr>
      <w:r>
        <w:rPr>
          <w:b w:val="0"/>
        </w:rPr>
        <w:t xml:space="preserve">Связь между общими правилами и техническими функциями раскрывается в Кодексе MASS. Поддержание ситуационной осведомлённости предполагает непрерывное наблюдение и анализ информации, понимание текущей ситуации и прогноз её развития. При предотвращении столкновения или посадки на мель изменение курса и скорости должно быть своевременным и соответствовать безопасным эксплуатационным пределам. Исполнение маршрута требует наблюдения за фактическим продвижением судна [1, с. 39–41]. Такая структура позволяет проверять не только наличие алгоритма, но и назначение каждой его функции в безопасном судовождении.</w:t>
      </w:r>
    </w:p>
    <w:p>
      <w:pPr>
        <w:pStyle w:val="BodyText"/>
      </w:pPr>
      <w:r>
        <w:rPr>
          <w:b w:val="0"/>
        </w:rPr>
        <w:t xml:space="preserve">Планирование рейса также не сводится к прокладке линии пути. Руководство ИМО A.893(21) выделяет сбор и оценку информации, подробное планирование, исполнение и непрерывное наблюдение за выполнением. План включает критические глубины, ограничения судна, условия определения места и варианты действий при обстоятельствах, требующих его изменения [5, п. 1.3, 2.1, 3.2, 5.2]. Для автономной системы необходимо установить, какие сведения она использует из плана, как принимает его изменения и каким образом капитан участвует в их утверждении [1, с. 39–40].</w:t>
      </w:r>
    </w:p>
    <w:p>
      <w:pPr>
        <w:pStyle w:val="BodyText"/>
      </w:pPr>
      <w:r>
        <w:rPr>
          <w:b w:val="0"/>
        </w:rPr>
        <w:t xml:space="preserve">Вопрос человеческого контроля относится к нормативной оценке независимо от степени автоматизации. Кодекс предусматривает ответственность капитана за MASS и возможность вмешательства в управление. Средства принятия управления навигацией должны быть простыми в использовании, независимыми от контролируемых систем и позволять немедленно принять управление [1, с. 22, 41]. В сценариях узкостей эти положения необходимо рассматривать вместе с предоставлением человеку времени и информации для понимания ситуации. Техническая возможность переключения режима и готовность оператора продолжить управление представляют связанные, но разные условия.</w:t>
      </w:r>
    </w:p>
    <w:p>
      <w:pPr>
        <w:pStyle w:val="BodyText"/>
      </w:pPr>
      <w:r>
        <w:rPr>
          <w:b w:val="0"/>
        </w:rPr>
        <w:t xml:space="preserve">Режим проведения испытания следует отличать от обычной эксплуатации. Временное руководство MSC.1/Circ.1604 от 14 июня 2019 года определяет испытание как ограниченный по времени эксперимент для оценки альтернативного выполнения функций или соблюдения требований. Оно предусматривает разрешение администрации государства флага, а при необходимости также прибрежного государства или портовых властей. Для испытаний рассматриваются оценка риска, аварийные меры, подготовка участников и условия остановки при выходе за параметры безопасности [6, п. 1.2.2–1.2.3, 2.1–2.3]. Этот документ объясняет требования к испытательному режиму; сам по себе он не подтверждает одобрение определённой системы или завершение её проверки.</w:t>
      </w:r>
    </w:p>
    <w:p>
      <w:pPr>
        <w:pStyle w:val="BodyText"/>
      </w:pPr>
      <w:r>
        <w:rPr>
          <w:b w:val="0"/>
        </w:rPr>
        <w:t xml:space="preserve">Для российских проектов необходимо отдельно устанавливать содержание выданных документов и разрешённых режимов. Показателен опубликованный разработчиком пример паромов «Маршал Рокоссовский» и «Генерал Черняховский». В сообщении Sitronics от 3 октября 2023 года дистанционное управление описано применительно к движению в море, а для прохождения узкостей и входа в порт указано ручное управление с поддержкой принятия решений [7]. Это датированное сообщение о конкретном проекте; оно не устанавливает общую норму для российского флота и не подтверждает неизменность условий в 2026 году. Для правовой оценки проекта требуются документы Регистра, эксплуатанта и применимые национальные акты.</w:t>
      </w:r>
    </w:p>
    <w:p>
      <w:pPr>
        <w:pStyle w:val="BodyText"/>
      </w:pPr>
      <w:r>
        <w:rPr>
          <w:b w:val="0"/>
        </w:rPr>
        <w:t xml:space="preserve">В дальнейшем нормативный анализ будет оформлен как связь между требованием, навигационной функцией, условиями её использования и подтверждением. Такая связь нужна, чтобы не смешивать наличие разработки, разрешение испытания, сертификацию отдельного режима и доказательство пригодности для узкости. При отсутствии первичного документа об условиях одобрения соответствующее утверждение будет обозначаться как сообщение участника проекта. Окончательная оценка российского нормативного блока должна учитывать действующие национальные документы и ограничения разрешённых режимов.</w:t>
      </w:r>
    </w:p>
    <w:bookmarkEnd w:id="25"/>
    <w:bookmarkEnd w:id="26"/>
    <w:bookmarkStart w:id="30" w:name="Xecb2f83da9f9d6c6e101603d0090d8ab0d185de"/>
    <w:p>
      <w:pPr>
        <w:pStyle w:val="Heading1"/>
        <w:pageBreakBefore/>
      </w:pPr>
      <w:bookmarkStart w:id="1008" w:name="VKRSection8"/>
      <w:r>
        <w:rPr>
          <w:rFonts w:ascii="Times New Roman" w:hAnsi="Times New Roman"/>
          <w:color w:val="000000"/>
          <w:sz w:val="28"/>
        </w:rPr>
        <w:t>2 РОССИЙСКИЙ ОПЫТ РАЗРАБОТКИ И ПРИМЕНЕНИЯ ТЕХНОЛОГИЙ АВТОНОМНОГО СУДОВОЖДЕНИЯ</w:t>
      </w:r>
      <w:bookmarkEnd w:id="1008"/>
    </w:p>
    <w:bookmarkStart w:id="27" w:name="X2ce18eb0c42c913ff508877abd916c5d0bf3082"/>
    <w:p>
      <w:pPr>
        <w:pStyle w:val="Heading2"/>
      </w:pPr>
      <w:bookmarkStart w:id="1009" w:name="VKRSection9"/>
      <w:r>
        <w:rPr>
          <w:rFonts w:ascii="Times New Roman" w:hAnsi="Times New Roman"/>
          <w:color w:val="000000"/>
          <w:sz w:val="28"/>
        </w:rPr>
        <w:t xml:space="preserve">2.1 Развитие автономного судовождения в России и основные проекты</w:t>
      </w:r>
      <w:bookmarkEnd w:id="1009"/>
    </w:p>
    <w:p>
      <w:pPr>
        <w:pStyle w:val="FirstParagraph"/>
      </w:pPr>
      <w:r>
        <w:rPr>
          <w:b w:val="0"/>
        </w:rPr>
        <w:t xml:space="preserve">Рассмотрение российских разработок начинается с опубликованных материалов об испытаниях и применении комплекса а-Навигации Sitronics KT. На данном этапе выделены три группы примеров: испытание на сухогрузе «Пола Анфиса», внедрение на паромах «Маршал Рокоссовский» и «Генерал Черняховский», а также применение безэкипажного катера «Странник 575». Эти примеры относятся к одному разработчику и не образуют полного обзора российского рынка. Они дают исходный материал для проверки того, какие функции передавались системе или дистанционному оператору и в каких условиях это происходило [7–10].</w:t>
      </w:r>
    </w:p>
    <w:p>
      <w:pPr>
        <w:pStyle w:val="BodyText"/>
      </w:pPr>
      <w:r>
        <w:rPr>
          <w:b w:val="0"/>
        </w:rPr>
        <w:t xml:space="preserve">В публикации от 11 мая 2021 года Sitronics сообщила об испытании комплекса на сухогрузе «Пола Анфиса» в Азовском море. По описанию компании, управление осуществляли специалисты из офиса «Пола Райз» в Санкт-Петербурге; были проверены дистанционный режим и автономное движение, после чего управление вернули на борт. Сообщение указывает продолжительность испытания в один час [8]. Это свидетельство участника проекта о проведённом испытании. Для оценки прохождения узкости дополнительно нужны программа испытаний, характеристики участка и сведения о конкретных манёврах.</w:t>
      </w:r>
    </w:p>
    <w:p>
      <w:pPr>
        <w:pStyle w:val="BodyText"/>
      </w:pPr>
      <w:r>
        <w:rPr>
          <w:b w:val="0"/>
        </w:rPr>
        <w:t xml:space="preserve">Следующий рассматриваемый этап связан с паромами «Маршал Рокоссовский» и «Генерал Черняховский». В октябре 2023 года разработчик сообщил о получении удостоверений автономных и дистанционно управляемых надводных судов. Декабрьская публикация того же года описывает начало эксплуатации «Генерала Черняховского» в дистанционном режиме с использованием средств а-Навигации и управление на части маршрута в открытом море из берегового центра [7; 9]. Сообщение о запуске описывает начало рейса и запланированное прибытие; оно не заменяет отчёт о завершённом переходе.</w:t>
      </w:r>
    </w:p>
    <w:p>
      <w:pPr>
        <w:pStyle w:val="BodyText"/>
      </w:pPr>
      <w:r>
        <w:rPr>
          <w:b w:val="0"/>
        </w:rPr>
        <w:t xml:space="preserve">В сентябре 2026 года компания опубликовала сообщение о доставке документов катером «Странник 575» в населённые пункты в дельте Северной Двины. Согласно публикации, катер прошёл маршрут длиной более 40 км без людей на борту, с возможностью перехода на дистанционное управление; вмешательства инженеров во время рейса не потребовалось [10]. Эти сведения рассматриваются как сообщение разработчика о конкретной операции. Их нельзя переносить на морской паром или считать доказательством работы при любых условиях в дельте.</w:t>
      </w:r>
    </w:p>
    <w:p>
      <w:pPr>
        <w:pStyle w:val="BodyText"/>
      </w:pPr>
      <w:r>
        <w:rPr>
          <w:b w:val="0"/>
        </w:rPr>
        <w:t xml:space="preserve">Перечисленные этапы позволяют выделить разные предметы проверки: отдельное испытание режима, внедрение комплекса на морских грузопассажирских паромах и конкретную операцию маломерного безэкипажного судна. Для исследования узкостей важно сохранить это различие. Само увеличение числа применений технологии не показывает, что одна и та же система получила одинаковые возможности и разрешения для всех типов судов и участков плавания.</w:t>
      </w:r>
    </w:p>
    <w:bookmarkEnd w:id="27"/>
    <w:bookmarkStart w:id="28" w:name="X6f42e4463c3294bf94bd1adc143a11dc4800b8e"/>
    <w:p>
      <w:pPr>
        <w:pStyle w:val="Heading2"/>
      </w:pPr>
      <w:bookmarkStart w:id="1010" w:name="VKRSection10"/>
      <w:r>
        <w:rPr>
          <w:rFonts w:ascii="Times New Roman" w:hAnsi="Times New Roman"/>
          <w:color w:val="000000"/>
          <w:sz w:val="28"/>
        </w:rPr>
        <w:t xml:space="preserve">2.2 Российские технические решения и реализованные навигационные функции</w:t>
      </w:r>
      <w:bookmarkEnd w:id="1010"/>
    </w:p>
    <w:p>
      <w:pPr>
        <w:pStyle w:val="FirstParagraph"/>
      </w:pPr>
      <w:r>
        <w:rPr>
          <w:b w:val="0"/>
        </w:rPr>
        <w:t xml:space="preserve">В опубликованном описании оборудования паромов выделены автономная навигационная система, оптическая система анализа обстановки и состояния судна, управление движением и маневрированием, контроль и наблюдение за судовыми системами. Там же описан береговой центр в Санкт-Петербурге, который обеспечивал наблюдение за навигационной обстановкой, параметрами движения и дистанционное управление в открытом море [7]. Такой перечень позволяет связать проект с функциональной схемой главы 1: данные об обстановке, оценка, решение, воздействие на движение и наблюдение за состоянием.</w:t>
      </w:r>
    </w:p>
    <w:p>
      <w:pPr>
        <w:pStyle w:val="BodyText"/>
      </w:pPr>
      <w:r>
        <w:rPr>
          <w:b w:val="0"/>
        </w:rPr>
        <w:t xml:space="preserve">Наличие в перечне оптической системы подтверждает, что соответствующая функция заявлена в описании комплекса. Однако из этого сообщения нельзя определить дальность обнаружения, частоту пропуска целей, условия освещения или результаты распознавания. Поэтому способность обнаруживать опасность в узкости следует оценивать по отдельным техническим документам и испытаниям. В частности, нужны сведения о типах целей, условиях их наблюдения и передаче полученной информации системе принятия решений или человеку.</w:t>
      </w:r>
    </w:p>
    <w:p>
      <w:pPr>
        <w:pStyle w:val="BodyText"/>
      </w:pPr>
      <w:r>
        <w:rPr>
          <w:b w:val="0"/>
        </w:rPr>
        <w:t xml:space="preserve">Для рассматриваемой темы существеннее всего опубликованное распределение режимов. В сообщении 2023 года прохождение узкостей и вход в порт описаны как ручное управление совместно с поддержкой принятия решений, тогда как дистанционный режим отнесён к движению в море [7]. Таким образом, этот источник позволяет изучать применение автономных технологий в составе судовождения, но не подтверждает самостоятельное выполнение системой полного прохода через узкость. Перечень разрешённых режимов необходимо сверить с самими выданными документами и актуальными условиями эксплуатации.</w:t>
      </w:r>
    </w:p>
    <w:p>
      <w:pPr>
        <w:pStyle w:val="BodyText"/>
      </w:pPr>
      <w:r>
        <w:rPr>
          <w:b w:val="0"/>
        </w:rPr>
        <w:t xml:space="preserve">Маломерный катер представляет иной вариант распределения задач. В сентябрьской публикации 2026 года основной режим описан как автономный, а дистанционное управление предусмотрено как доступный вариант при нештатной ситуации [10]. При дальнейшем анализе необходимо установить, как контролировалась навигационная обстановка, какие события должны были вызывать вмешательство и какие ограничения были предусмотрены для рейса. Поскольку опубликованное сообщение не раскрывает полный протокол операции, эти вопросы пока нельзя считать проверенными.</w:t>
      </w:r>
    </w:p>
    <w:bookmarkEnd w:id="28"/>
    <w:bookmarkStart w:id="29" w:name="X7aaced6e59e806ba72c09880c13ba6a506bc702"/>
    <w:p>
      <w:pPr>
        <w:pStyle w:val="Heading2"/>
      </w:pPr>
      <w:bookmarkStart w:id="1011" w:name="VKRSection11"/>
      <w:r>
        <w:rPr>
          <w:rFonts w:ascii="Times New Roman" w:hAnsi="Times New Roman"/>
          <w:color w:val="000000"/>
          <w:sz w:val="28"/>
        </w:rPr>
        <w:t xml:space="preserve">2.3 Испытания и эксплуатация российских систем: результаты и ограничения</w:t>
      </w:r>
      <w:bookmarkEnd w:id="1011"/>
    </w:p>
    <w:p>
      <w:pPr>
        <w:pStyle w:val="FirstParagraph"/>
      </w:pPr>
      <w:r>
        <w:rPr>
          <w:b w:val="0"/>
        </w:rPr>
        <w:t xml:space="preserve">Для сопоставления российских примеров в таблице 2.1 указано, что именно описано источником и какие сведения необходимы для анализа узкостей. Таблица отражает текущую доступную доказательную базу, а не рейтинг технических решений. Все рассмотренные сообщения опубликованы участником проектов, поэтому совпадение нескольких публикаций нельзя считать независимой проверкой результата.</w:t>
      </w:r>
    </w:p>
    <w:p>
      <w:pPr>
        <w:pStyle w:val="BodyText"/>
        <w:keepNext/>
        <w:ind w:firstLine="0"/>
        <w:jc w:val="left"/>
      </w:pPr>
      <w:r>
        <w:rPr>
          <w:rFonts w:ascii="Times New Roman" w:hAnsi="Times New Roman"/>
          <w:b w:val="0"/>
          <w:sz w:val="24"/>
        </w:rPr>
        <w:t xml:space="preserve">Таблица 2.1 – Первоначальная оценка российских примеров по опубликованным сведениям</w:t>
      </w:r>
    </w:p>
    <w:tbl>
      <w:tblPr>
        <w:tblStyle w:val="TableGrid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835"/>
        <w:gridCol w:w="3118"/>
        <w:gridCol w:w="3402"/>
      </w:tblGrid>
      <w:tr>
        <w:trPr>
          <w:tblHeader w:val="true"/>
          <w:cantSplit/>
        </w:trPr>
        <w:tc>
          <w:tcPr>
            <w:tcW w:type="dxa" w:w="2835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 xml:space="preserve">Пример</w:t>
            </w:r>
          </w:p>
        </w:tc>
        <w:tc>
          <w:tcPr>
            <w:tcW w:type="dxa" w:w="3118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 xml:space="preserve">Что описано источником</w:t>
            </w:r>
          </w:p>
        </w:tc>
        <w:tc>
          <w:tcPr>
            <w:tcW w:type="dxa" w:w="3402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 xml:space="preserve">Что необходимо проверить для узкости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 xml:space="preserve">«Пола Анфиса», 2021 год</w:t>
            </w:r>
          </w:p>
        </w:tc>
        <w:tc>
          <w:tcPr>
            <w:tcW w:type="dxa" w:w="3118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 xml:space="preserve">Дистанционный и автономный режимы во время испытания в Азовском море [8]</w:t>
            </w:r>
          </w:p>
        </w:tc>
        <w:tc>
          <w:tcPr>
            <w:tcW w:type="dxa" w:w="3402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 xml:space="preserve">Участок испытания, плотность движения, конкретные манёвры и вмешательства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 xml:space="preserve">«Маршал Рокоссовский» и «Генерал Черняховский», 2023 год</w:t>
            </w:r>
          </w:p>
        </w:tc>
        <w:tc>
          <w:tcPr>
            <w:tcW w:type="dxa" w:w="3118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 xml:space="preserve">Комплекс а-Навигации; ручной режим с поддержкой решений в узкостях; дистанционный режим в море [7; 9]</w:t>
            </w:r>
          </w:p>
        </w:tc>
        <w:tc>
          <w:tcPr>
            <w:tcW w:type="dxa" w:w="3402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 xml:space="preserve">Содержание удостоверений, действующие ограничения, результаты работы средств обнаружения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 xml:space="preserve">«Странник 575», 2026 год</w:t>
            </w:r>
          </w:p>
        </w:tc>
        <w:tc>
          <w:tcPr>
            <w:tcW w:type="dxa" w:w="3118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 xml:space="preserve">Сообщение об автономной операции без людей на борту в дельте Северной Двины [10]</w:t>
            </w:r>
          </w:p>
        </w:tc>
        <w:tc>
          <w:tcPr>
            <w:tcW w:type="dxa" w:w="3402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 xml:space="preserve">Протокол операции, фактические условия, наблюдение целей, критерии вмешательства и резервные действия</w:t>
            </w:r>
          </w:p>
        </w:tc>
      </w:tr>
    </w:tbl>
    <w:p>
      <w:pPr>
        <w:pStyle w:val="BodyText"/>
      </w:pPr>
      <w:r>
        <w:rPr>
          <w:b w:val="0"/>
        </w:rPr>
        <w:t xml:space="preserve">Из рассмотренных материалов следует рабочий вывод: российские примеры требуют анализа по отдельным навигационным функциям и условиям, а не общего обозначения автономности. Для паромов опубликованный порядок управления прямо ограничивает вывод о самостоятельном прохождении узкостей. Для катера описанная операция представляет интерес как отдельный случай, однако её подробные технические условия ещё необходимо подтвердить. Эти ограничения определяют дальнейший поиск источников и не означают заранее установленной технической неспособности систем.</w:t>
      </w:r>
    </w:p>
    <w:bookmarkEnd w:id="29"/>
    <w:bookmarkEnd w:id="30"/>
    <w:bookmarkStart w:id="46" w:name="список-использованных-источников"/>
    <w:p>
      <w:pPr>
        <w:pStyle w:val="VKRStructuralHeading"/>
        <w:pageBreakBefore/>
      </w:pPr>
      <w:bookmarkStart w:id="1012" w:name="VKRSection12"/>
      <w:r>
        <w:rPr>
          <w:rFonts w:ascii="Times New Roman" w:hAnsi="Times New Roman"/>
          <w:color w:val="000000"/>
          <w:sz w:val="28"/>
        </w:rPr>
        <w:t>СПИСОК ИСПОЛЬЗОВАННЫХ ИСТОЧНИКОВ</w:t>
      </w:r>
      <w:bookmarkEnd w:id="1012"/>
    </w:p>
    <w:p>
      <w:pPr>
        <w:pStyle w:val="FirstParagraph"/>
      </w:pPr>
      <w:r>
        <w:rPr>
          <w:b w:val="0"/>
        </w:rPr>
        <w:t xml:space="preserve">1 International Maritime Organization. International Code of Safety for Maritime Autonomous Surface Ships (MASS Code) : resolution MSC.595(111) // MSC 111/22. Annex 16. – 2026. – 87 p. – URL:</w:t>
      </w:r>
      <w:r>
        <w:rPr>
          <w:b w:val="0"/>
        </w:rPr>
        <w:t xml:space="preserve"> </w:t>
      </w:r>
      <w:hyperlink r:id="rId20">
        <w:r>
          <w:rPr>
            <w:rStyle w:val="Hyperlink"/>
          </w:rPr>
          <w:t xml:space="preserve">https://wwwcdn.imo.org/localresources/en/MediaCentre/Documents/MSC%20111-22-Annex%2016%20(Secretariat).pdf</w:t>
        </w:r>
      </w:hyperlink>
      <w:r>
        <w:rPr>
          <w:b w:val="0"/>
        </w:rPr>
        <w:t xml:space="preserve"> </w:t>
      </w:r>
      <w:r>
        <w:rPr>
          <w:b w:val="0"/>
        </w:rPr>
        <w:t xml:space="preserve">(дата обращения: 08.10.2026).</w:t>
      </w:r>
    </w:p>
    <w:p>
      <w:pPr>
        <w:pStyle w:val="BodyText"/>
      </w:pPr>
      <w:r>
        <w:rPr>
          <w:b w:val="0"/>
        </w:rPr>
        <w:t xml:space="preserve">2 International Maritime Organization. Outcome of the Regulatory Scoping Exercise for the Use of Maritime Autonomous Surface Ships (MASS) : MSC.1/Circ.1638, 3 June 2021. – 2021. – URL:</w:t>
      </w:r>
      <w:r>
        <w:rPr>
          <w:b w:val="0"/>
        </w:rPr>
        <w:t xml:space="preserve"> </w:t>
      </w:r>
      <w:hyperlink r:id="rId21">
        <w:r>
          <w:rPr>
            <w:rStyle w:val="Hyperlink"/>
          </w:rPr>
          <w:t xml:space="preserve">https://wwwcdn.imo.org/localresources/en/MediaCentre/Documents/MSC.1-Circ.1638%20-%20Outcome%20Of%20The%20Regulatory%20Scoping%20ExerciseFor%20The%20Use%20Of%20Maritime%20Autonomous%20Surface%20Ships...%20(Secretariat).pdf</w:t>
        </w:r>
      </w:hyperlink>
      <w:r>
        <w:rPr>
          <w:b w:val="0"/>
        </w:rPr>
        <w:t xml:space="preserve"> </w:t>
      </w:r>
      <w:r>
        <w:rPr>
          <w:b w:val="0"/>
        </w:rPr>
        <w:t xml:space="preserve">(дата обращения: 08.10.2026).</w:t>
      </w:r>
    </w:p>
    <w:p>
      <w:pPr>
        <w:pStyle w:val="BodyText"/>
      </w:pPr>
      <w:r>
        <w:rPr>
          <w:b w:val="0"/>
        </w:rPr>
        <w:t xml:space="preserve">3 International Maritime Organization. FAQ – Autonomous shipping. – URL:</w:t>
      </w:r>
      <w:r>
        <w:rPr>
          <w:b w:val="0"/>
        </w:rPr>
        <w:t xml:space="preserve"> </w:t>
      </w:r>
      <w:hyperlink r:id="rId11">
        <w:r>
          <w:rPr>
            <w:rStyle w:val="Hyperlink"/>
          </w:rPr>
          <w:t xml:space="preserve">https://www.imo.org/en/mediacentre/hottopics/pages/autonomous-shipping.aspx</w:t>
        </w:r>
      </w:hyperlink>
      <w:r>
        <w:rPr>
          <w:b w:val="0"/>
        </w:rPr>
        <w:t xml:space="preserve"> </w:t>
      </w:r>
      <w:r>
        <w:rPr>
          <w:b w:val="0"/>
        </w:rPr>
        <w:t xml:space="preserve">(дата обращения: 08.10.2026).</w:t>
      </w:r>
    </w:p>
    <w:p>
      <w:pPr>
        <w:pStyle w:val="BodyText"/>
      </w:pPr>
      <w:r>
        <w:rPr>
          <w:b w:val="0"/>
        </w:rPr>
        <w:t xml:space="preserve">4 International Maritime Organization. Convention on the International Regulations for Preventing Collisions at Sea, 1972 (COLREGs) : official overview. – URL:</w:t>
      </w:r>
      <w:r>
        <w:rPr>
          <w:b w:val="0"/>
        </w:rPr>
        <w:t xml:space="preserve"> </w:t>
      </w:r>
      <w:hyperlink r:id="rId10">
        <w:r>
          <w:rPr>
            <w:rStyle w:val="Hyperlink"/>
          </w:rPr>
          <w:t xml:space="preserve">https://www.imo.org/en/about/conventions/pages/colreg.aspx</w:t>
        </w:r>
      </w:hyperlink>
      <w:r>
        <w:rPr>
          <w:b w:val="0"/>
        </w:rPr>
        <w:t xml:space="preserve"> </w:t>
      </w:r>
      <w:r>
        <w:rPr>
          <w:b w:val="0"/>
        </w:rPr>
        <w:t xml:space="preserve">(дата обращения: 09.10.2026).</w:t>
      </w:r>
    </w:p>
    <w:p>
      <w:pPr>
        <w:pStyle w:val="BodyText"/>
      </w:pPr>
      <w:r>
        <w:rPr>
          <w:b w:val="0"/>
        </w:rPr>
        <w:t xml:space="preserve">5 International Maritime Organization. Guidelines for Voyage Planning : resolution A.893(21), adopted on 25 November 1999. – URL:</w:t>
      </w:r>
      <w:r>
        <w:rPr>
          <w:b w:val="0"/>
        </w:rPr>
        <w:t xml:space="preserve"> </w:t>
      </w:r>
      <w:hyperlink r:id="rId19">
        <w:r>
          <w:rPr>
            <w:rStyle w:val="Hyperlink"/>
          </w:rPr>
          <w:t xml:space="preserve">https://wwwcdn.imo.org/localresources/en/KnowledgeCentre/IndexofIMOResolutions/AssemblyDocuments/A.893(21).pdf</w:t>
        </w:r>
      </w:hyperlink>
      <w:r>
        <w:rPr>
          <w:b w:val="0"/>
        </w:rPr>
        <w:t xml:space="preserve"> </w:t>
      </w:r>
      <w:r>
        <w:rPr>
          <w:b w:val="0"/>
        </w:rPr>
        <w:t xml:space="preserve">(дата обращения: 09.10.2026).</w:t>
      </w:r>
    </w:p>
    <w:p>
      <w:pPr>
        <w:pStyle w:val="BodyText"/>
      </w:pPr>
      <w:r>
        <w:rPr>
          <w:b w:val="0"/>
        </w:rPr>
        <w:t xml:space="preserve">6 International Maritime Organization. Interim Guidelines for MASS Trials : MSC.1/Circ.1604, 14 June 2019. – URL:</w:t>
      </w:r>
      <w:r>
        <w:rPr>
          <w:b w:val="0"/>
        </w:rPr>
        <w:t xml:space="preserve"> </w:t>
      </w:r>
      <w:hyperlink r:id="rId22">
        <w:r>
          <w:rPr>
            <w:rStyle w:val="Hyperlink"/>
          </w:rPr>
          <w:t xml:space="preserve">https://wwwcdn.imo.org/localresources/en/MediaCentre/HotTopics/Documents/MSC.1-Circ.1604%20-%20Interim%20Guidelines%20For%20Mass%20Trials%20%28Secretariat%29.pdf</w:t>
        </w:r>
      </w:hyperlink>
      <w:r>
        <w:rPr>
          <w:b w:val="0"/>
        </w:rPr>
        <w:t xml:space="preserve"> </w:t>
      </w:r>
      <w:r>
        <w:rPr>
          <w:b w:val="0"/>
        </w:rPr>
        <w:t xml:space="preserve">(дата обращения: 08.10.2026).</w:t>
      </w:r>
    </w:p>
    <w:p>
      <w:pPr>
        <w:pStyle w:val="BodyText"/>
      </w:pPr>
      <w:r>
        <w:rPr>
          <w:b w:val="0"/>
        </w:rPr>
        <w:t xml:space="preserve">7 Sitronics Group. Паромы ФГУП «Росморпорт» получили первые в России удостоверения морских автономных и дистанционно управляемых надводных судов. – 03.10.2023. – URL:</w:t>
      </w:r>
      <w:r>
        <w:rPr>
          <w:b w:val="0"/>
        </w:rPr>
        <w:t xml:space="preserve"> </w:t>
      </w:r>
      <w:hyperlink r:id="rId15">
        <w:r>
          <w:rPr>
            <w:rStyle w:val="Hyperlink"/>
          </w:rPr>
          <w:t xml:space="preserve">https://www.sitronics.com/reports/15295</w:t>
        </w:r>
      </w:hyperlink>
      <w:r>
        <w:rPr>
          <w:b w:val="0"/>
        </w:rPr>
        <w:t xml:space="preserve"> </w:t>
      </w:r>
      <w:r>
        <w:rPr>
          <w:b w:val="0"/>
        </w:rPr>
        <w:t xml:space="preserve">(дата обращения: 09.10.2026).</w:t>
      </w:r>
    </w:p>
    <w:p>
      <w:pPr>
        <w:pStyle w:val="BodyText"/>
      </w:pPr>
      <w:r>
        <w:rPr>
          <w:b w:val="0"/>
        </w:rPr>
        <w:t xml:space="preserve">8 Sitronics Group. Компания Sitronics KT продемонстрировала автономное судовождение в реальных условиях. – 11.05.2021. – URL:</w:t>
      </w:r>
      <w:r>
        <w:rPr>
          <w:b w:val="0"/>
        </w:rPr>
        <w:t xml:space="preserve"> </w:t>
      </w:r>
      <w:hyperlink r:id="rId18">
        <w:r>
          <w:rPr>
            <w:rStyle w:val="Hyperlink"/>
          </w:rPr>
          <w:t xml:space="preserve">https://www.sitronics.com/reports/6966</w:t>
        </w:r>
      </w:hyperlink>
      <w:r>
        <w:rPr>
          <w:b w:val="0"/>
        </w:rPr>
        <w:t xml:space="preserve"> </w:t>
      </w:r>
      <w:r>
        <w:rPr>
          <w:b w:val="0"/>
        </w:rPr>
        <w:t xml:space="preserve">(дата обращения: 09.10.2026).</w:t>
      </w:r>
    </w:p>
    <w:p>
      <w:pPr>
        <w:pStyle w:val="BodyText"/>
      </w:pPr>
      <w:r>
        <w:rPr>
          <w:b w:val="0"/>
        </w:rPr>
        <w:t xml:space="preserve">9 Sitronics Group. В России началась коммерческая эксплуатация первого морского судна в режиме дистанционного управления: паром «Генерал Черняховский» начал автономный рейс. – 19.12.2023. – URL:</w:t>
      </w:r>
      <w:r>
        <w:rPr>
          <w:b w:val="0"/>
        </w:rPr>
        <w:t xml:space="preserve"> </w:t>
      </w:r>
      <w:hyperlink r:id="rId16">
        <w:r>
          <w:rPr>
            <w:rStyle w:val="Hyperlink"/>
          </w:rPr>
          <w:t xml:space="preserve">https://www.sitronics.com/reports/15592</w:t>
        </w:r>
      </w:hyperlink>
      <w:r>
        <w:rPr>
          <w:b w:val="0"/>
        </w:rPr>
        <w:t xml:space="preserve"> </w:t>
      </w:r>
      <w:r>
        <w:rPr>
          <w:b w:val="0"/>
        </w:rPr>
        <w:t xml:space="preserve">(дата обращения: 09.10.2026).</w:t>
      </w:r>
    </w:p>
    <w:p>
      <w:pPr>
        <w:pStyle w:val="BodyText"/>
      </w:pPr>
      <w:r>
        <w:rPr>
          <w:b w:val="0"/>
        </w:rPr>
        <w:t xml:space="preserve">10 Sitronics Group. Безэкипажный катер Sitronics KT доставил бюллетени для голосования и избирательную документацию на островные территории Архангельской области. – 15.09.2026. – URL:</w:t>
      </w:r>
      <w:r>
        <w:rPr>
          <w:b w:val="0"/>
        </w:rPr>
        <w:t xml:space="preserve"> </w:t>
      </w:r>
      <w:hyperlink r:id="rId17">
        <w:r>
          <w:rPr>
            <w:rStyle w:val="Hyperlink"/>
          </w:rPr>
          <w:t xml:space="preserve">https://www.sitronics.com/reports/18730</w:t>
        </w:r>
      </w:hyperlink>
      <w:r>
        <w:rPr>
          <w:b w:val="0"/>
        </w:rPr>
        <w:t xml:space="preserve"> </w:t>
      </w:r>
      <w:r>
        <w:rPr>
          <w:b w:val="0"/>
        </w:rPr>
        <w:t xml:space="preserve">(дата обращения: 09.10.2026).</w:t>
      </w:r>
    </w:p>
    <w:p>
      <w:pPr>
        <w:pStyle w:val="BodyText"/>
      </w:pPr>
      <w:r>
        <w:rPr>
          <w:b w:val="0"/>
        </w:rPr>
        <w:t xml:space="preserve">11 Раздел 2. Принципы организации структуры МАНС : учебный материал [Электронный ресурс] // СДО «Фарватер». – [Б. г.]. – 24 с.</w:t>
      </w:r>
    </w:p>
    <w:p>
      <w:pPr>
        <w:pStyle w:val="BodyText"/>
      </w:pPr>
      <w:r>
        <w:rPr>
          <w:b w:val="0"/>
        </w:rPr>
        <w:t xml:space="preserve">12 Раздел 4. Технические средства судовождения МАНС : учебный материал [Электронный ресурс] // СДО «Фарватер». – [Б. г.]. – 25 с.</w:t>
      </w:r>
    </w:p>
    <w:p>
      <w:pPr>
        <w:pStyle w:val="BodyText"/>
      </w:pPr>
      <w:r>
        <w:rPr>
          <w:b w:val="0"/>
        </w:rPr>
        <w:t xml:space="preserve">13 Раздел 5. Информационные потоки МАНС : учебный материал [Электронный ресурс] // СДО «Фарватер». – [Б. г.]. – 49 с.</w:t>
      </w:r>
    </w:p>
    <w:p>
      <w:pPr>
        <w:pStyle w:val="BodyText"/>
      </w:pPr>
      <w:r>
        <w:rPr>
          <w:b w:val="0"/>
        </w:rPr>
        <w:t xml:space="preserve">14 Раздел 3. Математические основы средств автономности судна : учебный материал [Электронный ресурс] // СДО «Фарватер». – [Б. г.]. – 69 с.</w:t>
      </w:r>
    </w:p>
    <w:p>
      <w:pPr>
        <w:pStyle w:val="BodyText"/>
      </w:pPr>
      <w:r>
        <w:rPr>
          <w:b w:val="0"/>
        </w:rPr>
        <w:t xml:space="preserve">15 Раздел 8. Управление МАНС : учебный материал [Электронный ресурс] // СДО «Фарватер». – [Б. г.]. – 18 с.</w:t>
      </w:r>
    </w:p>
    <w:p>
      <w:pPr>
        <w:pStyle w:val="BodyText"/>
      </w:pPr>
      <w:r>
        <w:rPr>
          <w:b w:val="0"/>
        </w:rPr>
        <w:t xml:space="preserve">16 Раздел 7. Кибербезопасность : учебный материал [Электронный ресурс] // СДО «Фарватер». – [Б. г.]. – 35 с.</w:t>
      </w:r>
    </w:p>
    <w:p>
      <w:pPr>
        <w:pStyle w:val="BodyText"/>
      </w:pPr>
      <w:r>
        <w:rPr>
          <w:b w:val="0"/>
        </w:rPr>
        <w:t xml:space="preserve">17 Fossen T. I. Fossen’s Marine Craft Model [Электронный ресурс]. – URL:</w:t>
      </w:r>
      <w:r>
        <w:rPr>
          <w:b w:val="0"/>
        </w:rPr>
        <w:t xml:space="preserve"> </w:t>
      </w:r>
      <w:hyperlink r:id="rId9">
        <w:r>
          <w:rPr>
            <w:rStyle w:val="Hyperlink"/>
          </w:rPr>
          <w:t xml:space="preserve">https://www.fossen.biz/html/marineCraftModel.html</w:t>
        </w:r>
      </w:hyperlink>
      <w:r>
        <w:rPr>
          <w:b w:val="0"/>
        </w:rPr>
        <w:t xml:space="preserve"> </w:t>
      </w:r>
      <w:r>
        <w:rPr>
          <w:b w:val="0"/>
        </w:rPr>
        <w:t xml:space="preserve">(дата обращения: 09.10.2026).</w:t>
      </w:r>
    </w:p>
    <w:p>
      <w:pPr>
        <w:pStyle w:val="BodyText"/>
      </w:pPr>
      <w:r>
        <w:rPr>
          <w:b w:val="0"/>
        </w:rPr>
        <w:t xml:space="preserve">18 United States Coast Guard Navigation Center. Navigation Rules: Amalgamated [Электронный ресурс] : международные положения правил 3 и 5–9. – URL:</w:t>
      </w:r>
      <w:r>
        <w:rPr>
          <w:b w:val="0"/>
        </w:rPr>
        <w:t xml:space="preserve"> </w:t>
      </w:r>
      <w:hyperlink r:id="rId14">
        <w:r>
          <w:rPr>
            <w:rStyle w:val="Hyperlink"/>
          </w:rPr>
          <w:t xml:space="preserve">https://www.navcen.uscg.gov/navigation-rules-amalgamated</w:t>
        </w:r>
      </w:hyperlink>
      <w:r>
        <w:rPr>
          <w:b w:val="0"/>
        </w:rPr>
        <w:t xml:space="preserve"> </w:t>
      </w:r>
      <w:r>
        <w:rPr>
          <w:b w:val="0"/>
        </w:rPr>
        <w:t xml:space="preserve">(дата обращения: 09.10.2026).</w:t>
      </w:r>
    </w:p>
    <w:p>
      <w:pPr>
        <w:pStyle w:val="BodyText"/>
      </w:pPr>
      <w:r>
        <w:rPr>
          <w:b w:val="0"/>
        </w:rPr>
        <w:t xml:space="preserve">19 Alamoush A. S., Ölçer A. I. Maritime Autonomous Surface Ships: Architecture for Autonomous Navigation Systems // Journal of Marine Science and Engineering. – 2025. – Vol. 13, no. 1. – Art. 122. – DOI: 10.3390/jmse13010122. – URL:</w:t>
      </w:r>
      <w:r>
        <w:rPr>
          <w:b w:val="0"/>
        </w:rPr>
        <w:t xml:space="preserve"> </w:t>
      </w:r>
      <w:hyperlink r:id="rId13">
        <w:r>
          <w:rPr>
            <w:rStyle w:val="Hyperlink"/>
          </w:rPr>
          <w:t xml:space="preserve">https://www.mdpi.com/2077-1312/13/1/122</w:t>
        </w:r>
      </w:hyperlink>
      <w:r>
        <w:rPr>
          <w:b w:val="0"/>
        </w:rPr>
        <w:t xml:space="preserve"> </w:t>
      </w:r>
      <w:r>
        <w:rPr>
          <w:b w:val="0"/>
        </w:rPr>
        <w:t xml:space="preserve">(дата обращения: 09.10.2026).</w:t>
      </w:r>
    </w:p>
    <w:p>
      <w:pPr>
        <w:pStyle w:val="BodyText"/>
      </w:pPr>
      <w:r>
        <w:rPr>
          <w:b w:val="0"/>
        </w:rPr>
        <w:t xml:space="preserve">20 Международная морская организация. Введение в ИМО [Электронный ресурс]. – URL:</w:t>
      </w:r>
      <w:r>
        <w:rPr>
          <w:b w:val="0"/>
        </w:rPr>
        <w:t xml:space="preserve"> </w:t>
      </w:r>
      <w:hyperlink r:id="rId12">
        <w:r>
          <w:rPr>
            <w:rStyle w:val="Hyperlink"/>
          </w:rPr>
          <w:t xml:space="preserve">https://www.imo.org/ru/About/Pages/Default.aspx</w:t>
        </w:r>
      </w:hyperlink>
      <w:r>
        <w:rPr>
          <w:b w:val="0"/>
        </w:rPr>
        <w:t xml:space="preserve"> </w:t>
      </w:r>
      <w:r>
        <w:rPr>
          <w:b w:val="0"/>
        </w:rPr>
        <w:t xml:space="preserve">(дата обращения: 11.10.2026).</w:t>
      </w:r>
    </w:p>
    <w:p>
      <w:pPr>
        <w:pStyle w:val="BodyText"/>
      </w:pPr>
      <w:r>
        <w:rPr>
          <w:b w:val="0"/>
        </w:rPr>
        <w:t xml:space="preserve">21 Fossen T. I. Python Vehicle Simulator : README и исходный код [Электронный ресурс]. – Версия a93d1938ba1f, 26.09.2026. – URL:</w:t>
      </w:r>
      <w:r>
        <w:rPr>
          <w:b w:val="0"/>
        </w:rPr>
        <w:t xml:space="preserve"> </w:t>
      </w:r>
      <w:hyperlink r:id="rId8">
        <w:r>
          <w:rPr>
            <w:rStyle w:val="Hyperlink"/>
          </w:rPr>
          <w:t xml:space="preserve">https://github.com/cybergalactic/PythonVehicleSimulator/tree/a93d1938ba1f78f2580c24c73f003091b2f03cd0</w:t>
        </w:r>
      </w:hyperlink>
      <w:r>
        <w:rPr>
          <w:b w:val="0"/>
        </w:rPr>
        <w:t xml:space="preserve"> </w:t>
      </w:r>
      <w:r>
        <w:rPr>
          <w:b w:val="0"/>
        </w:rPr>
        <w:t xml:space="preserve">(дата обращения: 11.10.2026).</w:t>
      </w:r>
    </w:p>
    <w:bookmarkEnd w:id="46"/>
    <w:sectPr w:rsidR="00641AE4" w:rsidRPr="00074D54">
      <w:headerReference w:type="default" r:id="rId23"/>
      <w:headerReference w:type="first" r:id="rId24"/>
      <w:footerReference w:type="default" r:id="rId25"/>
      <w:footerReference w:type="first" r:id="rId26"/>
      <w:pgSz w:w="11906" w:h="16838"/>
      <w:pgMar w:top="1134" w:right="850" w:bottom="1134" w:left="1701" w:header="567" w:footer="567" w:gutter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line="240" w:lineRule="auto"/>
      <w:ind w:firstLine="0"/>
      <w:jc w:val="center"/>
    </w:pPr>
    <w:fldSimple w:instr="PAGE">
      <w:r>
        <w:rPr>
          <w:rFonts w:ascii="Times New Roman" w:hAnsi="Times New Roman"/>
          <w:sz w:val="24"/>
        </w:rPr>
        <w:t>2</w:t>
      </w:r>
    </w:fldSimple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/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/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/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74D54"/>
    <w:rsid w:val="00074D54"/>
    <w:rsid w:val="0053207F"/>
    <w:rsid w:val="005513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963D628"/>
  <w15:chartTrackingRefBased/>
  <w15:docId w15:val="{BA6BB399-EC43-4C80-BF6A-3062B1EBD8DE}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customStyle="1" w:styleId="VKRTitlePage">
    <w:name w:val="VKR Title Page"/>
    <w:pPr>
      <w:spacing w:line="276" w:lineRule="auto" w:before="0" w:after="0"/>
      <w:ind w:firstLine="0"/>
    </w:pPr>
    <w:rPr>
      <w:rFonts w:ascii="Times New Roman" w:hAnsi="Times New Roman"/>
      <w:sz w:val="24"/>
    </w:rPr>
  </w:style>
  <w:style w:default="1" w:styleId="Normal" w:type="paragraph">
    <w:name w:val="Normal"/>
    <w:qFormat/>
    <w:rsid w:val="00FC693F"/>
    <w:pPr>
      <w:spacing w:after="0" w:before="0" w:line="360" w:lineRule="auto"/>
      <w:ind w:firstLine="709"/>
      <w:jc w:val="both"/>
    </w:pPr>
    <w:rPr>
      <w:rFonts w:ascii="Times New Roman" w:eastAsia="Times New Roman" w:hAnsi="Times New Roman"/>
      <w:b w:val="0"/>
      <w:i w:val="0"/>
      <w:color w:val="000000"/>
      <w:sz w:val="28"/>
      <w:lang w:val="ru-RU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pageBreakBefore/>
      <w:spacing w:after="120" w:before="240" w:line="360" w:lineRule="auto"/>
      <w:ind w:firstLine="0"/>
      <w:jc w:val="center"/>
      <w:outlineLvl w:val="0"/>
    </w:pPr>
    <w:rPr>
      <w:rFonts w:ascii="Times New Roman" w:asciiTheme="majorHAnsi" w:cstheme="majorBidi" w:eastAsia="Times New Roman" w:eastAsiaTheme="majorEastAsia" w:hAnsi="Times New Roman" w:hAnsiTheme="majorHAnsi"/>
      <w:b/>
      <w:bCs/>
      <w:i w:val="0"/>
      <w:color w:val="000000"/>
      <w:sz w:val="28"/>
      <w:szCs w:val="28"/>
      <w:lang w:val="ru-RU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pageBreakBefore w:val="0"/>
      <w:spacing w:after="120" w:before="240" w:line="360" w:lineRule="auto"/>
      <w:ind w:firstLine="0"/>
      <w:jc w:val="center"/>
      <w:outlineLvl w:val="1"/>
    </w:pPr>
    <w:rPr>
      <w:rFonts w:ascii="Times New Roman" w:asciiTheme="majorHAnsi" w:cstheme="majorBidi" w:eastAsia="Times New Roman" w:eastAsiaTheme="majorEastAsia" w:hAnsi="Times New Roman" w:hAnsiTheme="majorHAnsi"/>
      <w:b/>
      <w:bCs/>
      <w:i w:val="0"/>
      <w:color w:val="000000"/>
      <w:sz w:val="28"/>
      <w:szCs w:val="26"/>
      <w:lang w:val="ru-RU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40" w:line="360" w:lineRule="auto"/>
      <w:ind w:firstLine="0"/>
      <w:jc w:val="center"/>
      <w:outlineLvl w:val="2"/>
    </w:pPr>
    <w:rPr>
      <w:rFonts w:ascii="Times New Roman" w:asciiTheme="majorHAnsi" w:cstheme="majorBidi" w:eastAsia="Times New Roman" w:eastAsiaTheme="majorEastAsia" w:hAnsi="Times New Roman" w:hAnsiTheme="majorHAnsi"/>
      <w:b/>
      <w:bCs/>
      <w:i w:val="0"/>
      <w:color w:val="000000"/>
      <w:sz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60" w:before="120" w:line="360" w:lineRule="auto"/>
      <w:ind w:firstLine="0"/>
      <w:jc w:val="center"/>
      <w:outlineLvl w:val="3"/>
    </w:pPr>
    <w:rPr>
      <w:rFonts w:ascii="Times New Roman" w:asciiTheme="majorHAnsi" w:cstheme="majorBidi" w:eastAsia="Times New Roman" w:eastAsiaTheme="majorEastAsia" w:hAnsi="Times New Roman" w:hAnsiTheme="majorHAnsi"/>
      <w:b/>
      <w:bCs/>
      <w:i w:val="0"/>
      <w:iCs/>
      <w:color w:val="000000"/>
      <w:sz w:val="28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20" w:before="240" w:line="360" w:lineRule="auto"/>
      <w:ind w:firstLine="0"/>
      <w:contextualSpacing/>
      <w:jc w:val="center"/>
    </w:pPr>
    <w:rPr>
      <w:rFonts w:ascii="Times New Roman" w:asciiTheme="majorHAnsi" w:cstheme="majorBidi" w:eastAsia="Times New Roman" w:eastAsiaTheme="majorEastAsia" w:hAnsi="Times New Roman" w:hAnsiTheme="majorHAnsi"/>
      <w:b/>
      <w:i w:val="0"/>
      <w:color w:val="000000"/>
      <w:spacing w:val="5"/>
      <w:kern w:val="28"/>
      <w:sz w:val="28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after="120" w:before="240" w:line="360" w:lineRule="auto"/>
      <w:ind w:firstLine="0"/>
      <w:jc w:val="center"/>
    </w:pPr>
    <w:rPr>
      <w:rFonts w:ascii="Times New Roman" w:asciiTheme="majorHAnsi" w:cstheme="majorBidi" w:eastAsia="Times New Roman" w:eastAsiaTheme="majorEastAsia" w:hAnsi="Times New Roman" w:hAnsiTheme="majorHAnsi"/>
      <w:b w:val="0"/>
      <w:i w:val="0"/>
      <w:iCs/>
      <w:color w:val="000000"/>
      <w:spacing w:val="15"/>
      <w:sz w:val="28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0" w:before="0" w:line="360" w:lineRule="auto"/>
      <w:ind w:firstLine="709"/>
      <w:jc w:val="both"/>
    </w:pPr>
    <w:rPr>
      <w:rFonts w:ascii="Times New Roman" w:eastAsia="Times New Roman" w:hAnsi="Times New Roman"/>
      <w:b w:val="0"/>
      <w:i w:val="0"/>
      <w:color w:val="000000"/>
      <w:sz w:val="28"/>
      <w:lang w:val="ru-RU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after="0" w:before="0" w:line="360" w:lineRule="auto"/>
      <w:ind w:firstLine="709"/>
      <w:jc w:val="both"/>
    </w:pPr>
    <w:rPr>
      <w:rFonts w:ascii="Times New Roman" w:eastAsia="Times New Roman" w:hAnsi="Times New Roman"/>
      <w:b w:val="0"/>
      <w:bCs/>
      <w:i w:val="0"/>
      <w:color w:val="000000"/>
      <w:sz w:val="24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FirstParagraph" w:type="paragraph">
    <w:name w:val="First Paragraph"/>
    <w:basedOn w:val="Normal"/>
    <w:pPr>
      <w:spacing w:after="0" w:before="0" w:line="360" w:lineRule="auto"/>
      <w:ind w:firstLine="709"/>
      <w:jc w:val="both"/>
    </w:pPr>
    <w:rPr>
      <w:rFonts w:ascii="Times New Roman" w:eastAsia="Times New Roman" w:hAnsi="Times New Roman"/>
      <w:b w:val="0"/>
      <w:i w:val="0"/>
      <w:color w:val="000000"/>
      <w:sz w:val="28"/>
      <w:lang w:val="ru-RU"/>
    </w:rPr>
  </w:style>
  <w:style w:customStyle="1" w:styleId="Hyperlink" w:type="character">
    <w:name w:val="Hyperlink"/>
    <w:rPr>
      <w:rFonts w:ascii="Times New Roman" w:hAnsi="Times New Roman"/>
      <w:color w:val="000000"/>
      <w:sz w:val="28"/>
      <w:u w:val="none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  <w:style w:type="paragraph" w:customStyle="1" w:styleId="VKRFrontHeading">
    <w:name w:val="VKR Front Heading"/>
    <w:basedOn w:val="Normal"/>
    <w:pPr>
      <w:keepNext/>
      <w:pageBreakBefore/>
      <w:spacing w:before="0" w:after="280" w:line="360" w:lineRule="auto"/>
      <w:ind w:firstLine="0"/>
      <w:jc w:val="center"/>
      <w:outlineLvl w:val="9"/>
    </w:pPr>
    <w:rPr>
      <w:rFonts w:ascii="Times New Roman" w:hAnsi="Times New Roman"/>
      <w:b/>
      <w:color w:val="000000"/>
      <w:sz w:val="28"/>
    </w:rPr>
  </w:style>
  <w:style w:type="paragraph" w:customStyle="1" w:styleId="VKRStructuralHeading">
    <w:name w:val="VKR Structural Heading"/>
    <w:basedOn w:val="Normal"/>
    <w:pPr>
      <w:keepNext/>
      <w:pageBreakBefore/>
      <w:spacing w:before="0" w:after="280" w:line="360" w:lineRule="auto"/>
      <w:ind w:firstLine="0"/>
      <w:jc w:val="center"/>
      <w:outlineLvl w:val="0"/>
    </w:pPr>
    <w:rPr>
      <w:rFonts w:ascii="Times New Roman" w:hAnsi="Times New Roman"/>
      <w:b/>
      <w:color w:val="000000"/>
      <w:sz w:val="28"/>
    </w:rPr>
  </w:style>
  <w:style w:type="paragraph" w:customStyle="1" w:styleId="VKRTOCEntry">
    <w:name w:val="VKR TOC Entry"/>
    <w:basedOn w:val="Normal"/>
    <w:pPr>
      <w:keepLines/>
      <w:tabs>
        <w:tab w:pos="9354" w:val="right" w:leader="dot"/>
      </w:tabs>
      <w:spacing w:before="0" w:after="0" w:line="360" w:lineRule="auto"/>
      <w:ind w:firstLine="0"/>
      <w:jc w:val="left"/>
      <w:outlineLvl w:val="9"/>
    </w:pPr>
    <w:rPr>
      <w:rFonts w:ascii="Times New Roman" w:hAnsi="Times New Roman"/>
      <w:b w:val="0"/>
      <w:color w:val="000000"/>
      <w:sz w:val="28"/>
    </w:rPr>
  </w:style>
  <w:style w:type="paragraph" w:customStyle="1" w:styleId="VKRAbbreviation">
    <w:name w:val="VKR Abbreviation"/>
    <w:basedOn w:val="Normal"/>
    <w:pPr>
      <w:tabs>
        <w:tab w:pos="1701" w:val="left"/>
      </w:tabs>
      <w:spacing w:before="0" w:after="0" w:line="360" w:lineRule="auto"/>
      <w:ind w:left="1701" w:hanging="1701"/>
      <w:jc w:val="left"/>
      <w:outlineLvl w:val="9"/>
    </w:pPr>
    <w:rPr>
      <w:rFonts w:ascii="Times New Roman" w:hAnsi="Times New Roman"/>
      <w:b w:val="0"/>
      <w:color w:val="000000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eg"/><Relationship Id="rId7" Type="http://schemas.openxmlformats.org/officeDocument/2006/relationships/numbering" Target="numbering.xml"/><Relationship Id="rId8" Type="http://schemas.openxmlformats.org/officeDocument/2006/relationships/hyperlink" Target="https://github.com/cybergalactic/PythonVehicleSimulator/tree/a93d1938ba1f78f2580c24c73f003091b2f03cd0" TargetMode="External"/><Relationship Id="rId9" Type="http://schemas.openxmlformats.org/officeDocument/2006/relationships/hyperlink" Target="https://www.fossen.biz/html/marineCraftModel.html" TargetMode="External"/><Relationship Id="rId10" Type="http://schemas.openxmlformats.org/officeDocument/2006/relationships/hyperlink" Target="https://www.imo.org/en/about/conventions/pages/colreg.aspx" TargetMode="External"/><Relationship Id="rId11" Type="http://schemas.openxmlformats.org/officeDocument/2006/relationships/hyperlink" Target="https://www.imo.org/en/mediacentre/hottopics/pages/autonomous-shipping.aspx" TargetMode="External"/><Relationship Id="rId12" Type="http://schemas.openxmlformats.org/officeDocument/2006/relationships/hyperlink" Target="https://www.imo.org/ru/About/Pages/Default.aspx" TargetMode="External"/><Relationship Id="rId13" Type="http://schemas.openxmlformats.org/officeDocument/2006/relationships/hyperlink" Target="https://www.mdpi.com/2077-1312/13/1/122" TargetMode="External"/><Relationship Id="rId14" Type="http://schemas.openxmlformats.org/officeDocument/2006/relationships/hyperlink" Target="https://www.navcen.uscg.gov/navigation-rules-amalgamated" TargetMode="External"/><Relationship Id="rId15" Type="http://schemas.openxmlformats.org/officeDocument/2006/relationships/hyperlink" Target="https://www.sitronics.com/reports/15295" TargetMode="External"/><Relationship Id="rId16" Type="http://schemas.openxmlformats.org/officeDocument/2006/relationships/hyperlink" Target="https://www.sitronics.com/reports/15592" TargetMode="External"/><Relationship Id="rId17" Type="http://schemas.openxmlformats.org/officeDocument/2006/relationships/hyperlink" Target="https://www.sitronics.com/reports/18730" TargetMode="External"/><Relationship Id="rId18" Type="http://schemas.openxmlformats.org/officeDocument/2006/relationships/hyperlink" Target="https://www.sitronics.com/reports/6966" TargetMode="External"/><Relationship Id="rId19" Type="http://schemas.openxmlformats.org/officeDocument/2006/relationships/hyperlink" Target="https://wwwcdn.imo.org/localresources/en/KnowledgeCentre/IndexofIMOResolutions/AssemblyDocuments/A.893(21).pdf" TargetMode="External"/><Relationship Id="rId20" Type="http://schemas.openxmlformats.org/officeDocument/2006/relationships/hyperlink" Target="https://wwwcdn.imo.org/localresources/en/MediaCentre/Documents/MSC%20111-22-Annex%2016%20(Secretariat).pdf" TargetMode="External"/><Relationship Id="rId21" Type="http://schemas.openxmlformats.org/officeDocument/2006/relationships/hyperlink" Target="https://wwwcdn.imo.org/localresources/en/MediaCentre/Documents/MSC.1-Circ.1638%20-%20Outcome%20Of%20The%20Regulatory%20Scoping%20ExerciseFor%20The%20Use%20Of%20Maritime%20Autonomous%20Surface%20Ships...%20(Secretariat).pdf" TargetMode="External"/><Relationship Id="rId22" Type="http://schemas.openxmlformats.org/officeDocument/2006/relationships/hyperlink" Target="https://wwwcdn.imo.org/localresources/en/MediaCentre/HotTopics/Documents/MSC.1-Circ.1604%20-%20Interim%20Guidelines%20For%20Mass%20Trials%20%28Secretariat%29.pdf" TargetMode="External"/><Relationship Id="rId23" Type="http://schemas.openxmlformats.org/officeDocument/2006/relationships/header" Target="header1.xml"/><Relationship Id="rId24" Type="http://schemas.openxmlformats.org/officeDocument/2006/relationships/header" Target="header2.xml"/><Relationship Id="rId25" Type="http://schemas.openxmlformats.org/officeDocument/2006/relationships/footer" Target="footer1.xml"/><Relationship Id="rId26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203</Words>
  <Characters>1161</Characters>
  <Application>Microsoft Office Word</Application>
  <DocSecurity>0</DocSecurity>
  <Lines>9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Ушакова Ксения Сергеевна</dc:creator>
  <cp:keywords/>
  <dc:description/>
  <cp:lastModifiedBy>Ушакова Ксения Сергеевна</cp:lastModifiedBy>
  <cp:revision>1</cp:revision>
  <dcterms:created xsi:type="dcterms:W3CDTF">2025-10-28T06:22:00Z</dcterms:created>
  <dcterms:modified xsi:type="dcterms:W3CDTF">2025-10-28T06:22:00Z</dcterms:modified>
</cp:coreProperties>
</file>