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c99342c9479794a5dddc33aa48fda055ec6a79c"/>
    <w:p>
      <w:pPr>
        <w:pStyle w:val="Heading1"/>
      </w:pPr>
      <w:r>
        <w:t>Подробный рабочий план выпускной квалификационной работы</w:t>
      </w:r>
    </w:p>
    <w:p>
      <w:pPr>
        <w:pStyle w:val="FirstParagraph"/>
      </w:pPr>
      <w:r>
        <w:rPr>
          <w:b w:val="0"/>
        </w:rPr>
        <w:t xml:space="preserve">Тема: «Исследование и анализ применения технологий автономного судовождения (MASS) при плавании в узкостях и перспективы их внедрения на морском флоте».</w:t>
      </w:r>
    </w:p>
    <w:p>
      <w:pPr>
        <w:pStyle w:val="BodyText"/>
      </w:pPr>
      <w:r>
        <w:rPr>
          <w:b w:val="0"/>
        </w:rPr>
        <w:t xml:space="preserve">Редакция от 09.10.2026 после обсуждения с автором. Пользователь поддержал четыре главы, отдельную российскую главу, зарубежный подраздел после неё и районный пример в конце; дополнительно попросил отдельно раскрыть понятие узкости. Для преподавателя подготовлено краткое содержание contents-plan.md и .docx. Этот план не является утверждённым кафедральным заданием. Текущий диплом приведён к этой нумерации; полный план включён в содержание основного Word.</w:t>
      </w:r>
    </w:p>
    <w:bookmarkStart w:id="20" w:name="исследовательский-замысел"/>
    <w:p>
      <w:pPr>
        <w:pStyle w:val="Heading2"/>
      </w:pPr>
      <w:r>
        <w:t>1 ИССЛЕДОВАТЕЛЬСКИЙ ЗАМЫСЕЛ</w:t>
      </w:r>
    </w:p>
    <w:p>
      <w:pPr>
        <w:pStyle w:val="FirstParagraph"/>
      </w:pPr>
      <w:r>
        <w:rPr>
          <w:b w:val="0"/>
        </w:rPr>
        <w:t xml:space="preserve">Исследовательский вопрос: какие условия, технические функции и организационные меры определяют применимость автономного судовождения в узкостях и какие ограничения подтверждаются российским и зарубежным опытом?</w:t>
      </w:r>
    </w:p>
    <w:p>
      <w:pPr>
        <w:pStyle w:val="BodyText"/>
      </w:pPr>
      <w:r>
        <w:rPr>
          <w:b w:val="0"/>
        </w:rPr>
        <w:t xml:space="preserve">Цель: определить условия и ограничения применения технологий автономного судовождения при плавании в узкостях и обосновать направления их внедрения на морском флоте на основе анализа нормативных требований, документированных проектов и навигационных ситуаций.</w:t>
      </w:r>
    </w:p>
    <w:p>
      <w:pPr>
        <w:pStyle w:val="BodyText"/>
      </w:pPr>
      <w:r>
        <w:rPr>
          <w:b w:val="0"/>
        </w:rPr>
        <w:t xml:space="preserve">Объект: применение технологий автономного судовождения на морских судах. Предмет: функции обнаружения опасности, оценки навигационной обстановки и управления движением в условиях ограниченного пространства, а также условия распределения управления между системой и человеком.</w:t>
      </w:r>
    </w:p>
    <w:p>
      <w:pPr>
        <w:pStyle w:val="BodyText"/>
      </w:pPr>
      <w:r>
        <w:rPr>
          <w:b w:val="0"/>
        </w:rPr>
        <w:t xml:space="preserve">Задачи по главам: (1) установить терминологическую, техническую и нормативную основу; (2) систематизировать российский опыт; (3) сопоставить его с японскими примерами и оценить применимость функций по сценариям; (4) обосновать условия внедрения, изменение роли экипажа и применить анализ к одному району. После согласования плана задачи введения следует привести к этой редакции. Собственные результаты, эффективность и научная новизна заранее не заявляются.</w:t>
      </w:r>
    </w:p>
    <w:bookmarkEnd w:id="20"/>
    <w:bookmarkStart w:id="45" w:name="подробное-содержание"/>
    <w:p>
      <w:pPr>
        <w:pStyle w:val="Heading2"/>
      </w:pPr>
      <w:r>
        <w:t>2 ПОДРОБНОЕ СОДЕРЖАНИЕ</w:t>
      </w:r>
    </w:p>
    <w:bookmarkStart w:id="21" w:name="введение"/>
    <w:p>
      <w:pPr>
        <w:pStyle w:val="Heading3"/>
      </w:pPr>
      <w:r>
        <w:t>Введение</w:t>
      </w:r>
    </w:p>
    <w:p>
      <w:pPr>
        <w:pStyle w:val="FirstParagraph"/>
      </w:pPr>
      <w:r>
        <w:rPr>
          <w:b w:val="0"/>
        </w:rPr>
        <w:t xml:space="preserve">Обосновать актуальность через навигационные задачи, сформулировать цель, объект, предмет, задачи, методы и границы исследования. Заключительную редакцию согласовать с реально выполненным анализом.</w:t>
      </w:r>
    </w:p>
    <w:bookmarkEnd w:id="21"/>
    <w:bookmarkStart w:id="27" w:name="X32bd3c32c28b10d1426470eb95294bd15528921"/>
    <w:p>
      <w:pPr>
        <w:pStyle w:val="Heading3"/>
      </w:pPr>
      <w:r>
        <w:t>1 Теоретические основы автономного судовождения и проблемы его применения в узкостях</w:t>
      </w:r>
    </w:p>
    <w:bookmarkStart w:id="22" w:name="X7b31ea6e53ab8844eccc02b084767730395f649"/>
    <w:p>
      <w:pPr>
        <w:pStyle w:val="Heading4"/>
      </w:pPr>
      <w:r>
        <w:t>1.1 Основные понятия и режимы автономного судовождения</w:t>
      </w:r>
    </w:p>
    <w:p>
      <w:pPr>
        <w:pStyle w:val="FirstParagraph"/>
      </w:pPr>
      <w:r>
        <w:rPr>
          <w:b w:val="0"/>
        </w:rPr>
        <w:t xml:space="preserve">Раскрыть автономность, автоматизацию, дистанционное управление и участие человека. Датировать используемую классификацию и не смешивать описание функции с юридическим статусом судна.</w:t>
      </w:r>
    </w:p>
    <w:p>
      <w:pPr>
        <w:pStyle w:val="BodyText"/>
      </w:pPr>
      <w:r>
        <w:rPr>
          <w:b w:val="0"/>
        </w:rPr>
        <w:t xml:space="preserve">Опора и пробелы: S001–S003: международные первичные документы и официальный обзор; определения и историческая классификация уже частично проверены.</w:t>
      </w:r>
    </w:p>
    <w:bookmarkEnd w:id="22"/>
    <w:bookmarkStart w:id="23" w:name="Xb74daba4e2737b0bcd57a7b90b6a6e8a4fa6c33"/>
    <w:p>
      <w:pPr>
        <w:pStyle w:val="Heading4"/>
      </w:pPr>
      <w:r>
        <w:t>1.2 Понятие узкости и связанные навигационные понятия</w:t>
      </w:r>
    </w:p>
    <w:p>
      <w:pPr>
        <w:pStyle w:val="FirstParagraph"/>
      </w:pPr>
      <w:r>
        <w:rPr>
          <w:b w:val="0"/>
        </w:rPr>
        <w:t xml:space="preserve">Дать определения узкости, узкого прохода, фарватера, канала и пролива по проверенным источникам. Объяснить соотношение этих понятий, их навигационное и правовое употребление; показать значение доступного пространства относительно размеров и маневренных характеристик судна. Не назначать произвольный универсальный порог ширины и не считать перечисленные понятия взаимозаменяемыми без обоснования.</w:t>
      </w:r>
    </w:p>
    <w:p>
      <w:pPr>
        <w:pStyle w:val="BodyText"/>
      </w:pPr>
      <w:r>
        <w:rPr>
          <w:b w:val="0"/>
        </w:rPr>
        <w:t xml:space="preserve">Опора и пробелы: Нужны профильный учебник судовождения с установленными выходными данными, полный текст применимых правил и при необходимости официальные определения. S005 — только обзор правил; S006 — планирование рейса. Они не закрывают весь терминологический подраздел.</w:t>
      </w:r>
    </w:p>
    <w:bookmarkEnd w:id="23"/>
    <w:bookmarkStart w:id="24" w:name="X83d7aac569ed95c53c7107b55002bc49911352e"/>
    <w:p>
      <w:pPr>
        <w:pStyle w:val="Heading4"/>
      </w:pPr>
      <w:r>
        <w:t>1.3 Технические средства и принципы работы автономной системы судовождения</w:t>
      </w:r>
    </w:p>
    <w:p>
      <w:pPr>
        <w:pStyle w:val="FirstParagraph"/>
      </w:pPr>
      <w:r>
        <w:rPr>
          <w:b w:val="0"/>
        </w:rPr>
        <w:t xml:space="preserve">Объяснить получение данных, обнаружение и сопровождение объектов, оценку обстановки, планирование и исполнение движения. Рассмотреть связь, контроль и передачу управления; описание отдельного комплекса не обобщать на все суда.</w:t>
      </w:r>
    </w:p>
    <w:p>
      <w:pPr>
        <w:pStyle w:val="BodyText"/>
      </w:pPr>
      <w:r>
        <w:rPr>
          <w:b w:val="0"/>
        </w:rPr>
        <w:t xml:space="preserve">Опора и пробелы: S001 и выбранные фрагменты S012–S017; требуются научные работы по обнаружению, согласованию наблюдений и оценке неопределённости.</w:t>
      </w:r>
    </w:p>
    <w:bookmarkEnd w:id="24"/>
    <w:bookmarkStart w:id="25" w:name="Xbcd0a5bef6fe0c0ee0b7b7193d27d08188580c1"/>
    <w:p>
      <w:pPr>
        <w:pStyle w:val="Heading4"/>
      </w:pPr>
      <w:r>
        <w:t>1.4 Основные навигационные проблемы при плавании в узкостях</w:t>
      </w:r>
    </w:p>
    <w:p>
      <w:pPr>
        <w:pStyle w:val="FirstParagraph"/>
      </w:pPr>
      <w:r>
        <w:rPr>
          <w:b w:val="0"/>
        </w:rPr>
        <w:t xml:space="preserve">Связать ограничения пути и глубин со встречным движением, изгибами, условиями видимости и временем на решение. Сформировать перечень задач обнаружения опасности и понимания обстановки. Термины из 1.2 здесь используются, а не определяются повторно.</w:t>
      </w:r>
    </w:p>
    <w:p>
      <w:pPr>
        <w:pStyle w:val="BodyText"/>
      </w:pPr>
      <w:r>
        <w:rPr>
          <w:b w:val="0"/>
        </w:rPr>
        <w:t xml:space="preserve">Опора и пробелы: S001, S005–S006; для точного правового разбора нужен полный текст правил, для технических утверждений — исследования и навигационная литература.</w:t>
      </w:r>
    </w:p>
    <w:bookmarkEnd w:id="25"/>
    <w:bookmarkStart w:id="26" w:name="X17631ca83a6682466278d36fac8f1e6388f32dc"/>
    <w:p>
      <w:pPr>
        <w:pStyle w:val="Heading4"/>
      </w:pPr>
      <w:r>
        <w:t>1.5 Международные требования к безопасности автономного судовождения</w:t>
      </w:r>
    </w:p>
    <w:p>
      <w:pPr>
        <w:pStyle w:val="FirstParagraph"/>
      </w:pPr>
      <w:r>
        <w:rPr>
          <w:b w:val="0"/>
        </w:rPr>
        <w:t xml:space="preserve">Рассмотреть наблюдение, предупреждение столкновений, планирование перехода, эксплуатационные границы, испытания и человеческий контроль. Для каждого документа установить дату, статус и область действия; российские условия конкретизируются в 2.4.</w:t>
      </w:r>
    </w:p>
    <w:p>
      <w:pPr>
        <w:pStyle w:val="BodyText"/>
      </w:pPr>
      <w:r>
        <w:rPr>
          <w:b w:val="0"/>
        </w:rPr>
        <w:t xml:space="preserve">Опора и пробелы: S001–S006. Кодекс MASS 2026 года не выдавать за универсальный обязательный режим; применимость норм к судну проверять отдельно.</w:t>
      </w:r>
    </w:p>
    <w:bookmarkEnd w:id="26"/>
    <w:bookmarkEnd w:id="27"/>
    <w:bookmarkStart w:id="32" w:name="Xecb2f83da9f9d6c6e101603d0090d8ab0d185de"/>
    <w:p>
      <w:pPr>
        <w:pStyle w:val="Heading3"/>
      </w:pPr>
      <w:r>
        <w:t>2 Российский опыт разработки и применения технологий автономного судовождения</w:t>
      </w:r>
    </w:p>
    <w:bookmarkStart w:id="28" w:name="X47a90e6a9021bb1f4ef54dd3048c7f47bf53a52"/>
    <w:p>
      <w:pPr>
        <w:pStyle w:val="Heading4"/>
      </w:pPr>
      <w:r>
        <w:t>2.1 Развитие автономного судовождения в России и основные проекты</w:t>
      </w:r>
    </w:p>
    <w:p>
      <w:pPr>
        <w:pStyle w:val="FirstParagraph"/>
      </w:pPr>
      <w:r>
        <w:rPr>
          <w:b w:val="0"/>
        </w:rPr>
        <w:t xml:space="preserve">Представить отобранные российские проекты, участников и этапы развития. Краткие карточки отвечают на вопросы, что разработано, для какого судна и когда; техническое устройство и результаты подробно рассматриваются в следующих подразделах.</w:t>
      </w:r>
    </w:p>
    <w:p>
      <w:pPr>
        <w:pStyle w:val="BodyText"/>
      </w:pPr>
      <w:r>
        <w:rPr>
          <w:b w:val="0"/>
        </w:rPr>
        <w:t xml:space="preserve">Опора и пробелы: S007–S010: сообщения участника нескольких проектов. Необходимы расширение российской выборки и материалы эксплуатантов.</w:t>
      </w:r>
    </w:p>
    <w:bookmarkEnd w:id="28"/>
    <w:bookmarkStart w:id="29" w:name="Xfa03b821a3d04b2b82eba457d14d08fe6c4446c"/>
    <w:p>
      <w:pPr>
        <w:pStyle w:val="Heading4"/>
      </w:pPr>
      <w:r>
        <w:t>2.2 Российские технические решения и реализованные навигационные функции</w:t>
      </w:r>
    </w:p>
    <w:p>
      <w:pPr>
        <w:pStyle w:val="FirstParagraph"/>
      </w:pPr>
      <w:r>
        <w:rPr>
          <w:b w:val="0"/>
        </w:rPr>
        <w:t xml:space="preserve">Разобрать подтверждённые функции российских комплексов, средства наблюдения, оценку обстановки и распределение задач между системой, экипажем и береговым оператором. Отделить заявленное назначение оборудования от проверенной работоспособности.</w:t>
      </w:r>
    </w:p>
    <w:p>
      <w:pPr>
        <w:pStyle w:val="BodyText"/>
      </w:pPr>
      <w:r>
        <w:rPr>
          <w:b w:val="0"/>
        </w:rPr>
        <w:t xml:space="preserve">Опора и пробелы: S007–S010, применимые фрагменты S012–S017; нужны первичные технические документы конкретных проектов.</w:t>
      </w:r>
    </w:p>
    <w:bookmarkEnd w:id="29"/>
    <w:bookmarkStart w:id="30" w:name="X2c06ba4c338109fe3e1cc2c55bd0936aebb2127"/>
    <w:p>
      <w:pPr>
        <w:pStyle w:val="Heading4"/>
      </w:pPr>
      <w:r>
        <w:t>2.3 Испытания и эксплуатация российских систем: результаты и ограничения</w:t>
      </w:r>
    </w:p>
    <w:p>
      <w:pPr>
        <w:pStyle w:val="FirstParagraph"/>
      </w:pPr>
      <w:r>
        <w:rPr>
          <w:b w:val="0"/>
        </w:rPr>
        <w:t xml:space="preserve">Сопоставить датированные эпизоды по судну, району, режиму, наличию экипажа и описанному результату. Отдельно установить, что действительно испытано в узкостях. Различать демонстрацию, испытание, начало рейса и подтверждённую эксплуатацию.</w:t>
      </w:r>
    </w:p>
    <w:p>
      <w:pPr>
        <w:pStyle w:val="BodyText"/>
      </w:pPr>
      <w:r>
        <w:rPr>
          <w:b w:val="0"/>
        </w:rPr>
        <w:t xml:space="preserve">Опора и пробелы: S007–S010 ограничены заявлениями участника; нужны протоколы, документы одобрения и сведения эксплуатантов. Отсутствие публикации не доказывает отсутствие функции.</w:t>
      </w:r>
    </w:p>
    <w:bookmarkEnd w:id="30"/>
    <w:bookmarkStart w:id="31" w:name="X075c319b15b3c74495d153d38fd6da909ae8d72"/>
    <w:p>
      <w:pPr>
        <w:pStyle w:val="Heading4"/>
      </w:pPr>
      <w:r>
        <w:t>2.4 Нормативные и организационные условия применения автономного судовождения в России</w:t>
      </w:r>
    </w:p>
    <w:p>
      <w:pPr>
        <w:pStyle w:val="FirstParagraph"/>
      </w:pPr>
      <w:r>
        <w:rPr>
          <w:b w:val="0"/>
        </w:rPr>
        <w:t xml:space="preserve">Проверить действующие национальные акты, применимые правила классификации, условия испытаний и распределение ответственности. Связать правовой режим с конкретным судном и эксплуатацией, избегая повторного пересказа международных документов из 1.5.</w:t>
      </w:r>
    </w:p>
    <w:p>
      <w:pPr>
        <w:pStyle w:val="BodyText"/>
      </w:pPr>
      <w:r>
        <w:rPr>
          <w:b w:val="0"/>
        </w:rPr>
        <w:t xml:space="preserve">Опора и пробелы: Проверенный корпус действующих российских первичных актов и удостоверений ещё не собран. Учебный раздел S011 служит указателем поиска, а не подтверждением актуального права.</w:t>
      </w:r>
    </w:p>
    <w:bookmarkEnd w:id="31"/>
    <w:bookmarkEnd w:id="32"/>
    <w:bookmarkStart w:id="37" w:name="X588483d6571d7c684a9955f4ee769d23f956f40"/>
    <w:p>
      <w:pPr>
        <w:pStyle w:val="Heading3"/>
      </w:pPr>
      <w:r>
        <w:t>3 Анализ применимости технологий автономного судовождения при плавании в узкостях</w:t>
      </w:r>
    </w:p>
    <w:bookmarkStart w:id="33" w:name="Xd18f8f38ebafc8f0a82e819325daa586e635fad"/>
    <w:p>
      <w:pPr>
        <w:pStyle w:val="Heading4"/>
      </w:pPr>
      <w:r>
        <w:t>3.1 Зарубежный опыт решения навигационных задач автономного судовождения на примере японских проектов</w:t>
      </w:r>
    </w:p>
    <w:p>
      <w:pPr>
        <w:pStyle w:val="FirstParagraph"/>
      </w:pPr>
      <w:r>
        <w:rPr>
          <w:b w:val="0"/>
        </w:rPr>
        <w:t xml:space="preserve">Рассмотреть отдельным подразделом сопоставимые японские проекты после российского блока. Отобрать материалы по функциям и условиям, существенным для узкостей, а не по известности проекта. Сохранить ссылки и статус сведений при переводе.</w:t>
      </w:r>
    </w:p>
    <w:p>
      <w:pPr>
        <w:pStyle w:val="BodyText"/>
      </w:pPr>
      <w:r>
        <w:rPr>
          <w:b w:val="0"/>
        </w:rPr>
        <w:t xml:space="preserve">Опора и пробелы: Японские первичные материалы и научные исследования ещё предстоит собрать. Сравнимость с российскими случаями должна быть обоснована.</w:t>
      </w:r>
    </w:p>
    <w:bookmarkEnd w:id="33"/>
    <w:bookmarkStart w:id="34" w:name="X14bfd57780d5dbcde77a57c5f738c2b3509f941"/>
    <w:p>
      <w:pPr>
        <w:pStyle w:val="Heading4"/>
      </w:pPr>
      <w:r>
        <w:t>3.2 Критерии оценки и сопоставление российских и зарубежных решений</w:t>
      </w:r>
    </w:p>
    <w:p>
      <w:pPr>
        <w:pStyle w:val="FirstParagraph"/>
      </w:pPr>
      <w:r>
        <w:rPr>
          <w:b w:val="0"/>
        </w:rPr>
        <w:t xml:space="preserve">Описать метод, единицу анализа и отбор источников. Составить общую матрицу функций, режимов, условий и доказательств; различать качество источника и сопоставимость ситуации. Этот подраздел задаёт основу для сценариев 3.3 и оценки ограничений 3.4.</w:t>
      </w:r>
    </w:p>
    <w:p>
      <w:pPr>
        <w:pStyle w:val="BodyText"/>
      </w:pPr>
      <w:r>
        <w:rPr>
          <w:b w:val="0"/>
        </w:rPr>
        <w:t xml:space="preserve">Опора и пробелы: Рабочий протокол analysis/scenario-protocol.md; нормы главы 1 и проверенные карточки глав 2 и 3.1. Нужны исследования, обосновывающие выбранные критерии.</w:t>
      </w:r>
    </w:p>
    <w:bookmarkEnd w:id="34"/>
    <w:bookmarkStart w:id="35" w:name="X495798bdeedaa56640357b43ea6022eb3dd6be4"/>
    <w:p>
      <w:pPr>
        <w:pStyle w:val="Heading4"/>
      </w:pPr>
      <w:r>
        <w:t>3.3 Анализ обнаружения опасностей и принятия решений в типовых ситуациях плавания в узкостях</w:t>
      </w:r>
    </w:p>
    <w:p>
      <w:pPr>
        <w:pStyle w:val="FirstParagraph"/>
      </w:pPr>
      <w:r>
        <w:rPr>
          <w:b w:val="0"/>
        </w:rPr>
        <w:t xml:space="preserve">Разобрать встречное движение, появление цели из-за изгиба и ограниченную видимость как разные условия. Для каждого сценария связать наблюдения, оценку опасности, выбор действия и ограничения манёвра. Выполнить качественный анализ; расчёты добавлять только при наличии исходных данных и метода.</w:t>
      </w:r>
    </w:p>
    <w:p>
      <w:pPr>
        <w:pStyle w:val="BodyText"/>
      </w:pPr>
      <w:r>
        <w:rPr>
          <w:b w:val="0"/>
        </w:rPr>
        <w:t xml:space="preserve">Опора и пробелы: Сценарии N1, N2а, N2б; нормы и фактические свидетельства из матрицы 3.2. Собственных измерений и результатов моделирования пока нет.</w:t>
      </w:r>
    </w:p>
    <w:bookmarkEnd w:id="35"/>
    <w:bookmarkStart w:id="36" w:name="X19fa6f54d5448cb508512f2209f3ca53b0046cf"/>
    <w:p>
      <w:pPr>
        <w:pStyle w:val="Heading4"/>
      </w:pPr>
      <w:r>
        <w:t>3.4 Ограничения автономного управления и условия вмешательства человека</w:t>
      </w:r>
    </w:p>
    <w:p>
      <w:pPr>
        <w:pStyle w:val="FirstParagraph"/>
      </w:pPr>
      <w:r>
        <w:rPr>
          <w:b w:val="0"/>
        </w:rPr>
        <w:t xml:space="preserve">Разобрать противоречивые данные, ухудшение связи, выход за эксплуатационные границы и передачу управления. Обобщить результаты главы: какие возможности подтверждены, какие зависят от человека и что ещё требуется проверить.</w:t>
      </w:r>
    </w:p>
    <w:p>
      <w:pPr>
        <w:pStyle w:val="BodyText"/>
      </w:pPr>
      <w:r>
        <w:rPr>
          <w:b w:val="0"/>
        </w:rPr>
        <w:t xml:space="preserve">Опора и пробелы: Сценарии D1–D3, S001 и проверенные сведения проектов. Безопасность резервного действия оценивается для конкретных условий, а не предполагается заранее.</w:t>
      </w:r>
    </w:p>
    <w:bookmarkEnd w:id="36"/>
    <w:bookmarkEnd w:id="37"/>
    <w:bookmarkStart w:id="42" w:name="X5524e0fcf1f4c1ef3350d3b74ebc9c2fc4294f1"/>
    <w:p>
      <w:pPr>
        <w:pStyle w:val="Heading3"/>
      </w:pPr>
      <w:r>
        <w:t>4 Перспективы внедрения автономного судовождения на морском флоте</w:t>
      </w:r>
    </w:p>
    <w:bookmarkStart w:id="38" w:name="Xae4590101bacf8448983916c1d0abdd21cb255d"/>
    <w:p>
      <w:pPr>
        <w:pStyle w:val="Heading4"/>
      </w:pPr>
      <w:r>
        <w:t>4.1 Технические, нормативные и организационные условия внедрения</w:t>
      </w:r>
    </w:p>
    <w:p>
      <w:pPr>
        <w:pStyle w:val="FirstParagraph"/>
      </w:pPr>
      <w:r>
        <w:rPr>
          <w:b w:val="0"/>
        </w:rPr>
        <w:t xml:space="preserve">Свести требования к информации, связи, береговому управлению, резервированию, подготовке специалистов и инфраструктуре. Каждую рекомендацию связать с ограничением, выявленным в главе 3.</w:t>
      </w:r>
    </w:p>
    <w:p>
      <w:pPr>
        <w:pStyle w:val="BodyText"/>
      </w:pPr>
      <w:r>
        <w:rPr>
          <w:b w:val="0"/>
        </w:rPr>
        <w:t xml:space="preserve">Опора и пробелы: Результаты главы 3 и действующие нормы; рекомендации формулируются после анализа.</w:t>
      </w:r>
    </w:p>
    <w:bookmarkEnd w:id="38"/>
    <w:bookmarkStart w:id="39" w:name="X43ce1cd2d19ca98cd7977e3b9dc0497bc31a197"/>
    <w:p>
      <w:pPr>
        <w:pStyle w:val="Heading4"/>
      </w:pPr>
      <w:r>
        <w:t>4.2 Перспективы перехода от традиционного к автономному судовождению и изменение роли экипажа</w:t>
      </w:r>
    </w:p>
    <w:p>
      <w:pPr>
        <w:pStyle w:val="FirstParagraph"/>
      </w:pPr>
      <w:r>
        <w:rPr>
          <w:b w:val="0"/>
        </w:rPr>
        <w:t xml:space="preserve">Рассмотреть вопрос о возможном замещении традиционного судовождения: какие функции могут передаваться системе, какие остаются человеку и при каких условиях возможна безэкипажная эксплуатация. Различать модернизацию существующего судна, режим управления и замену судна. Не закладывать заранее вывод о полном замещении экипажа или флота.</w:t>
      </w:r>
    </w:p>
    <w:p>
      <w:pPr>
        <w:pStyle w:val="BodyText"/>
      </w:pPr>
      <w:r>
        <w:rPr>
          <w:b w:val="0"/>
        </w:rPr>
        <w:t xml:space="preserve">Опора и пробелы: Результаты 2.2–2.4 и 3.3–3.4; дополнительно нужны исследования человеческого фактора и организации эксплуатации. Сроки перехода и экономические эффекты требуют самостоятельных данных.</w:t>
      </w:r>
    </w:p>
    <w:bookmarkEnd w:id="39"/>
    <w:bookmarkStart w:id="40" w:name="X0f76281a23b17144b74da42c9cea053afe450a9"/>
    <w:p>
      <w:pPr>
        <w:pStyle w:val="Heading4"/>
      </w:pPr>
      <w:r>
        <w:t>4.3 Возможная последовательность внедрения автономных функций на российском морском флоте</w:t>
      </w:r>
    </w:p>
    <w:p>
      <w:pPr>
        <w:pStyle w:val="FirstParagraph"/>
      </w:pPr>
      <w:r>
        <w:rPr>
          <w:b w:val="0"/>
        </w:rPr>
        <w:t xml:space="preserve">Предложить обоснованные этапы проверки и применения отдельных функций в определённых условиях. Учитывать организационные и эксплуатационные ограничения; обозначить предложения автора и требуемые подтверждения.</w:t>
      </w:r>
    </w:p>
    <w:p>
      <w:pPr>
        <w:pStyle w:val="BodyText"/>
      </w:pPr>
      <w:r>
        <w:rPr>
          <w:b w:val="0"/>
        </w:rPr>
        <w:t xml:space="preserve">Опора и пробелы: Результаты анализа и первичные российские документы. Проценты экономии, сроки окупаемости и сокращение аварийности без данных не рассчитывать.</w:t>
      </w:r>
    </w:p>
    <w:bookmarkEnd w:id="40"/>
    <w:bookmarkStart w:id="41" w:name="Xeadf6e2937649f61e9aa851894c8aa5836aac74"/>
    <w:p>
      <w:pPr>
        <w:pStyle w:val="Heading4"/>
      </w:pPr>
      <w:r>
        <w:t>4.4 Применение результатов анализа к отдельному району плавания</w:t>
      </w:r>
    </w:p>
    <w:p>
      <w:pPr>
        <w:pStyle w:val="FirstParagraph"/>
      </w:pPr>
      <w:r>
        <w:rPr>
          <w:b w:val="0"/>
        </w:rPr>
        <w:t xml:space="preserve">Выбрать один российский район по доступности навигационных данных. Кратко описать условия и применить матрицу к одному-двум сценариям; указать недостающие сведения и границы переноса выводов. Пример завершает общий анализ.</w:t>
      </w:r>
    </w:p>
    <w:p>
      <w:pPr>
        <w:pStyle w:val="BodyText"/>
      </w:pPr>
      <w:r>
        <w:rPr>
          <w:b w:val="0"/>
        </w:rPr>
        <w:t xml:space="preserve">Опора и пробелы: Нужны пригодные районные источники: навигационные пособия, правила порта, сведения о пути и при необходимости о судне. Район пока не выбран.</w:t>
      </w:r>
    </w:p>
    <w:bookmarkEnd w:id="41"/>
    <w:bookmarkEnd w:id="42"/>
    <w:bookmarkStart w:id="43" w:name="заключение"/>
    <w:p>
      <w:pPr>
        <w:pStyle w:val="Heading3"/>
      </w:pPr>
      <w:r>
        <w:t>Заключение</w:t>
      </w:r>
    </w:p>
    <w:p>
      <w:pPr>
        <w:pStyle w:val="FirstParagraph"/>
      </w:pPr>
      <w:r>
        <w:rPr>
          <w:b w:val="0"/>
        </w:rPr>
        <w:t xml:space="preserve">Дать ответы на поставленные задачи, выделить установленные ограничения и обоснованные рекомендации. Не добавлять результаты, не показанные в основной части.</w:t>
      </w:r>
    </w:p>
    <w:bookmarkEnd w:id="43"/>
    <w:bookmarkStart w:id="44" w:name="Xa297c50c33f8ee85feb1a1bb895729ca538c4d6"/>
    <w:p>
      <w:pPr>
        <w:pStyle w:val="Heading3"/>
      </w:pPr>
      <w:r>
        <w:t>Список использованных источников и приложения</w:t>
      </w:r>
    </w:p>
    <w:p>
      <w:pPr>
        <w:pStyle w:val="FirstParagraph"/>
      </w:pPr>
      <w:r>
        <w:rPr>
          <w:b w:val="0"/>
        </w:rPr>
        <w:t xml:space="preserve">В список включать процитированные материалы. В приложения при необходимости вынести полные карточки, матрицы, исходные районные данные и схемы, на которые есть ссылки в тексте.</w:t>
      </w:r>
    </w:p>
    <w:bookmarkEnd w:id="44"/>
    <w:bookmarkEnd w:id="45"/>
    <w:bookmarkStart w:id="46" w:name="распределение-объёма-и-логика-переходов"/>
    <w:p>
      <w:pPr>
        <w:pStyle w:val="Heading2"/>
      </w:pPr>
      <w:r>
        <w:t>3 РАСПРЕДЕЛЕНИЕ ОБЪЁМА И ЛОГИКА ПЕРЕХОДОВ</w:t>
      </w:r>
    </w:p>
    <w:p>
      <w:pPr>
        <w:pStyle w:val="FirstParagraph"/>
      </w:pPr>
      <w:r>
        <w:rPr>
          <w:b w:val="0"/>
        </w:rPr>
        <w:t xml:space="preserve">Ориентир для специалитета по методическим документам — 60–80 страниц без приложений. Рабочий бюджет на 72 страницы: начальные листы — 4, введение — 3, глава 1 — 13, глава 2 — 15, глава 3 — 20, глава 4 — 10, заключение — 3, источники — 4. Это планирование, не требование заполнять страницы повторениями. Внутри главы 3 зарубежному обзору 3.1 отводится ориентировочно 3–4 страницы; основной объём — собственному сопоставлению и разбору ситуаций. Районный пример 4.4 — около 3–4 страниц, вспомогательные материалы возможны в приложениях.</w:t>
      </w:r>
    </w:p>
    <w:p>
      <w:pPr>
        <w:pStyle w:val="BodyText"/>
      </w:pPr>
      <w:r>
        <w:rPr>
          <w:b w:val="0"/>
        </w:rPr>
        <w:t xml:space="preserve">Глава 1 определяет понятия и требования; глава 2 устанавливает факты российских проектов; глава 3 сопоставляет решения и анализирует условия их применения; глава 4 выводит рекомендации из установленного и проверяет их на районном примере. Пять подразделов первой главы нужны для разделения терминов автономности, терминов района плавания, устройства системы, навигационных проблем и норм.</w:t>
      </w:r>
    </w:p>
    <w:p>
      <w:pPr>
        <w:pStyle w:val="BodyText"/>
      </w:pPr>
      <w:r>
        <w:rPr>
          <w:b w:val="0"/>
        </w:rPr>
        <w:t xml:space="preserve">Границы повторов: в 1.2 — определения, в 1.4 — последствия условий для судовождения; в 1.5 — международная основа, в 2.4 — российское применение; в 2.1 — карта проектов, в 2.3 — доказательства испытаний; в 3.2 — метод и матрица, в 3.3–3.4 — их применение; в 4.2 — возможное распределение функций и роли людей, в 4.3 — последовательность внедрения.</w:t>
      </w:r>
    </w:p>
    <w:bookmarkEnd w:id="46"/>
    <w:bookmarkStart w:id="47" w:name="метод-и-источники"/>
    <w:p>
      <w:pPr>
        <w:pStyle w:val="Heading2"/>
      </w:pPr>
      <w:r>
        <w:t>4 МЕТОД И ИСТОЧНИКИ</w:t>
      </w:r>
    </w:p>
    <w:p>
      <w:pPr>
        <w:pStyle w:val="FirstParagraph"/>
      </w:pPr>
      <w:r>
        <w:rPr>
          <w:b w:val="0"/>
        </w:rPr>
        <w:t xml:space="preserve">Предлагается документальный сравнительный и качественный сценарный анализ. Единица сопоставления: проект, функция, режим управления, тип судна, условия и датированный эпизод. Рабочий протокол — analysis/scenario-protocol.md. Его пригодность как практической части специалитета следует обсудить с руководителем перед выполнением; собственный эксперимент или численные результаты не заявлены.</w:t>
      </w:r>
    </w:p>
    <w:p>
      <w:pPr>
        <w:pStyle w:val="BodyText"/>
      </w:pPr>
      <w:r>
        <w:rPr>
          <w:b w:val="0"/>
        </w:rPr>
        <w:t xml:space="preserve">Сохранять происхождение, дату, редакцию, страницу и предел каждого утверждения. Коммерческое сообщение подтверждает заявление участника, но не заменяет независимый протокол. Несколько перепечаток не являются несколькими независимыми проверками. Пересказ и перевод сохраняют ссылки. Учебные PDF с неизвестными авторами и датами не получают вымышленных реквизитов.</w:t>
      </w:r>
    </w:p>
    <w:p>
      <w:pPr>
        <w:pStyle w:val="BodyText"/>
      </w:pPr>
      <w:r>
        <w:rPr>
          <w:b w:val="0"/>
        </w:rPr>
        <w:t xml:space="preserve">Новые первоочередные источники: профильный учебник для 1.2; полный текст применимых правил; российские первичные нормы и документы проектов; исследования обнаружения и оценки обстановки; сопоставимые японские материалы. Район выбирается после проверки доступности данных. Перечень необходимых материалов — задание на поиск, не готовая библиография.</w:t>
      </w:r>
    </w:p>
    <w:bookmarkEnd w:id="47"/>
    <w:bookmarkStart w:id="48" w:name="соответствие-существующему-тексту"/>
    <w:p>
      <w:pPr>
        <w:pStyle w:val="Heading2"/>
      </w:pPr>
      <w:r>
        <w:t>5 СООТВЕТСТВИЕ СУЩЕСТВУЮЩЕМУ ТЕКСТУ</w:t>
      </w:r>
    </w:p>
    <w:p>
      <w:pPr>
        <w:pStyle w:val="FirstParagraph"/>
      </w:pPr>
      <w:r>
        <w:rPr>
          <w:b w:val="0"/>
        </w:rPr>
        <w:t xml:space="preserve">Переход выполняется в том же дипломе, без написания второй независимой работы. Старый 1.1 переходит в новый 1.1; старый 1.2 — в 1.3; определения из старого 1.3 выделяются и дополняются в 1.2, анализ условий — в 1.4; международная часть старого 1.4 — в 1.5. Российские фрагменты 2.1–2.3 используются в одноимённых новых подразделах после проверки границ содержания. Подраздел 2.4 предстоит дополнить первичными национальными документами. Планируемый японский материал переносится в 3.1; будущий сравнительный метод — в 3.2. Перспективы и районный пример организуются по 4.1–4.4.</w:t>
      </w:r>
    </w:p>
    <w:p>
      <w:pPr>
        <w:pStyle w:val="BodyText"/>
      </w:pPr>
      <w:r>
        <w:rPr>
          <w:b w:val="0"/>
        </w:rPr>
        <w:t xml:space="preserve">Перенос выполнен: ссылки сохранены, evidence.csv привязан к новым подразделам. В 1.2 раскрыто понятие узкости; 1.3 объясняет передачу данных, планирование, управление и обратную связь. Содержание основного Word включает весь план; у будущих разделов номера страниц отсутствуют.</w:t>
      </w:r>
    </w:p>
    <w:bookmarkEnd w:id="48"/>
    <w:bookmarkStart w:id="49" w:name="ближайший-порядок-работы"/>
    <w:p>
      <w:pPr>
        <w:pStyle w:val="Heading2"/>
      </w:pPr>
      <w:r>
        <w:t>6 БЛИЖАЙШИЙ ПОРЯДОК РАБОТЫ</w:t>
      </w:r>
    </w:p>
    <w:p>
      <w:pPr>
        <w:pStyle w:val="Compact"/>
        <w:numPr>
          <w:ilvl w:val="0"/>
          <w:numId w:val="1001"/>
        </w:numPr>
      </w:pPr>
      <w:r>
        <w:rPr>
          <w:b w:val="0"/>
        </w:rPr>
        <w:t xml:space="preserve">Передать автору обновлённый Word с полным содержанием и написанным началом для обсуждения с преподавателем.</w:t>
      </w:r>
    </w:p>
    <w:p>
      <w:pPr>
        <w:pStyle w:val="Compact"/>
        <w:numPr>
          <w:ilvl w:val="0"/>
          <w:numId w:val="1001"/>
        </w:numPr>
      </w:pPr>
      <w:r>
        <w:rPr>
          <w:b w:val="0"/>
        </w:rPr>
        <w:t xml:space="preserve">По итогам обсуждения уточнить названия, объём и допустимый метод практической части.</w:t>
      </w:r>
    </w:p>
    <w:p>
      <w:pPr>
        <w:pStyle w:val="Compact"/>
        <w:numPr>
          <w:ilvl w:val="0"/>
          <w:numId w:val="1001"/>
        </w:numPr>
      </w:pPr>
      <w:r>
        <w:rPr>
          <w:b w:val="0"/>
        </w:rPr>
        <w:t xml:space="preserve">Дополнить российскую нормативную часть первичными действующими документами и расширить круг российских проектов.</w:t>
      </w:r>
    </w:p>
    <w:p>
      <w:pPr>
        <w:pStyle w:val="Compact"/>
        <w:numPr>
          <w:ilvl w:val="0"/>
          <w:numId w:val="1001"/>
        </w:numPr>
      </w:pPr>
      <w:r>
        <w:rPr>
          <w:b w:val="0"/>
        </w:rPr>
        <w:t xml:space="preserve">Дополнить источниковую базу и выполнить сравнение и сценарный анализ; затем сформулировать перспективы и районный пример.</w:t>
      </w:r>
    </w:p>
    <w:p>
      <w:pPr>
        <w:pStyle w:val="Compact"/>
        <w:numPr>
          <w:ilvl w:val="0"/>
          <w:numId w:val="1001"/>
        </w:numPr>
      </w:pPr>
      <w:r>
        <w:rPr>
          <w:b w:val="0"/>
        </w:rPr>
        <w:t xml:space="preserve">Согласовать введение и заключение с результатами, обновить ссылки, содержание и пагинацию, передать Word и PDF в GitHub.</w:t>
      </w:r>
    </w:p>
    <w:p>
      <w:pPr>
        <w:pStyle w:val="FirstParagraph"/>
      </w:pPr>
      <w:r>
        <w:rPr>
          <w:b w:val="0"/>
        </w:rPr>
        <w:t xml:space="preserve">ФИО, группа и специальность известны. Факультет и срок сдачи не установлены; кафедру и руководителя пока не вписывать по просьбе автора. Отдельного задания кроме темы нет. По каждому содержательному этапу применять релевантные инструкции Academic Research Suite, фиксируя конкретную проверку и результат. Повторное открытие тех же файлов без новой задачи не заменяет проверку.</w:t>
      </w:r>
    </w:p>
    <w:bookmarkEnd w:id="49"/>
    <w:bookmarkEnd w:id="50"/>
    <w:sectPr w:rsidR="00FC693F" w:rsidRPr="0006063C" w:rsidSect="00034616">
      <w:footerReference r:id="rId9" w:type="default"/>
      <w:pgSz w:h="16838" w:w="11906"/>
      <w:pgMar w:bottom="1134" w:footer="720" w:gutter="0" w:header="720" w:left="1701" w:right="850" w:top="1134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ind w:firstLine="709"/>
      <w:jc w:val="both"/>
    </w:pPr>
    <w:rPr>
      <w:rFonts w:ascii="Times New Roman" w:eastAsia="Times New Roman" w:hAnsi="Times New Roman"/>
      <w:b w:val="0"/>
      <w:i w:val="0"/>
      <w:color w:val="000000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 w:line="360" w:lineRule="auto"/>
      <w:ind w:firstLine="0"/>
      <w:jc w:val="center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i w:val="0"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/>
      <w:spacing w:after="120" w:before="240" w:line="360" w:lineRule="auto"/>
      <w:ind w:firstLine="0"/>
      <w:jc w:val="center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i w:val="0"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360" w:lineRule="auto"/>
      <w:ind w:firstLine="0"/>
      <w:jc w:val="center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i w:val="0"/>
      <w:color w:val="000000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20" w:line="360" w:lineRule="auto"/>
      <w:ind w:firstLine="0"/>
      <w:jc w:val="center"/>
      <w:outlineLvl w:val="3"/>
    </w:pPr>
    <w:rPr>
      <w:rFonts w:ascii="Times New Roman" w:asciiTheme="majorHAnsi" w:cstheme="majorBidi" w:eastAsia="Times New Roman" w:eastAsiaTheme="majorEastAsia" w:hAnsi="Times New Roman" w:hAnsiTheme="majorHAnsi"/>
      <w:b/>
      <w:bCs/>
      <w:i w:val="0"/>
      <w:iCs/>
      <w:color w:val="000000"/>
      <w:sz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20" w:before="240" w:line="360" w:lineRule="auto"/>
      <w:ind w:firstLine="0"/>
      <w:contextualSpacing/>
      <w:jc w:val="center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pacing w:val="5"/>
      <w:kern w:val="28"/>
      <w:sz w:val="2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20" w:before="240" w:line="360" w:lineRule="auto"/>
      <w:ind w:firstLine="0"/>
      <w:jc w:val="center"/>
    </w:pPr>
    <w:rPr>
      <w:rFonts w:ascii="Times New Roman" w:asciiTheme="majorHAnsi" w:cstheme="majorBidi" w:eastAsia="Times New Roman" w:eastAsiaTheme="majorEastAsia" w:hAnsi="Times New Roman" w:hAnsiTheme="majorHAnsi"/>
      <w:b w:val="0"/>
      <w:i w:val="0"/>
      <w:iCs/>
      <w:color w:val="00000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360" w:lineRule="auto"/>
      <w:ind w:firstLine="709"/>
      <w:jc w:val="both"/>
    </w:pPr>
    <w:rPr>
      <w:rFonts w:ascii="Times New Roman" w:eastAsia="Times New Roman" w:hAnsi="Times New Roman"/>
      <w:b w:val="0"/>
      <w:i w:val="0"/>
      <w:color w:val="000000"/>
      <w:sz w:val="28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0" w:before="0" w:line="360" w:lineRule="auto"/>
      <w:ind w:firstLine="709"/>
      <w:jc w:val="both"/>
    </w:pPr>
    <w:rPr>
      <w:rFonts w:ascii="Times New Roman" w:eastAsia="Times New Roman" w:hAnsi="Times New Roman"/>
      <w:b w:val="0"/>
      <w:bCs/>
      <w:i w:val="0"/>
      <w:color w:val="000000"/>
      <w:sz w:val="24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0" w:before="0" w:line="360" w:lineRule="auto"/>
      <w:ind w:firstLine="709"/>
      <w:jc w:val="both"/>
    </w:pPr>
    <w:rPr>
      <w:rFonts w:ascii="Times New Roman" w:eastAsia="Times New Roman" w:hAnsi="Times New Roman"/>
      <w:b w:val="0"/>
      <w:i w:val="0"/>
      <w:color w:val="000000"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2026-10-11T13:57:33Z</dcterms:created>
  <dcterms:modified xsi:type="dcterms:W3CDTF">2026-10-11T13:57:33Z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