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2bd3c32c28b10d1426470eb95294bd15528921"/>
    <w:p>
      <w:pPr>
        <w:pStyle w:val="Heading1"/>
        <w:pageBreakBefore w:val="0"/>
      </w:pPr>
      <w:r>
        <w:rPr>
          <w:rFonts w:ascii="Times New Roman" w:hAnsi="Times New Roman"/>
          <w:color w:val="000000"/>
          <w:sz w:val="28"/>
        </w:rPr>
        <w:t>1 ТЕОРЕТИЧЕСКИЕ ОСНОВЫ АВТОНОМНОГО СУДОВОЖДЕНИЯ И ПРОБЛЕМЫ ЕГО ПРИМЕНЕНИЯ В УЗКОСТЯХ</w:t>
      </w:r>
    </w:p>
    <w:bookmarkStart w:id="20" w:name="X5742fa8b645e15511acd7bdaedef35a072275e2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1.1 Основные понятия и режимы автономного судовождения</w:t>
      </w:r>
    </w:p>
    <w:p>
      <w:pPr>
        <w:pStyle w:val="FirstParagraph"/>
      </w:pPr>
      <w:r>
        <w:rPr>
          <w:b w:val="0"/>
        </w:rPr>
        <w:t xml:space="preserve">Автономное судовождение рассматривается в настоящей работе через распределение навигационных задач между человеком и техническими системами. Такое распределение необходимо описывать для определённых условий плавания: один и тот же способ управления может предусматривать разные ограничения при переходе по открытому морю и при движении в узкости. Основанием для анализа служит функциональный подход Кодекса безопасности автономных надводных судов, который связывает режимы работы с выполняемыми задачами, участием человека и допустимыми условиями эксплуатации [1, с. 20–22].</w:t>
      </w:r>
    </w:p>
    <w:p>
      <w:pPr>
        <w:pStyle w:val="BodyText"/>
      </w:pPr>
      <w:r>
        <w:rPr>
          <w:b w:val="0"/>
        </w:rPr>
        <w:t xml:space="preserve">Международная морская организация (ММО) определяет автономное надводное судно — Maritime Autonomous Surface Ship (MASS) — как судно, способное в различной степени действовать независимо от взаимодействия с человеком. Это определение не устанавливает обязательного отсутствия экипажа. В Кодексе отдельно предусмотрено применение автономных и дистанционно управляемых функций при наличии людей на борту, выполняющих другие задачи [1, с. 8–9]. Поэтому в рамках исследования необходимо устанавливать, какие именно функции переданы технической системе или оператору за пределами судна, а также кто контролирует их выполнение.</w:t>
      </w:r>
    </w:p>
    <w:p>
      <w:pPr>
        <w:pStyle w:val="BodyText"/>
      </w:pPr>
      <w:r>
        <w:rPr>
          <w:b w:val="0"/>
        </w:rPr>
        <w:t xml:space="preserve">В мае 2026 года ММО приняла Кодекс безопасности MASS резолюцией MSC.595(111); начало его применения предусмотрено с 1 июля 2026 года [1, с. 1; 3]. Кодекс имеет необязательный статус и дополняет применимые международные инструменты. Согласно разделу об области применения, он относится к грузовым судам, на которые распространяется глава I Международной конвенции по охране человеческой жизни на море 1974 года, и связанным с ними центрам дистанционного управления при указанных в Кодексе условиях. Его положения нельзя автоматически представлять как универсальные обязательные правила для любого автономного плавсредства [1, с. 7–8].</w:t>
      </w:r>
    </w:p>
    <w:p>
      <w:pPr>
        <w:pStyle w:val="BodyText"/>
      </w:pPr>
      <w:r>
        <w:rPr>
          <w:b w:val="0"/>
        </w:rPr>
        <w:t xml:space="preserve">Кодекс разграничивает повышенную автоматизацию обычного судна и использование автономных либо дистанционно управляемых функций, которые дополняют или заменяют работу экипажа. Автономность процесса или оборудования определяется способностью в заданных условиях выбирать управляющие действия без вмешательства человека; такие свойства должны быть предусмотрены проектом и проверены. Дистанционное управление означает выполнение управления функциями и системами из места за пределами судна [1, с. 6, 9–10]. Следовательно, при дистанционном судовождении решение может принимать береговой оператор, а при автономном выполнении функции — система. Наличие дистанционного канала управления само по себе не показывает, что система самостоятельно оценивает навигационную ситуацию.</w:t>
      </w:r>
    </w:p>
    <w:p>
      <w:pPr>
        <w:pStyle w:val="BodyText"/>
      </w:pPr>
      <w:r>
        <w:rPr>
          <w:b w:val="0"/>
        </w:rPr>
        <w:t xml:space="preserve">Для понимания развития терминологии необходимо учитывать классификацию, использованную ММО при исследовании применимости существующей нормативной базы к MASS. Итоги этого исследования опубликованы в циркуляре MSC.1/Circ.1638 от 3 июня 2021 года. В нём выделены четыре степени автономности, приведённые в таблице 1.1. Эта классификация описывает подход, применённый для нормативного исследования, и должна читаться с учётом его назначения [2, п. 3.3–3.5].</w:t>
      </w:r>
    </w:p>
    <w:p>
      <w:pPr>
        <w:pStyle w:val="BodyText"/>
        <w:keepNext/>
        <w:ind w:firstLine="0"/>
        <w:jc w:val="left"/>
      </w:pPr>
      <w:r>
        <w:rPr>
          <w:rFonts w:ascii="Times New Roman" w:hAnsi="Times New Roman"/>
          <w:b w:val="0"/>
          <w:sz w:val="24"/>
        </w:rPr>
        <w:t xml:space="preserve">Таблица 1.1 — Степени автономности в нормативном исследовании ММО 2021 года</w:t>
      </w:r>
    </w:p>
    <w:tbl>
      <w:tblPr>
        <w:tblStyle w:val="TableGrid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04"/>
        <w:gridCol w:w="3288"/>
        <w:gridCol w:w="4762"/>
      </w:tblGrid>
      <w:tr>
        <w:trPr>
          <w:tblHeader w:val="true"/>
          <w:cantSplit/>
        </w:trPr>
        <w:tc>
          <w:tcPr>
            <w:tcW w:type="dxa" w:w="1304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Степень</w:t>
            </w:r>
          </w:p>
        </w:tc>
        <w:tc>
          <w:tcPr>
            <w:tcW w:type="dxa" w:w="3288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Характер управления</w:t>
            </w:r>
          </w:p>
        </w:tc>
        <w:tc>
          <w:tcPr>
            <w:tcW w:type="dxa" w:w="476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Участие человека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Первая</w:t>
            </w:r>
          </w:p>
        </w:tc>
        <w:tc>
          <w:tcPr>
            <w:tcW w:type="dxa" w:w="3288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Автоматизированные процессы и поддержка решений</w:t>
            </w:r>
          </w:p>
        </w:tc>
        <w:tc>
          <w:tcPr>
            <w:tcW w:type="dxa" w:w="476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Моряки находятся на борту, управляют системами и готовы принять управление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Вторая</w:t>
            </w:r>
          </w:p>
        </w:tc>
        <w:tc>
          <w:tcPr>
            <w:tcW w:type="dxa" w:w="3288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Дистанционно управляемое судно</w:t>
            </w:r>
          </w:p>
        </w:tc>
        <w:tc>
          <w:tcPr>
            <w:tcW w:type="dxa" w:w="476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Моряки находятся на борту и могут принять управление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Третья</w:t>
            </w:r>
          </w:p>
        </w:tc>
        <w:tc>
          <w:tcPr>
            <w:tcW w:type="dxa" w:w="3288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Дистанционно управляемое судно</w:t>
            </w:r>
          </w:p>
        </w:tc>
        <w:tc>
          <w:tcPr>
            <w:tcW w:type="dxa" w:w="4762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Моряки на борту отсутствуют; управление осуществляется из другого места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Четвёртая</w:t>
            </w:r>
          </w:p>
        </w:tc>
        <w:tc>
          <w:tcPr>
            <w:tcW w:type="dxa" w:w="3288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Полностью автономное судно</w:t>
            </w:r>
          </w:p>
        </w:tc>
        <w:tc>
          <w:tcPr>
            <w:tcW w:type="dxa" w:w="4762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Система способна самостоятельно принимать решения и определять действия</w:t>
            </w:r>
          </w:p>
        </w:tc>
      </w:tr>
    </w:tbl>
    <w:p>
      <w:pPr>
        <w:pStyle w:val="BodyText"/>
      </w:pPr>
      <w:r>
        <w:rPr>
          <w:b w:val="0"/>
        </w:rPr>
        <w:t xml:space="preserve">Источник: составлено по MSC.1/Circ.1638, п. 3.4 [2]. В пункте 3.5 прямо указано, что перечисление не выражает иерархического порядка и что в течение одного рейса судно может работать в одной или нескольких степенях автономности. Поэтому номер степени не следует использовать как самостоятельное доказательство большей безопасности или лучшей пригодности судна для узкости. Для такого вывода нужны сведения о функциях и условиях их фактического выполнения.</w:t>
      </w:r>
    </w:p>
    <w:p>
      <w:pPr>
        <w:pStyle w:val="BodyText"/>
      </w:pPr>
      <w:r>
        <w:rPr>
          <w:b w:val="0"/>
        </w:rPr>
        <w:t xml:space="preserve">При анализе конкретного проекта более предметное описание даёт распределение задач. Кодекс 2026 года предусматривает указание автономных и дистанционно управляемых функций, их исполнителей, порядка надзора и местонахождения участвующих людей. Режим работы может меняться на разных этапах рейса, но критерии и процедуры перехода должны быть описаны в концепции эксплуатации судна [1, с. 22]. Для рассматриваемой темы существенны вопросы: кто обнаруживает опасность, кто оценивает её развитие, кто выбирает манёвр и кто может изменить принятое решение.</w:t>
      </w:r>
    </w:p>
    <w:p>
      <w:pPr>
        <w:pStyle w:val="BodyText"/>
      </w:pPr>
      <w:r>
        <w:rPr>
          <w:b w:val="0"/>
        </w:rPr>
        <w:t xml:space="preserve">Участие человека сохраняет значение и при автономном выполнении отдельных задач. Кодекс предусматривает наличие капитана, ответственного за MASS независимо от режима работы, и средств вмешательства при необходимости. Экипажу или дистанционному оператору следует предоставлять время и информацию, достаточные для понимания ситуации и принятия управления [1, с. 22]. Для анализа узкостей из этого следует необходимость рассматривать передачу управления как самостоятельную процедуру. Недостаточно только указать, что оператор способен отключить автономный режим: нужно установить, какие сведения он получает и в какой обстановке должен продолжить управление.</w:t>
      </w:r>
    </w:p>
    <w:p>
      <w:pPr>
        <w:pStyle w:val="BodyText"/>
      </w:pPr>
      <w:r>
        <w:rPr>
          <w:b w:val="0"/>
        </w:rPr>
        <w:t xml:space="preserve">Допустимость работы системы связана с её эксплуатационными границами. Кодекс различает эксплуатационные возможности и ограничения судна в целом — Operational Envelope — и проектную область работы отдельной системы или функции — Operational Design Domain. В первое описание входят, в частности, район плавания, условия движения, связь и ограничения среды. Для отдельных функций учитываются безопасные условия применения, возможные неисправности и степень взаимодействия с человеком [1, с. 10, 20–21]. Таким образом, характеристика «автономное судно» требует уточнения условий, в которых предусмотрено выполнение конкретной задачи.</w:t>
      </w:r>
    </w:p>
    <w:p>
      <w:pPr>
        <w:pStyle w:val="BodyText"/>
      </w:pPr>
      <w:r>
        <w:rPr>
          <w:b w:val="0"/>
        </w:rPr>
        <w:t xml:space="preserve">Для дальнейшего исследования принимается следующий порядок описания проектов: выполняемая функция, режим управления, участие человека, допустимые условия и действие при выходе за эти условия. Такой порядок позволит сопоставлять российские и зарубежные разработки по содержанию их работы. Обнаружение опасности и понимание обстановки будут рассматриваться отдельно от исполнения манёвра: наличие средств управления движением ещё не показывает, на какой информации основано решение об изменении курса или скорости.</w:t>
      </w:r>
    </w:p>
    <w:bookmarkEnd w:id="20"/>
    <w:bookmarkStart w:id="21" w:name="X911f6ae2ed747da53fae72a96f203123f2cf49c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1.2 Понятие узкости и связанные навигационные понятия</w:t>
      </w:r>
    </w:p>
    <w:p>
      <w:pPr>
        <w:pStyle w:val="FirstParagraph"/>
      </w:pPr>
      <w:r>
        <w:rPr>
          <w:b w:val="0"/>
        </w:rPr>
        <w:t xml:space="preserve">В настоящей работе узкостью называется участок плавания, на котором доступное для судна пространство ограничивает выбор пути и манёвра. Это рабочее определение задаёт предмет технического анализа: система должна вести судно в допустимых границах и учитывать, какое пространство остаётся для расхождения, поворота или изменения скорости. При оценке участка ширину водной поверхности необходимо сопоставлять с глубинами, осадкой, размерами и маневренными характеристиками судна. Руководство ММО по планированию рейса предусматривает учёт этих характеристик, минимального запаса воды под килем, просадки, крена на повороте и течений [5, п. 2.1, 3.2.2.1–3.2.2.5].</w:t>
      </w:r>
    </w:p>
    <w:p>
      <w:pPr>
        <w:pStyle w:val="BodyText"/>
      </w:pPr>
      <w:r>
        <w:rPr>
          <w:b w:val="0"/>
        </w:rPr>
        <w:t xml:space="preserve">Термины «узкость», «узкий проход» и «фарватер» требуют разграничения между навигационным описанием участка и применением правового требования. Правило 9 Международных правил предупреждения столкновений судов в море 1972 года (МППСС-72) относится к движению в узком проходе или фарватере. Оно предусматривает движение ближе к внешней границе, находящейся с правого борта, насколько это безопасно и практически возможно, и учитывает суда, которые могут безопасно следовать только в пределах этого прохода или фарватера [18, правило 9(a)–(d), международная редакция]. Поэтому отнесение ситуации к правилу влияет на взаимодействие судов; его нельзя подменять произвольно выбранной в исследовании шириной участка.</w:t>
      </w:r>
    </w:p>
    <w:p>
      <w:pPr>
        <w:pStyle w:val="BodyText"/>
      </w:pPr>
      <w:r>
        <w:rPr>
          <w:b w:val="0"/>
        </w:rPr>
        <w:t xml:space="preserve">Названия «канал» и «пролив» также не заменяют описание условий судовождения. Для задачи управления необходимо установить конкретную конфигурацию пути, границы безопасных глубин, участки поворота, возможные направления движения других судов и действующие правила. В этой работе название района служит исходной характеристикой, а пригодность автономной функции оценивается по установленным навигационным ограничениям. Такой подход согласуется с требованием планировать весь переход, включая участки лоцманской проводки, и определять опасные места по доступной актуальной информации [5, п. 2.1, 3.1].</w:t>
      </w:r>
    </w:p>
    <w:p>
      <w:pPr>
        <w:pStyle w:val="BodyText"/>
      </w:pPr>
      <w:r>
        <w:rPr>
          <w:b w:val="0"/>
        </w:rPr>
        <w:t xml:space="preserve">Отдельно следует различать экранирование цели препятствием и ограниченную видимость. При подходе к изгибу другое судно может быть закрыто берегом или сооружением; правило 9(f) предусматривает для таких участков особую осторожность и соответствующий звуковой сигнал. Ограниченная видимость определяется правилом 3(l) через такие условия, как туман, мгла, снегопад, сильный дождь и аналогичные причины [18, правила 3(l), 9(f), международная редакция]. Для автономной системы эти случаи задают разные условия наблюдения: в одном случае необходимо учитывать геометрически закрытый сектор, в другом — возможности средств наблюдения при ухудшении видимости.</w:t>
      </w:r>
    </w:p>
    <w:p>
      <w:pPr>
        <w:pStyle w:val="BodyText"/>
      </w:pPr>
      <w:r>
        <w:rPr>
          <w:b w:val="0"/>
        </w:rPr>
        <w:t xml:space="preserve">Таким образом, при дальнейшем сравнении проектов узкость описывается набором условий: доступное пространство, глубины, конфигурация пути, движение участников, условия наблюдения и применимые правила. Это позволяет поставить проверяемый вопрос о каждой функции системы. Например, требуется установить, обнаруживает ли она цель после выхода из закрытого сектора и остаётся ли рассчитанный манёвр внутри безопасного пространства, а не ограничиваться указанием на наличие автоматического управления.</w:t>
      </w:r>
    </w:p>
    <w:bookmarkEnd w:id="21"/>
    <w:bookmarkStart w:id="22" w:name="X0bc034fe7d3fd068c9294d20e2ed5a346f4d785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1.3 Технические средства и принципы работы автономной системы судовождения</w:t>
      </w:r>
    </w:p>
    <w:p>
      <w:pPr>
        <w:pStyle w:val="FirstParagraph"/>
      </w:pPr>
      <w:r>
        <w:rPr>
          <w:b w:val="0"/>
        </w:rPr>
        <w:t xml:space="preserve">Автономная система судовождения объединяет средства наблюдения, вычислительные модули и устройства управления движением. Между ними передаются разные данные: измеренные координаты, сведения о целях, ограничения маршрута, заданные курс и скорость, команды исполнительным механизмам. При замкнутом управлении результат действия вновь измеряется и используется для следующей команды. Такая обратная связь позволяет корректировать движение по фактическому состоянию судна [15, с. 5–6]. Функциональная последовательность включает определение собственного состояния, наблюдение за объектами, согласование данных, оценку опасности, построение движения и его исполнение. Состав оборудования и распределение вычислений зависят от проекта.</w:t>
      </w:r>
    </w:p>
    <w:p>
      <w:pPr>
        <w:pStyle w:val="BodyText"/>
      </w:pPr>
      <w:r>
        <w:rPr>
          <w:b w:val="0"/>
        </w:rPr>
        <w:t xml:space="preserve">Такое разделение согласуется с обзором архитектуры автономной навигации, опубликованным в 2025 году. Авторы связывают ситуационную осведомлённость и объединение данных датчиков с предотвращением столкновений, а принятые решения — с управлением движением и исполнительными механизмами [19, разд. 3.1, 3.4]. Обзор служит основанием для описания функциональных связей; фактическая точность и надёжность конкретного комплекса устанавливаются по его испытаниям.</w:t>
      </w:r>
    </w:p>
    <w:p>
      <w:pPr>
        <w:pStyle w:val="BodyText"/>
      </w:pPr>
      <w:r>
        <w:rPr>
          <w:b w:val="0"/>
        </w:rPr>
        <w:t xml:space="preserve">Первый набор данных описывает собственное судно. Приёмник глобальной навигационной спутниковой системы (ГНСС) предоставляет навигационное решение о его положении и движении; гирокомпас — курс; лаг — скорость в соответствии с используемым принципом измерения; датчик угловой скорости — быстроту поворота. Эхолот даёт сведения о глубине под преобразователем, а датчики рулевой и энергетической установок показывают фактическое положение органов управления и состояние механизмов. В техническом составе, рассмотренном в учебном курсе, дополнительно предусмотрены инерциальная навигация, средства измерения ветра, качки и видимости [12, с. 3–4]. Для расчёта манёвра эти величины имеют разное назначение: координаты показывают, где находится судно, курс — куда направлена его диаметральная плоскость, скорость и угловая скорость — как оно движется в данный момент.</w:t>
      </w:r>
    </w:p>
    <w:p>
      <w:pPr>
        <w:pStyle w:val="BodyText"/>
      </w:pPr>
      <w:r>
        <w:rPr>
          <w:b w:val="0"/>
        </w:rPr>
        <w:t xml:space="preserve">Второй набор данных относится к окружающим объектам. Радиолокационная станция (РЛС) и средства сопровождения целей дают наблюдения об обнаруженных объектах и их движении. Автоматическая идентификационная система (АИС) служит источником передаваемых участниками данных; её сообщения необходимо сопоставлять с другими наблюдениями. Оптические средства анализируют изображения видимого и инфракрасного диапазонов. В отдельных комплектациях предусматриваются лазерные дальномеры, лидары и средства приёма внешних звуковых сигналов [12, с. 3–4; 13, с. 39]. Различные каналы позволяют исследовать один объект с разных сторон: получить его положение относительно судна, признаки внешнего вида и доступные идентификационные сведения. Наличие одного канала не подтверждает полноту наблюдения всей акватории.</w:t>
      </w:r>
    </w:p>
    <w:p>
      <w:pPr>
        <w:pStyle w:val="BodyText"/>
      </w:pPr>
      <w:r>
        <w:rPr>
          <w:b w:val="0"/>
        </w:rPr>
        <w:t xml:space="preserve">Работу оптической подсистемы можно проследить по конкретной последовательности обработки. В описанном учебном примере кадры нескольких камер собираются с общей временной привязкой, корректируются и объединяются в панорамное изображение. Затем программа выделяет объекты, определяет доступные признаки и связывает наблюдения на последовательных кадрах. Результатом становится формуляр цели: её идентификатор, тип и оценённые параметры. При достаточной продолжительности наблюдения определяются характеристики движения. На экран оператора передаётся изображение с обозначениями объектов, а в навигационную систему — формуляры в согласованном формате [13, с. 39–40]. Таким образом, видеопоток для человека и данные для расчёта манёвра являются разными выходами одной подсистемы.</w:t>
      </w:r>
    </w:p>
    <w:p>
      <w:pPr>
        <w:pStyle w:val="BodyText"/>
      </w:pPr>
      <w:r>
        <w:rPr>
          <w:b w:val="0"/>
        </w:rPr>
        <w:t xml:space="preserve">Согласование наблюдений требуется потому, что одна цель может присутствовать сразу в нескольких источниках. Если объект обнаружен камерой и РЛС и одновременно передаёт данные АИС, вычислительная система должна установить, относятся ли эти записи к одному судну. В учебном описании предусмотрено сопоставление информации оптической подсистемы, АИС и РЛС [13, с. 40]. Для анализа такой функции существенны система координат, момент наблюдения и погрешность: сравнивать необработанные числа без их приведения к сопоставимому виду недостаточно. Например, после изменения движения цели прежнее сообщение и новое измерение могут расходиться без отказа датчика. Это объясняет, почему в исследовании наряду с координатами необходимо учитывать возраст данных и качество сопровождения. Конкретный алгоритм объединения наблюдений и его параметры должны устанавливаться по документации рассматриваемого комплекса.</w:t>
      </w:r>
    </w:p>
    <w:p>
      <w:pPr>
        <w:pStyle w:val="BodyText"/>
      </w:pPr>
      <w:r>
        <w:rPr>
          <w:b w:val="0"/>
        </w:rPr>
        <w:t xml:space="preserve">Навигационная модель связывает сведения о целях с положением собственного судна и ограничениями акватории. Для плоского описания движения используются координаты положения, курс, продольная и поперечная скорости и угловая скорость рыскания. В модели морского судна Фоссена эти величины разделены на положение и ориентацию относительно неподвижной системы координат и скорости в системе, связанной с корпусом. Динамическая часть учитывает инерцию, присоединённые массы, гидродинамическое сопротивление, управляющие силы и внешние воздействия [17, разделы Mathematical Formulation и 3-DOF Surface Craft]. Практический смысл такого разделения состоит в том, что намеченная линия движения должна быть достижима судном с его текущей скоростью и управляемостью. Геометрически свободный поворот ещё требует проверки по динамике движения.</w:t>
      </w:r>
    </w:p>
    <w:p>
      <w:pPr>
        <w:pStyle w:val="BodyText"/>
      </w:pPr>
      <w:r>
        <w:rPr>
          <w:b w:val="0"/>
        </w:rPr>
        <w:t xml:space="preserve">При оценке опасности рассчитывается взаимное положение судна и целей относительно планируемого движения. В учебном описании модуля предупреждения столкновений используются координаты, путевые углы и скорости целей, сведения о собственном судне, маршрут, береговые границы, мели и другие ограничения. По этим данным модуль выделяет опасные цели и нарушения ограничений, после чего рассчитывает варианты расхождения [14, с. 55–56]. Здесь прослеживается переход от наблюдения к решению: отметка цели становится основанием для манёвра только после оценки её движения и связи с доступным путём. Для узкости этот этап особенно важен, поскольку действие, увеличивающее расстояние до одного судна, может приблизить собственное судно к границе безопасных глубин.</w:t>
      </w:r>
    </w:p>
    <w:p>
      <w:pPr>
        <w:pStyle w:val="BodyText"/>
      </w:pPr>
      <w:r>
        <w:rPr>
          <w:b w:val="0"/>
        </w:rPr>
        <w:t xml:space="preserve">Построитель движения формирует последовательность допустимых положений судна и изменения скорости. Исходный маршрут задаёт общий путь, а локальный манёвр уточняет его с учётом текущей обстановки. При проверке варианта должны учитываться другие суда, неподвижные опасности и возможность его исполнения. Кодекс MASS требует, чтобы действия по предотвращению столкновения, навала или посадки на мель не создавали иной ситуации с неприемлемым риском [1, с. 39–40]. Поэтому результат работы этого модуля нельзя описывать только командой «повернуть вправо». Требуется определить, где начинается поворот, как изменяется движение, остаётся ли судно в допустимом пространстве и как оно продолжает переход после расхождения.</w:t>
      </w:r>
    </w:p>
    <w:p>
      <w:pPr>
        <w:pStyle w:val="BodyText"/>
      </w:pPr>
      <w:r>
        <w:rPr>
          <w:b w:val="0"/>
        </w:rPr>
        <w:t xml:space="preserve">Следующий уровень отвечает за движение по выбранному пути. Система управления маршрутом сравнивает положение судна с активным участком и рассчитывает задание для авторулевого. В режиме удержания линии пути регулируемой величиной является боковое отклонение от этой линии. В другом режиме система направляет судно к путевой точке; возвращение на исходную линию при этом может не быть целью управления [14, с. 58–59]. Различие существенно для узкости: направление к одной и той же точке не означает одинаковую траекторию подхода. Следовательно, проверять нужно и координаты конечной точки, и путь, по которому система собирается к ней прийти.</w:t>
      </w:r>
    </w:p>
    <w:p>
      <w:pPr>
        <w:pStyle w:val="BodyText"/>
      </w:pPr>
      <w:r>
        <w:rPr>
          <w:b w:val="0"/>
        </w:rPr>
        <w:t xml:space="preserve">Авторулевой работает с заданием курса. Он сопоставляет его с измеренным курсом и формирует управляющее воздействие, изменяющее движение судна. В рассмотренной схеме контур управления маршрутом задаёт курс, а внутренний контур курса участвует в устранении бокового отклонения [14, с. 58]. Исполнительный уровень реализует команды через имеющиеся на судне средства: рулевую машину, управление главным двигателем, винторулевыми колонками либо другими движителями. Их объединение с мостиковыми средствами описывается как взаимодействие подсистем интегрированной системы управления [15, с. 5–6]. После воздействия вновь измеряются движение судна и состояние механизмов. Если фактический поворот не соответствует ожидаемому, следующая команда формируется уже с учётом этого расхождения.</w:t>
      </w:r>
    </w:p>
    <w:p>
      <w:pPr>
        <w:pStyle w:val="BodyText"/>
      </w:pPr>
      <w:r>
        <w:rPr>
          <w:b w:val="0"/>
        </w:rPr>
        <w:t xml:space="preserve">Разделение уровней объясняет отличие авторулевого от автономного судовождения. Удержание заданного курса является задачей исполнения. Выбор самого курса с учётом встречного судна, глубин и применимых требований относится к более высоким уровням. Система может точно вести судно по заданной линии, но для безопасного автономного прохода дополнительно требуются обнаружение объектов, оценка ситуации и изменение плана движения. В таблице 1.2 приведена функциональная схема, составленная по рассмотренным источникам; она не задаёт обязательную комплектацию любого автономного судна.</w:t>
      </w:r>
    </w:p>
    <w:p>
      <w:pPr>
        <w:pStyle w:val="BodyText"/>
        <w:keepNext/>
        <w:ind w:firstLine="0"/>
        <w:jc w:val="left"/>
      </w:pPr>
      <w:r>
        <w:rPr>
          <w:rFonts w:ascii="Times New Roman" w:hAnsi="Times New Roman"/>
          <w:b w:val="0"/>
          <w:sz w:val="24"/>
        </w:rPr>
        <w:t xml:space="preserve">Таблица 1.2 — Передача данных и команд в системе автономного судовождения</w:t>
      </w:r>
    </w:p>
    <w:tbl>
      <w:tblPr>
        <w:tblStyle w:val="TableGrid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81"/>
        <w:gridCol w:w="3288"/>
        <w:gridCol w:w="3685"/>
      </w:tblGrid>
      <w:tr>
        <w:trPr>
          <w:tblHeader w:val="true"/>
          <w:cantSplit/>
        </w:trPr>
        <w:tc>
          <w:tcPr>
            <w:tcW w:type="dxa" w:w="238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Звено системы</w:t>
            </w:r>
          </w:p>
        </w:tc>
        <w:tc>
          <w:tcPr>
            <w:tcW w:type="dxa" w:w="3288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Входные данные</w:t>
            </w:r>
          </w:p>
        </w:tc>
        <w:tc>
          <w:tcPr>
            <w:tcW w:type="dxa" w:w="3685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Обработка и выход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Оценка собственного состояния</w:t>
            </w:r>
          </w:p>
        </w:tc>
        <w:tc>
          <w:tcPr>
            <w:tcW w:type="dxa" w:w="3288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Измерения положения, курса, скорости, поворота</w:t>
            </w:r>
          </w:p>
        </w:tc>
        <w:tc>
          <w:tcPr>
            <w:tcW w:type="dxa" w:w="3685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Оценка положения и движения своего судна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Наблюдение за объектами</w:t>
            </w:r>
          </w:p>
        </w:tc>
        <w:tc>
          <w:tcPr>
            <w:tcW w:type="dxa" w:w="3288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Радиолокационные и оптические наблюдения, сообщения АИС</w:t>
            </w:r>
          </w:p>
        </w:tc>
        <w:tc>
          <w:tcPr>
            <w:tcW w:type="dxa" w:w="3685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Обнаруженные цели, доступные признаки и параметры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Согласование наблюдений</w:t>
            </w:r>
          </w:p>
        </w:tc>
        <w:tc>
          <w:tcPr>
            <w:tcW w:type="dxa" w:w="3288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Записи разных источников и моменты измерений</w:t>
            </w:r>
          </w:p>
        </w:tc>
        <w:tc>
          <w:tcPr>
            <w:tcW w:type="dxa" w:w="3685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Сопоставленные формуляры целей, выявленные расхождения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Оценка опасности и планирование</w:t>
            </w:r>
          </w:p>
        </w:tc>
        <w:tc>
          <w:tcPr>
            <w:tcW w:type="dxa" w:w="3288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Цели, маршрут, ограничения акватории, характеристики судна</w:t>
            </w:r>
          </w:p>
        </w:tc>
        <w:tc>
          <w:tcPr>
            <w:tcW w:type="dxa" w:w="3685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Допустимый вариант движения или выявленное ограничение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Управление маршрутом и курсом</w:t>
            </w:r>
          </w:p>
        </w:tc>
        <w:tc>
          <w:tcPr>
            <w:tcW w:type="dxa" w:w="3288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План движения и фактическое состояние судна</w:t>
            </w:r>
          </w:p>
        </w:tc>
        <w:tc>
          <w:tcPr>
            <w:tcW w:type="dxa" w:w="3685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Задания курса и скорости, управляющие воздействия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Исполнение и контроль</w:t>
            </w:r>
          </w:p>
        </w:tc>
        <w:tc>
          <w:tcPr>
            <w:tcW w:type="dxa" w:w="3288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Команды, состояние рулевой и энергетической установок</w:t>
            </w:r>
          </w:p>
        </w:tc>
        <w:tc>
          <w:tcPr>
            <w:tcW w:type="dxa" w:w="3685"/>
          </w:tcPr>
          <w:p>
            <w:pPr>
              <w:keepNext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Изменение движения, обратная связь и сигналы отклонений</w:t>
            </w:r>
          </w:p>
        </w:tc>
      </w:tr>
    </w:tbl>
    <w:p>
      <w:pPr>
        <w:pStyle w:val="BodyText"/>
      </w:pPr>
      <w:r>
        <w:rPr>
          <w:b w:val="0"/>
        </w:rPr>
        <w:t xml:space="preserve">Связи между звеньями определяют, какую причину ошибки следует искать. Пропущенная цель относится к наблюдению; неверное сопоставление записей — к обработке данных; опасная траектория при правильно обнаруженной цели — к оценке и планированию; невыполненный поворот при правильном задании — к управлению или исполнению. Такое разделение позволяет проверять конкретную функцию, вместо того чтобы оценивать весь комплекс по общему обозначению «автономный» [1, с. 24, 39–40; 13, с. 39–40; 14, с. 55–59; 15, с. 5–6].</w:t>
      </w:r>
    </w:p>
    <w:p>
      <w:pPr>
        <w:pStyle w:val="BodyText"/>
      </w:pPr>
      <w:r>
        <w:rPr>
          <w:b w:val="0"/>
        </w:rPr>
        <w:t xml:space="preserve">Береговой центр добавляет канал наблюдения и управления. В учебном примере комплекса «БЭС-КФ» отдельно выделены автономная навигационная система, оптические средства, пульт дистанционного управления, обмен данными и диагностика [11, с. 11–13]. В автономном режиме действия формируются соответствующими судовыми функциями; при дистанционном управлении в принятии решений участвует удалённый оператор. Для анализа необходимо установить, какие данные передаются на берег, какие команды допускаются и как подтверждается их исполнение. Кодекс MASS предусматривает определение характеристик каналов связи с учётом потребностей выполняемых функций [1, с. 41–42]. Поэтому один факт наличия связи не описывает возможности дистанционного управления в конкретной ситуации.</w:t>
      </w:r>
    </w:p>
    <w:p>
      <w:pPr>
        <w:pStyle w:val="BodyText"/>
      </w:pPr>
      <w:r>
        <w:rPr>
          <w:b w:val="0"/>
        </w:rPr>
        <w:t xml:space="preserve">Передача управления человеку требует отдельной процедуры. В рассмотренном комплексе механический переключатель на мостике позволяет отключить автономную навигационную систему от средств управления исполнительными устройствами [15, с. 9]. Организационная часть перехода должна определять, кто принимает управление и какая информация ему доступна. При выходе за эксплуатационные границы Кодекс предусматривает заранее определённое резервное состояние и оценённые действия перехода к нему [1, с. 21–22]. Для узкости нельзя заранее выбрать универсальную реакцию: остановка, продолжение движения с ограничениями или передача управления оцениваются с учётом оставшегося пространства, течения и других судов.</w:t>
      </w:r>
    </w:p>
    <w:p>
      <w:pPr>
        <w:pStyle w:val="BodyText"/>
      </w:pPr>
      <w:r>
        <w:rPr>
          <w:b w:val="0"/>
        </w:rPr>
        <w:t xml:space="preserve">Диагностика и регистрация данных замыкают проверку системы. Неполные наблюдения, прерывание связи и расхождение модели с фактической обстановкой являются основаниями выяснять причину нарушения; сами по себе такие симптомы не устанавливают кибератаку [16, с. 23–24]. Записи исходных данных, решений и команд позволяют восстановить, на каком звене возникла ошибка. Кодекс предусматривает регистрацию операций и проверку технических систем, включая интеграционные и системные испытания [1, с. 24]. В дальнейшем эти сведения используются для оценки того, какие функции российского или зарубежного проекта подтверждены именно в условиях, существенных для плавания в узкостях.</w:t>
      </w:r>
    </w:p>
    <w:bookmarkEnd w:id="22"/>
    <w:bookmarkStart w:id="23" w:name="Xdf1b120d09c46bd257b0f81b78a36e02e7173f6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1.4 Основные навигационные проблемы при плавании в узкостях</w:t>
      </w:r>
    </w:p>
    <w:p>
      <w:pPr>
        <w:pStyle w:val="FirstParagraph"/>
      </w:pPr>
      <w:r>
        <w:rPr>
          <w:b w:val="0"/>
        </w:rPr>
        <w:t xml:space="preserve">Исходной задачей является определение пространства, в котором судно может двигаться безопасно. При этом одной ширины прохода недостаточно. Руководство ММО по планированию рейса предусматривает учёт допустимой осадки, маневренных характеристик судна, глубин, опасных участков и актуальной навигационной информации. План должен охватывать переход от причала до причала, включая участки лоцманской проводки [5, п. 2.1, 3.1]. Для анализа MASS это означает необходимость связывать геометрию маршрута с характеристиками определённого судна и условиями конкретного перехода.</w:t>
      </w:r>
    </w:p>
    <w:p>
      <w:pPr>
        <w:pStyle w:val="BodyText"/>
      </w:pPr>
      <w:r>
        <w:rPr>
          <w:b w:val="0"/>
        </w:rPr>
        <w:t xml:space="preserve">Ограничение по глубине следует рассматривать вместе с выбранной скоростью и манёвром. Руководство предусматривает определение минимального запаса воды под килем на критических участках, учёт увеличения осадки из-за просадки и крена при повороте, а также положения точек изменения курса с учётом циркуляции и течений [5, п. 3.2.2.1–3.2.2.5]. В работе эти положения задают перечень проверяемых условий. Численную величину запаса, допустимую скорость или безопасную траекторию нельзя устанавливать без сведений о судне, глубинах и принятом способе расчёта.</w:t>
      </w:r>
    </w:p>
    <w:p>
      <w:pPr>
        <w:pStyle w:val="BodyText"/>
      </w:pPr>
      <w:r>
        <w:rPr>
          <w:b w:val="0"/>
        </w:rPr>
        <w:t xml:space="preserve">Для обнаружения опасности важна не только точность положения цели, но и её отношение к доступному пути. При ограниченном пространстве встречное судно, пересекающая цель и неподвижная навигационная опасность требуют разных решений. Предполагаемое изменение курса следует проверять относительно других участников движения и границ безопасного пространства. Кодекс MASS предусматривает, чтобы действие против столкновения, навала или посадки на мель не создавало иной ситуации с неприемлемым риском [1, с. 40]. Поэтому в сценарном анализе необходимо оценивать последствия манёвра для всей рассматриваемой обстановки.</w:t>
      </w:r>
    </w:p>
    <w:p>
      <w:pPr>
        <w:pStyle w:val="BodyText"/>
      </w:pPr>
      <w:r>
        <w:rPr>
          <w:b w:val="0"/>
        </w:rPr>
        <w:t xml:space="preserve">Правило 9 связывает движение в узком проходе или фарватере с положением относительно правой внешней границы, насколько это безопасно и практически возможно. В нём также учитываются суда, способные безопасно двигаться только в пределах прохода, и ограничения для других участников, которые не должны препятствовать их движению [4]. Для автономной функции существенна способность определить не только направление движения, но и обстоятельства, от которых зависит применимое требование. Выбор правой стороны пути не заменяет проверки глубин, пространства для манёвра и взаимодействия с другими судами.</w:t>
      </w:r>
    </w:p>
    <w:p>
      <w:pPr>
        <w:pStyle w:val="BodyText"/>
      </w:pPr>
      <w:r>
        <w:rPr>
          <w:b w:val="0"/>
        </w:rPr>
        <w:t xml:space="preserve">Гидрометеорологическая обстановка и видимость должны входить в описание сценария. В руководстве по планированию предусмотрен учёт течений, приливов, метеорологических условий, ночного прохождения опасных точек и надёжности определения места. При исполнении плана необходимо оценивать, не создают ли ожидаемые условия недопустимую опасность [5, п. 2.1.7, 4.2–4.3]. Для MASS эти сведения связаны с эксплуатационными границами судна и проектной областью работы отдельных функций. Кодекс предусматривает обнаружение выхода функции за такую область и заранее определённую реакцию судна при выходе за общие эксплуатационные границы [1, с. 20–21].</w:t>
      </w:r>
    </w:p>
    <w:p>
      <w:pPr>
        <w:pStyle w:val="BodyText"/>
      </w:pPr>
      <w:r>
        <w:rPr>
          <w:b w:val="0"/>
        </w:rPr>
        <w:t xml:space="preserve">Взаимодействие с берегом и другими участниками следует включать в анализ наряду с работой бортовой системы. Руководство ММО предусматривает использование сведений о системах управления движением судов, лоцманской проводке, обмене информацией между капитаном и лоцманом и береговых возможностях реагирования на аварийные ситуации [5, п. 2.1.7.5–2.1.7.8]. В дальнейшем необходимо установить, какие сообщения должна получать рассматриваемая система, кто подтверждает их понимание и кто принимает решение при изменении согласованного порядка движения. Наличие канала связи ещё не описывает содержание такого взаимодействия.</w:t>
      </w:r>
    </w:p>
    <w:p>
      <w:pPr>
        <w:pStyle w:val="BodyText"/>
      </w:pPr>
      <w:r>
        <w:rPr>
          <w:b w:val="0"/>
        </w:rPr>
        <w:t xml:space="preserve">В анализе узкостей особенно важен момент обнаружения опасности. Для условного сценария необходимо указать, когда цель становится доступной наблюдению, какие сведения нужны для определения её движения и какие действия доступны собственному судну. Затем следует проверить, достаточно ли имеющейся информации для решения и остаётся ли возможность его исполнения. Эти вопросы организуют оценку проекта; они не задают универсальное допустимое время реакции. Если в источнике отсутствуют сведения о моментах обнаружения, принятия решения и манёвра, вывод о пригодности системы для соответствующего сценария остаётся ограниченным.</w:t>
      </w:r>
    </w:p>
    <w:p>
      <w:pPr>
        <w:pStyle w:val="BodyText"/>
      </w:pPr>
      <w:r>
        <w:rPr>
          <w:b w:val="0"/>
        </w:rPr>
        <w:t xml:space="preserve">Таким образом, описание узкости для настоящего исследования включает геометрию пути и глубины, характеристики судна, движение других участников, видимость и гидрометеорологические условия, связь с берегом и доступные действия при ухудшении обстановки. Дальнейшее сравнение будет строиться по этим условиям. Прохождение маршрута в открытом море, подтверждённое источником, необходимо отличать от выполнения навигационных задач в узкости, даже если оба участка входят в один рейс.</w:t>
      </w:r>
    </w:p>
    <w:bookmarkEnd w:id="23"/>
    <w:bookmarkStart w:id="24" w:name="X6b846899848c399b3f450104d757d889aba5580"/>
    <w:p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1.5 Международные требования к безопасности автономного судовождения</w:t>
      </w:r>
    </w:p>
    <w:p>
      <w:pPr>
        <w:pStyle w:val="FirstParagraph"/>
      </w:pPr>
      <w:r>
        <w:rPr>
          <w:b w:val="0"/>
        </w:rPr>
        <w:t xml:space="preserve">Нормативная оценка MASS требует установления того, какие документы применимы к судну, его функциям и району плавания. Кодекс 2026 года дополняет существующие инструменты, имеет необязательный статус и предусматривает определённую область применения. В части безопасности навигации он связывает функциональные требования с Международной конвенцией по охране человеческой жизни на море и МППСС-72 [1, с. 7–8, 38]. Поэтому использование автономного режима не следует представлять как основание для исключения общих обязанностей по безопасному судовождению.</w:t>
      </w:r>
    </w:p>
    <w:p>
      <w:pPr>
        <w:pStyle w:val="BodyText"/>
      </w:pPr>
      <w:r>
        <w:rPr>
          <w:b w:val="0"/>
        </w:rPr>
        <w:t xml:space="preserve">В официальном обзоре ММО правило 5 связано с надлежащим наблюдением всеми подходящими средствами, правило 6 — с безопасной скоростью, правило 7 — с оценкой риска столкновения по достаточной информации, правило 8 — с действиями для его предотвращения. Правило 9 относится к движению в узком проходе или фарватере [4]. Для технического анализа эти положения задают разные вопросы: как система получает сведения, как оценивает их достаточность, как выбирает скорость и как обосновывает действие. Полную проверку конкретного манёвра необходимо проводить по применимому тексту правил и условиям ситуации; обзорная страница служит ориентиром, а не заменой такой проверки.</w:t>
      </w:r>
    </w:p>
    <w:p>
      <w:pPr>
        <w:pStyle w:val="BodyText"/>
      </w:pPr>
      <w:r>
        <w:rPr>
          <w:b w:val="0"/>
        </w:rPr>
        <w:t xml:space="preserve">Связь между общими правилами и техническими функциями раскрывается в Кодексе MASS. Поддержание ситуационной осведомлённости предполагает непрерывное наблюдение и анализ информации, понимание текущей ситуации и прогноз её развития. При предотвращении столкновения или посадки на мель изменение курса и скорости должно быть своевременным и соответствовать безопасным эксплуатационным пределам. Исполнение маршрута требует наблюдения за фактическим продвижением судна [1, с. 39–41]. Такая структура позволяет проверять не только наличие алгоритма, но и назначение каждой его функции в безопасном судовождении.</w:t>
      </w:r>
    </w:p>
    <w:p>
      <w:pPr>
        <w:pStyle w:val="BodyText"/>
      </w:pPr>
      <w:r>
        <w:rPr>
          <w:b w:val="0"/>
        </w:rPr>
        <w:t xml:space="preserve">Планирование рейса также не сводится к прокладке линии пути. Руководство ММО A.893(21) выделяет сбор и оценку информации, подробное планирование, исполнение и непрерывное наблюдение за выполнением. План включает критические глубины, ограничения судна, условия определения места и варианты действий при обстоятельствах, требующих его изменения [5, п. 1.3, 2.1, 3.2, 5.2]. Для автономной системы необходимо установить, какие сведения она использует из плана, как принимает его изменения и каким образом капитан участвует в их утверждении [1, с. 39–40].</w:t>
      </w:r>
    </w:p>
    <w:p>
      <w:pPr>
        <w:pStyle w:val="BodyText"/>
      </w:pPr>
      <w:r>
        <w:rPr>
          <w:b w:val="0"/>
        </w:rPr>
        <w:t xml:space="preserve">Вопрос человеческого контроля относится к нормативной оценке независимо от степени автоматизации. Кодекс предусматривает ответственное лицо — капитана — и возможность вмешательства. Средства принятия управления навигацией должны быть простыми в использовании, независимыми от контролируемых систем и позволять немедленно принять управление [1, с. 22, 41]. В сценариях узкостей эти положения необходимо рассматривать вместе с предоставлением человеку времени и информации для понимания ситуации. Техническая возможность переключения режима и готовность оператора продолжить управление представляют связанные, но разные условия.</w:t>
      </w:r>
    </w:p>
    <w:p>
      <w:pPr>
        <w:pStyle w:val="BodyText"/>
      </w:pPr>
      <w:r>
        <w:rPr>
          <w:b w:val="0"/>
        </w:rPr>
        <w:t xml:space="preserve">Режим проведения испытания следует отличать от обычной эксплуатации. Временное руководство MSC.1/Circ.1604 от 14 июня 2019 года определяет испытание как ограниченный по времени эксперимент для оценки альтернативного выполнения функций или соблюдения требований. Оно предусматривает разрешение администрации государства флага, а при необходимости — прибрежного государства или портовых властей. Для испытаний рассматриваются оценка риска, аварийные меры, подготовка участников и условия остановки при выходе за параметры безопасности [6, п. 1.2.2–1.2.3, 2.1–2.3]. Этот документ объясняет требования к испытательному режиму; сам по себе он не подтверждает одобрение определённой системы или завершение её проверки.</w:t>
      </w:r>
    </w:p>
    <w:p>
      <w:pPr>
        <w:pStyle w:val="BodyText"/>
      </w:pPr>
      <w:r>
        <w:rPr>
          <w:b w:val="0"/>
        </w:rPr>
        <w:t xml:space="preserve">Для российских проектов необходимо отдельно устанавливать содержание выданных документов и разрешённых режимов. Показателен опубликованный разработчиком пример паромов «Маршал Рокоссовский» и «Генерал Черняховский». В сообщении Sitronics от 3 октября 2023 года дистанционное управление описано применительно к движению в море, а прохождение узкостей и вход в порт — как ручное управление с поддержкой принятия решений [7]. Это датированное сообщение о конкретном проекте; оно не устанавливает общую норму для российского флота и не подтверждает неизменность условий в 2026 году. Для правовой оценки проекта требуются документы Регистра, эксплуатанта и применимые национальные акты.</w:t>
      </w:r>
    </w:p>
    <w:p>
      <w:pPr>
        <w:pStyle w:val="BodyText"/>
      </w:pPr>
      <w:r>
        <w:rPr>
          <w:b w:val="0"/>
        </w:rPr>
        <w:t xml:space="preserve">В дальнейшем нормативный анализ будет оформлен как связь между требованием, навигационной функцией, условиями её использования и подтверждением. Такая связь нужна, чтобы не смешивать наличие разработки, разрешение испытания, сертификацию отдельного режима и доказательство пригодности для узкости. При отсутствии первичного документа об условиях одобрения соответствующее утверждение будет обозначаться как сообщение участника проекта. Окончательная оценка российского нормативного блока должна учитывать действующие национальные документы и ограничения разрешённых режимов.</w:t>
      </w:r>
    </w:p>
    <w:bookmarkEnd w:id="24"/>
    <w:bookmarkEnd w:id="25"/>
    <w:bookmarkStart w:id="39" w:name="список-использованных-источников"/>
    <w:p>
      <w:pPr>
        <w:pStyle w:val="Heading1"/>
      </w:pPr>
      <w:r>
        <w:rPr>
          <w:rFonts w:ascii="Times New Roman" w:hAnsi="Times New Roman"/>
          <w:color w:val="000000"/>
          <w:sz w:val="28"/>
        </w:rPr>
        <w:t>СПИСОК ИСПОЛЬЗОВАННЫХ ИСТОЧНИКОВ</w:t>
      </w:r>
    </w:p>
    <w:p>
      <w:pPr>
        <w:pStyle w:val="FirstParagraph"/>
      </w:pPr>
      <w:r>
        <w:rPr>
          <w:b w:val="0"/>
        </w:rPr>
        <w:t xml:space="preserve">1 International Maritime Organization. International Code of Safety for Maritime Autonomous Surface Ships (MASS Code) : resolution MSC.595(111) // MSC 111/22. Annex 16. — 2026. — 87 p. — URL:</w:t>
      </w:r>
      <w:r>
        <w:rPr>
          <w:b w:val="0"/>
        </w:rPr>
        <w:t xml:space="preserve"> </w:t>
      </w:r>
      <w:hyperlink r:id="rId26">
        <w:r>
          <w:rPr>
            <w:rStyle w:val="Hyperlink"/>
          </w:rPr>
          <w:t xml:space="preserve">https://wwwcdn.imo.org/localresources/en/MediaCentre/Documents/MSC%20111-22-Annex%2016%20(Secretariat).pdf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08.10.2026).</w:t>
      </w:r>
    </w:p>
    <w:p>
      <w:pPr>
        <w:pStyle w:val="BodyText"/>
      </w:pPr>
      <w:r>
        <w:rPr>
          <w:b w:val="0"/>
        </w:rPr>
        <w:t xml:space="preserve">2 International Maritime Organization. Outcome of the Regulatory Scoping Exercise for the Use of Maritime Autonomous Surface Ships (MASS) : MSC.1/Circ.1638, 3 June 2021. — 2021. — URL:</w:t>
      </w:r>
      <w:r>
        <w:rPr>
          <w:b w:val="0"/>
        </w:rPr>
        <w:t xml:space="preserve"> </w:t>
      </w:r>
      <w:hyperlink r:id="rId27">
        <w:r>
          <w:rPr>
            <w:rStyle w:val="Hyperlink"/>
          </w:rPr>
          <w:t xml:space="preserve">https://wwwcdn.imo.org/localresources/en/MediaCentre/Documents/MSC.1-Circ.1638%20-%20Outcome%20Of%20The%20Regulatory%20Scoping%20ExerciseFor%20The%20Use%20Of%20Maritime%20Autonomous%20Surface%20Ships...%20(Secretariat).pdf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08.10.2026).</w:t>
      </w:r>
    </w:p>
    <w:p>
      <w:pPr>
        <w:pStyle w:val="BodyText"/>
      </w:pPr>
      <w:r>
        <w:rPr>
          <w:b w:val="0"/>
        </w:rPr>
        <w:t xml:space="preserve">3 International Maritime Organization. FAQ — Autonomous shipping. — URL:</w:t>
      </w:r>
      <w:r>
        <w:rPr>
          <w:b w:val="0"/>
        </w:rPr>
        <w:t xml:space="preserve"> </w:t>
      </w:r>
      <w:hyperlink r:id="rId28">
        <w:r>
          <w:rPr>
            <w:rStyle w:val="Hyperlink"/>
          </w:rPr>
          <w:t xml:space="preserve">https://www.imo.org/en/mediacentre/hottopics/pages/autonomous-shipping.aspx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08.10.2026).</w:t>
      </w:r>
    </w:p>
    <w:p>
      <w:pPr>
        <w:pStyle w:val="BodyText"/>
      </w:pPr>
      <w:r>
        <w:rPr>
          <w:b w:val="0"/>
        </w:rPr>
        <w:t xml:space="preserve">4 International Maritime Organization. Convention on the International Regulations for Preventing Collisions at Sea, 1972 (COLREGs) : official overview. — URL:</w:t>
      </w:r>
      <w:r>
        <w:rPr>
          <w:b w:val="0"/>
        </w:rPr>
        <w:t xml:space="preserve"> </w:t>
      </w:r>
      <w:hyperlink r:id="rId29">
        <w:r>
          <w:rPr>
            <w:rStyle w:val="Hyperlink"/>
          </w:rPr>
          <w:t xml:space="preserve">https://www.imo.org/en/about/conventions/pages/colreg.aspx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5 International Maritime Organization. Guidelines for Voyage Planning : resolution A.893(21), adopted on 25 November 1999. — URL:</w:t>
      </w:r>
      <w:r>
        <w:rPr>
          <w:b w:val="0"/>
        </w:rPr>
        <w:t xml:space="preserve"> </w:t>
      </w:r>
      <w:hyperlink r:id="rId30">
        <w:r>
          <w:rPr>
            <w:rStyle w:val="Hyperlink"/>
          </w:rPr>
          <w:t xml:space="preserve">https://wwwcdn.imo.org/localresources/en/KnowledgeCentre/IndexofIMOResolutions/AssemblyDocuments/A.893(21).pdf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6 International Maritime Organization. Interim Guidelines for MASS Trials : MSC.1/Circ.1604, 14 June 2019. — URL:</w:t>
      </w:r>
      <w:r>
        <w:rPr>
          <w:b w:val="0"/>
        </w:rPr>
        <w:t xml:space="preserve"> </w:t>
      </w:r>
      <w:hyperlink r:id="rId31">
        <w:r>
          <w:rPr>
            <w:rStyle w:val="Hyperlink"/>
          </w:rPr>
          <w:t xml:space="preserve">https://wwwcdn.imo.org/localresources/en/MediaCentre/HotTopics/Documents/MSC.1-Circ.1604%20-%20Interim%20Guidelines%20For%20Mass%20Trials%20%28Secretariat%29.pdf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08.10.2026).</w:t>
      </w:r>
    </w:p>
    <w:p>
      <w:pPr>
        <w:pStyle w:val="BodyText"/>
      </w:pPr>
      <w:r>
        <w:rPr>
          <w:b w:val="0"/>
        </w:rPr>
        <w:t xml:space="preserve">7 Sitronics Group. Паромы ФГУП «Росморпорт» получили первые в России удостоверения морских автономных и дистанционно управляемых надводных судов. — 03.10.2023. — URL:</w:t>
      </w:r>
      <w:r>
        <w:rPr>
          <w:b w:val="0"/>
        </w:rPr>
        <w:t xml:space="preserve"> </w:t>
      </w:r>
      <w:hyperlink r:id="rId32">
        <w:r>
          <w:rPr>
            <w:rStyle w:val="Hyperlink"/>
          </w:rPr>
          <w:t xml:space="preserve">https://www.sitronics.com/reports/15295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8 Sitronics Group. Компания Sitronics KT продемонстрировала автономное судовождение в реальных условиях. — 11.05.2021. — URL:</w:t>
      </w:r>
      <w:r>
        <w:rPr>
          <w:b w:val="0"/>
        </w:rPr>
        <w:t xml:space="preserve"> </w:t>
      </w:r>
      <w:hyperlink r:id="rId33">
        <w:r>
          <w:rPr>
            <w:rStyle w:val="Hyperlink"/>
          </w:rPr>
          <w:t xml:space="preserve">https://www.sitronics.com/reports/6966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9 Sitronics Group. В России началась коммерческая эксплуатация первого морского судна в режиме дистанционного управления: паром «Генерал Черняховский» начал автономный рейс. — 19.12.2023. — URL:</w:t>
      </w:r>
      <w:r>
        <w:rPr>
          <w:b w:val="0"/>
        </w:rPr>
        <w:t xml:space="preserve"> </w:t>
      </w:r>
      <w:hyperlink r:id="rId34">
        <w:r>
          <w:rPr>
            <w:rStyle w:val="Hyperlink"/>
          </w:rPr>
          <w:t xml:space="preserve">https://www.sitronics.com/reports/15592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10 Sitronics Group. Безэкипажный катер Sitronics KT доставил бюллетени для голосования и избирательную документацию на островные территории Архангельской области. — 15.09.2026. — URL:</w:t>
      </w:r>
      <w:r>
        <w:rPr>
          <w:b w:val="0"/>
        </w:rPr>
        <w:t xml:space="preserve"> </w:t>
      </w:r>
      <w:hyperlink r:id="rId35">
        <w:r>
          <w:rPr>
            <w:rStyle w:val="Hyperlink"/>
          </w:rPr>
          <w:t xml:space="preserve">https://www.sitronics.com/reports/18730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11 Раздел 2. Принципы организации структуры МАНС : учебный материал [Электронный ресурс] // СДО «Фарватер». — [Б. г.]. — 24 с.</w:t>
      </w:r>
    </w:p>
    <w:p>
      <w:pPr>
        <w:pStyle w:val="BodyText"/>
      </w:pPr>
      <w:r>
        <w:rPr>
          <w:b w:val="0"/>
        </w:rPr>
        <w:t xml:space="preserve">12 Раздел 4. Технические средства судовождения МАНС : учебный материал [Электронный ресурс] // СДО «Фарватер». — [Б. г.]. — 25 с.</w:t>
      </w:r>
    </w:p>
    <w:p>
      <w:pPr>
        <w:pStyle w:val="BodyText"/>
      </w:pPr>
      <w:r>
        <w:rPr>
          <w:b w:val="0"/>
        </w:rPr>
        <w:t xml:space="preserve">13 Раздел 5. Информационные потоки МАНС : учебный материал [Электронный ресурс] // СДО «Фарватер». — [Б. г.]. — 49 с.</w:t>
      </w:r>
    </w:p>
    <w:p>
      <w:pPr>
        <w:pStyle w:val="BodyText"/>
      </w:pPr>
      <w:r>
        <w:rPr>
          <w:b w:val="0"/>
        </w:rPr>
        <w:t xml:space="preserve">14 Раздел 3. Математические основы средств автономности судна : учебный материал [Электронный ресурс] // СДО «Фарватер». — [Б. г.]. — 69 с.</w:t>
      </w:r>
    </w:p>
    <w:p>
      <w:pPr>
        <w:pStyle w:val="BodyText"/>
      </w:pPr>
      <w:r>
        <w:rPr>
          <w:b w:val="0"/>
        </w:rPr>
        <w:t xml:space="preserve">15 Раздел 8. Управление МАНС : учебный материал [Электронный ресурс] // СДО «Фарватер». — [Б. г.]. — 18 с.</w:t>
      </w:r>
    </w:p>
    <w:p>
      <w:pPr>
        <w:pStyle w:val="BodyText"/>
      </w:pPr>
      <w:r>
        <w:rPr>
          <w:b w:val="0"/>
        </w:rPr>
        <w:t xml:space="preserve">16 Раздел 7. Кибербезопасность : учебный материал [Электронный ресурс] // СДО «Фарватер». — [Б. г.]. — 35 с.</w:t>
      </w:r>
    </w:p>
    <w:p>
      <w:pPr>
        <w:pStyle w:val="BodyText"/>
      </w:pPr>
      <w:r>
        <w:rPr>
          <w:b w:val="0"/>
        </w:rPr>
        <w:t xml:space="preserve">17 Fossen T. I. Fossen’s Marine Craft Model [Электронный ресурс]. — URL:</w:t>
      </w:r>
      <w:r>
        <w:rPr>
          <w:b w:val="0"/>
        </w:rPr>
        <w:t xml:space="preserve"> </w:t>
      </w:r>
      <w:hyperlink r:id="rId36">
        <w:r>
          <w:rPr>
            <w:rStyle w:val="Hyperlink"/>
          </w:rPr>
          <w:t xml:space="preserve">https://www.fossen.biz/html/marineCraftModel.html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18 United States Coast Guard Navigation Center. Navigation Rules: Amalgamated [Электронный ресурс] : международные положения правил 3 и 9. — URL:</w:t>
      </w:r>
      <w:r>
        <w:rPr>
          <w:b w:val="0"/>
        </w:rPr>
        <w:t xml:space="preserve"> </w:t>
      </w:r>
      <w:hyperlink r:id="rId37">
        <w:r>
          <w:rPr>
            <w:rStyle w:val="Hyperlink"/>
          </w:rPr>
          <w:t xml:space="preserve">https://www.navcen.uscg.gov/navigation-rules-amalgamated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p>
      <w:pPr>
        <w:pStyle w:val="BodyText"/>
      </w:pPr>
      <w:r>
        <w:rPr>
          <w:b w:val="0"/>
        </w:rPr>
        <w:t xml:space="preserve">19 Alamoush A. S., Ölçer A. I. Maritime Autonomous Surface Ships: Architecture for Autonomous Navigation Systems // Journal of Marine Science and Engineering. — 2025. — Vol. 13, no. 1. — Art. 122. — DOI: 10.3390/jmse13010122. — URL:</w:t>
      </w:r>
      <w:r>
        <w:rPr>
          <w:b w:val="0"/>
        </w:rPr>
        <w:t xml:space="preserve"> </w:t>
      </w:r>
      <w:hyperlink r:id="rId38">
        <w:r>
          <w:rPr>
            <w:rStyle w:val="Hyperlink"/>
          </w:rPr>
          <w:t xml:space="preserve">https://www.mdpi.com/2077-1312/13/1/122</w:t>
        </w:r>
      </w:hyperlink>
      <w:r>
        <w:rPr>
          <w:b w:val="0"/>
        </w:rPr>
        <w:t xml:space="preserve"> </w:t>
      </w:r>
      <w:r>
        <w:rPr>
          <w:b w:val="0"/>
        </w:rPr>
        <w:t xml:space="preserve">(дата обращения: 09.10.2026).</w:t>
      </w:r>
    </w:p>
    <w:bookmarkEnd w:id="39"/>
    <w:sectPr w:rsidR="00FC693F" w:rsidRPr="0006063C" w:rsidSect="00034616">
      <w:footerReference r:id="rId9" w:type="default"/>
      <w:pgSz w:h="16838" w:w="11906"/>
      <w:pgMar w:bottom="1134" w:footer="720" w:gutter="0" w:header="720" w:left="1701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8"/>
      <w:lang w:val="ru-RU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240" w:line="360" w:lineRule="auto"/>
      <w:ind w:firstLine="0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color w:val="000000"/>
      <w:sz w:val="28"/>
      <w:szCs w:val="28"/>
      <w:lang w:val="ru-RU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after="120" w:before="240" w:line="360" w:lineRule="auto"/>
      <w:ind w:firstLine="0"/>
      <w:jc w:val="center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color w:val="000000"/>
      <w:sz w:val="28"/>
      <w:szCs w:val="26"/>
      <w:lang w:val="ru-RU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360" w:lineRule="auto"/>
      <w:ind w:firstLine="0"/>
      <w:jc w:val="center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20" w:line="360" w:lineRule="auto"/>
      <w:ind w:firstLine="0"/>
      <w:jc w:val="center"/>
      <w:outlineLvl w:val="3"/>
    </w:pPr>
    <w:rPr>
      <w:rFonts w:ascii="Times New Roman" w:asciiTheme="majorHAnsi" w:cstheme="majorBidi" w:eastAsia="Times New Roman" w:eastAsiaTheme="majorEastAsia" w:hAnsi="Times New Roman" w:hAnsiTheme="majorHAnsi"/>
      <w:b/>
      <w:bCs/>
      <w:i w:val="0"/>
      <w:iCs/>
      <w:color w:val="000000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20" w:before="240" w:line="36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240" w:line="360" w:lineRule="auto"/>
      <w:ind w:firstLine="0"/>
      <w:jc w:val="center"/>
    </w:pPr>
    <w:rPr>
      <w:rFonts w:ascii="Times New Roman" w:asciiTheme="majorHAnsi" w:cstheme="majorBidi" w:eastAsia="Times New Roman" w:eastAsiaTheme="majorEastAsia" w:hAnsi="Times New Roman" w:hAnsiTheme="majorHAnsi"/>
      <w:b w:val="0"/>
      <w:i w:val="0"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8"/>
      <w:lang w:val="ru-RU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bCs/>
      <w:i w:val="0"/>
      <w:color w:val="000000"/>
      <w:sz w:val="24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0" w:before="0" w:line="360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8"/>
      <w:lang w:val="ru-RU"/>
    </w:rPr>
  </w:style>
  <w:style w:customStyle="1" w:styleId="Hyperlink" w:type="character">
    <w:name w:val="Hyperlink"/>
    <w:rPr>
      <w:rFonts w:ascii="Times New Roman" w:hAnsi="Times New Roman"/>
      <w:color w:val="000000"/>
      <w:sz w:val="28"/>
      <w:u w:val="non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36" Type="http://schemas.openxmlformats.org/officeDocument/2006/relationships/hyperlink" Target="https://www.fossen.biz/html/marineCraftModel.html" TargetMode="External"/><Relationship Id="rId29" Type="http://schemas.openxmlformats.org/officeDocument/2006/relationships/hyperlink" Target="https://www.imo.org/en/about/conventions/pages/colreg.aspx" TargetMode="External"/><Relationship Id="rId28" Type="http://schemas.openxmlformats.org/officeDocument/2006/relationships/hyperlink" Target="https://www.imo.org/en/mediacentre/hottopics/pages/autonomous-shipping.aspx" TargetMode="External"/><Relationship Id="rId38" Type="http://schemas.openxmlformats.org/officeDocument/2006/relationships/hyperlink" Target="https://www.mdpi.com/2077-1312/13/1/122" TargetMode="External"/><Relationship Id="rId37" Type="http://schemas.openxmlformats.org/officeDocument/2006/relationships/hyperlink" Target="https://www.navcen.uscg.gov/navigation-rules-amalgamated" TargetMode="External"/><Relationship Id="rId32" Type="http://schemas.openxmlformats.org/officeDocument/2006/relationships/hyperlink" Target="https://www.sitronics.com/reports/15295" TargetMode="External"/><Relationship Id="rId34" Type="http://schemas.openxmlformats.org/officeDocument/2006/relationships/hyperlink" Target="https://www.sitronics.com/reports/15592" TargetMode="External"/><Relationship Id="rId35" Type="http://schemas.openxmlformats.org/officeDocument/2006/relationships/hyperlink" Target="https://www.sitronics.com/reports/18730" TargetMode="External"/><Relationship Id="rId33" Type="http://schemas.openxmlformats.org/officeDocument/2006/relationships/hyperlink" Target="https://www.sitronics.com/reports/6966" TargetMode="External"/><Relationship Id="rId30" Type="http://schemas.openxmlformats.org/officeDocument/2006/relationships/hyperlink" Target="https://wwwcdn.imo.org/localresources/en/KnowledgeCentre/IndexofIMOResolutions/AssemblyDocuments/A.893(21).pdf" TargetMode="External"/><Relationship Id="rId26" Type="http://schemas.openxmlformats.org/officeDocument/2006/relationships/hyperlink" Target="https://wwwcdn.imo.org/localresources/en/MediaCentre/Documents/MSC%20111-22-Annex%2016%20(Secretariat).pdf" TargetMode="External"/><Relationship Id="rId27" Type="http://schemas.openxmlformats.org/officeDocument/2006/relationships/hyperlink" Target="https://wwwcdn.imo.org/localresources/en/MediaCentre/Documents/MSC.1-Circ.1638%20-%20Outcome%20Of%20The%20Regulatory%20Scoping%20ExerciseFor%20The%20Use%20Of%20Maritime%20Autonomous%20Surface%20Ships...%20(Secretariat).pdf" TargetMode="External"/><Relationship Id="rId31" Type="http://schemas.openxmlformats.org/officeDocument/2006/relationships/hyperlink" Target="https://wwwcdn.imo.org/localresources/en/MediaCentre/HotTopics/Documents/MSC.1-Circ.1604%20-%20Interim%20Guidelines%20For%20Mass%20Trials%20%28Secretariat%29.pdf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https://www.fossen.biz/html/marineCraftModel.html" TargetMode="External"/><Relationship Id="rId29" Type="http://schemas.openxmlformats.org/officeDocument/2006/relationships/hyperlink" Target="https://www.imo.org/en/about/conventions/pages/colreg.aspx" TargetMode="External"/><Relationship Id="rId28" Type="http://schemas.openxmlformats.org/officeDocument/2006/relationships/hyperlink" Target="https://www.imo.org/en/mediacentre/hottopics/pages/autonomous-shipping.aspx" TargetMode="External"/><Relationship Id="rId38" Type="http://schemas.openxmlformats.org/officeDocument/2006/relationships/hyperlink" Target="https://www.mdpi.com/2077-1312/13/1/122" TargetMode="External"/><Relationship Id="rId37" Type="http://schemas.openxmlformats.org/officeDocument/2006/relationships/hyperlink" Target="https://www.navcen.uscg.gov/navigation-rules-amalgamated" TargetMode="External"/><Relationship Id="rId32" Type="http://schemas.openxmlformats.org/officeDocument/2006/relationships/hyperlink" Target="https://www.sitronics.com/reports/15295" TargetMode="External"/><Relationship Id="rId34" Type="http://schemas.openxmlformats.org/officeDocument/2006/relationships/hyperlink" Target="https://www.sitronics.com/reports/15592" TargetMode="External"/><Relationship Id="rId35" Type="http://schemas.openxmlformats.org/officeDocument/2006/relationships/hyperlink" Target="https://www.sitronics.com/reports/18730" TargetMode="External"/><Relationship Id="rId33" Type="http://schemas.openxmlformats.org/officeDocument/2006/relationships/hyperlink" Target="https://www.sitronics.com/reports/6966" TargetMode="External"/><Relationship Id="rId30" Type="http://schemas.openxmlformats.org/officeDocument/2006/relationships/hyperlink" Target="https://wwwcdn.imo.org/localresources/en/KnowledgeCentre/IndexofIMOResolutions/AssemblyDocuments/A.893(21).pdf" TargetMode="External"/><Relationship Id="rId26" Type="http://schemas.openxmlformats.org/officeDocument/2006/relationships/hyperlink" Target="https://wwwcdn.imo.org/localresources/en/MediaCentre/Documents/MSC%20111-22-Annex%2016%20(Secretariat).pdf" TargetMode="External"/><Relationship Id="rId27" Type="http://schemas.openxmlformats.org/officeDocument/2006/relationships/hyperlink" Target="https://wwwcdn.imo.org/localresources/en/MediaCentre/Documents/MSC.1-Circ.1638%20-%20Outcome%20Of%20The%20Regulatory%20Scoping%20ExerciseFor%20The%20Use%20Of%20Maritime%20Autonomous%20Surface%20Ships...%20(Secretariat).pdf" TargetMode="External"/><Relationship Id="rId31" Type="http://schemas.openxmlformats.org/officeDocument/2006/relationships/hyperlink" Target="https://wwwcdn.imo.org/localresources/en/MediaCentre/HotTopics/Documents/MSC.1-Circ.1604%20-%20Interim%20Guidelines%20For%20Mass%20Trials%20%28Secretariat%2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2026-10-09T19:22:13Z</dcterms:created>
  <dcterms:modified xsi:type="dcterms:W3CDTF">2026-10-09T19:22:13Z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