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81a4be41f3d8a6f408f003d821cb6cd7048639"/>
    <w:p>
      <w:pPr>
        <w:pStyle w:val="Heading1"/>
        <w:pageBreakBefore w:val="0"/>
      </w:pPr>
      <w:r>
        <w:rPr>
          <w:rFonts w:ascii="Times New Roman" w:hAnsi="Times New Roman"/>
          <w:color w:val="000000"/>
          <w:sz w:val="28"/>
        </w:rPr>
        <w:t>1 ТЕОРЕТИЧЕСКИЕ И НОРМАТИВНЫЕ ОСНОВЫ АВТОНОМНОГО СУДОВОЖДЕНИЯ ПРИ ПЛАВАНИИ В УЗКОСТЯХ</w:t>
      </w:r>
    </w:p>
    <w:bookmarkStart w:id="20" w:name="Xdad6f52ab5828a7ff9addc932cc1a3c09c46013"/>
    <w:p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1.1 Понятия, режимы управления и участие человека</w:t>
      </w:r>
    </w:p>
    <w:p>
      <w:pPr>
        <w:pStyle w:val="FirstParagraph"/>
      </w:pPr>
      <w:r>
        <w:rPr>
          <w:b w:val="0"/>
        </w:rPr>
        <w:t xml:space="preserve">Автономное судовождение рассматривается в настоящей работе через распределение навигационных задач между человеком и техническими системами. Такое распределение необходимо описывать для определённых условий плавания: один и тот же способ управления может предусматривать разные ограничения при переходе по открытому морю и при движении в узкости. Основанием для анализа служит функциональный подход Кодекса безопасности автономных надводных судов, который связывает режимы работы с выполняемыми задачами, участием человека и допустимыми условиями эксплуатации [1, с. 20–22].</w:t>
      </w:r>
    </w:p>
    <w:p>
      <w:pPr>
        <w:pStyle w:val="BodyText"/>
      </w:pPr>
      <w:r>
        <w:rPr>
          <w:b w:val="0"/>
        </w:rPr>
        <w:t xml:space="preserve">Международная морская организация (ММО) определяет автономное надводное судно — Maritime Autonomous Surface Ship (MASS) — как судно, способное в различной степени действовать независимо от взаимодействия с человеком. Это определение не устанавливает обязательного отсутствия экипажа. В Кодексе отдельно предусмотрено применение автономных и дистанционно управляемых функций при наличии людей на борту, выполняющих другие задачи [1, с. 8–9]. Поэтому в рамках исследования необходимо устанавливать, какие именно функции переданы технической системе или оператору за пределами судна, а также кто контролирует их выполнение.</w:t>
      </w:r>
    </w:p>
    <w:p>
      <w:pPr>
        <w:pStyle w:val="BodyText"/>
      </w:pPr>
      <w:r>
        <w:rPr>
          <w:b w:val="0"/>
        </w:rPr>
        <w:t xml:space="preserve">В мае 2026 года ММО приняла Кодекс безопасности MASS резолюцией MSC.595(111); начало его применения предусмотрено с 1 июля 2026 года [1, с. 1; 3]. Кодекс имеет необязательный статус и дополняет применимые международные инструменты. Согласно разделу об области применения, он относится к грузовым судам, на которые распространяется глава I Международной конвенции по охране человеческой жизни на море 1974 года, и связанным с ними центрам дистанционного управления при указанных в Кодексе условиях. Его положения нельзя автоматически представлять как универсальные обязательные правила для любого автономного плавсредства [1, с. 7–8].</w:t>
      </w:r>
    </w:p>
    <w:p>
      <w:pPr>
        <w:pStyle w:val="BodyText"/>
      </w:pPr>
      <w:r>
        <w:rPr>
          <w:b w:val="0"/>
        </w:rPr>
        <w:t xml:space="preserve">Кодекс разграничивает повышенную автоматизацию обычного судна и использование автономных либо дистанционно управляемых функций, которые дополняют или заменяют работу экипажа. Автономность процесса или оборудования определяется способностью в заданных условиях выбирать управляющие действия без вмешательства человека; такие свойства должны быть предусмотрены проектом и проверены. Дистанционное управление означает выполнение управления функциями и системами из места за пределами судна [1, с. 6, 9–10]. Следовательно, при дистанционном судовождении решение может принимать береговой оператор, а при автономном выполнении функции — система. Наличие дистанционного канала управления само по себе не показывает, что система самостоятельно оценивает навигационную ситуацию.</w:t>
      </w:r>
    </w:p>
    <w:p>
      <w:pPr>
        <w:pStyle w:val="BodyText"/>
      </w:pPr>
      <w:r>
        <w:rPr>
          <w:b w:val="0"/>
        </w:rPr>
        <w:t xml:space="preserve">Для понимания развития терминологии необходимо учитывать классификацию, использованную ММО при исследовании применимости существующей нормативной базы к MASS. Итоги этого исследования опубликованы в циркуляре MSC.1/Circ.1638 от 3 июня 2021 года. В нём выделены четыре степени автономности, приведённые в таблице 1.1. Эта классификация описывает подход, применённый для нормативного исследования, и должна читаться с учётом его назначения [2, п. 3.3–3.5].</w:t>
      </w:r>
    </w:p>
    <w:p>
      <w:pPr>
        <w:pStyle w:val="BodyText"/>
        <w:keepNext/>
        <w:ind w:firstLine="0"/>
        <w:jc w:val="left"/>
      </w:pPr>
      <w:r>
        <w:rPr>
          <w:rFonts w:ascii="Times New Roman" w:hAnsi="Times New Roman"/>
          <w:b w:val="0"/>
          <w:sz w:val="24"/>
        </w:rPr>
        <w:t xml:space="preserve">Таблица 1.1 — Степени автономности в нормативном исследовании ММО 2021 года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04"/>
        <w:gridCol w:w="3288"/>
        <w:gridCol w:w="4762"/>
      </w:tblGrid>
      <w:tr>
        <w:trPr>
          <w:tblHeader w:val="on"/>
          <w:tblHeader w:val="true"/>
        </w:trPr>
        <w:tc>
          <w:tcPr>
            <w:tcW w:type="dxa" w:w="1304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Степень</w:t>
            </w:r>
          </w:p>
        </w:tc>
        <w:tc>
          <w:tcPr>
            <w:tcW w:type="dxa" w:w="3288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Характер управления</w:t>
            </w:r>
          </w:p>
        </w:tc>
        <w:tc>
          <w:tcPr>
            <w:tcW w:type="dxa" w:w="4762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Участие человека</w:t>
            </w:r>
          </w:p>
        </w:tc>
      </w:tr>
      <w:tr>
        <w:tc>
          <w:tcPr>
            <w:tcW w:type="dxa" w:w="1304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Первая</w:t>
            </w:r>
          </w:p>
        </w:tc>
        <w:tc>
          <w:tcPr>
            <w:tcW w:type="dxa" w:w="3288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Автоматизированные процессы и поддержка решений</w:t>
            </w:r>
          </w:p>
        </w:tc>
        <w:tc>
          <w:tcPr>
            <w:tcW w:type="dxa" w:w="4762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Моряки находятся на борту, управляют системами и готовы принять управление</w:t>
            </w:r>
          </w:p>
        </w:tc>
      </w:tr>
      <w:tr>
        <w:tc>
          <w:tcPr>
            <w:tcW w:type="dxa" w:w="1304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Вторая</w:t>
            </w:r>
          </w:p>
        </w:tc>
        <w:tc>
          <w:tcPr>
            <w:tcW w:type="dxa" w:w="3288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Дистанционно управляемое судно</w:t>
            </w:r>
          </w:p>
        </w:tc>
        <w:tc>
          <w:tcPr>
            <w:tcW w:type="dxa" w:w="4762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Моряки находятся на борту и могут принять управление</w:t>
            </w:r>
          </w:p>
        </w:tc>
      </w:tr>
      <w:tr>
        <w:tc>
          <w:tcPr>
            <w:tcW w:type="dxa" w:w="1304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Третья</w:t>
            </w:r>
          </w:p>
        </w:tc>
        <w:tc>
          <w:tcPr>
            <w:tcW w:type="dxa" w:w="3288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Дистанционно управляемое судно</w:t>
            </w:r>
          </w:p>
        </w:tc>
        <w:tc>
          <w:tcPr>
            <w:tcW w:type="dxa" w:w="4762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Моряки на борту отсутствуют; управление осуществляется из другого места</w:t>
            </w:r>
          </w:p>
        </w:tc>
      </w:tr>
      <w:tr>
        <w:tc>
          <w:tcPr>
            <w:tcW w:type="dxa" w:w="1304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Четвёртая</w:t>
            </w:r>
          </w:p>
        </w:tc>
        <w:tc>
          <w:tcPr>
            <w:tcW w:type="dxa" w:w="3288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Полностью автономное судно</w:t>
            </w:r>
          </w:p>
        </w:tc>
        <w:tc>
          <w:tcPr>
            <w:tcW w:type="dxa" w:w="4762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Система способна самостоятельно принимать решения и определять действия</w:t>
            </w:r>
          </w:p>
        </w:tc>
      </w:tr>
    </w:tbl>
    <w:p>
      <w:pPr>
        <w:pStyle w:val="BodyText"/>
      </w:pPr>
      <w:r>
        <w:rPr>
          <w:b w:val="0"/>
        </w:rPr>
        <w:t xml:space="preserve">Источник: составлено по MSC.1/Circ.1638, п. 3.4 [2]. В пункте 3.5 прямо указано, что перечисление не выражает иерархического порядка и что в течение одного рейса судно может работать в одной или нескольких степенях автономности. Поэтому номер степени не следует использовать как самостоятельное доказательство большей безопасности или лучшей пригодности судна для узкости. Для такого вывода нужны сведения о функциях и условиях их фактического выполнения.</w:t>
      </w:r>
    </w:p>
    <w:p>
      <w:pPr>
        <w:pStyle w:val="BodyText"/>
      </w:pPr>
      <w:r>
        <w:rPr>
          <w:b w:val="0"/>
        </w:rPr>
        <w:t xml:space="preserve">При анализе конкретного проекта более предметное описание даёт распределение задач. Кодекс 2026 года предусматривает указание автономных и дистанционно управляемых функций, их исполнителей, порядка надзора и местонахождения участвующих людей. Режим работы может меняться на разных этапах рейса, но критерии и процедуры перехода должны быть описаны в концепции эксплуатации судна [1, с. 22]. Для рассматриваемой темы существенны вопросы: кто обнаруживает опасность, кто оценивает её развитие, кто выбирает манёвр и кто может изменить принятое решение.</w:t>
      </w:r>
    </w:p>
    <w:p>
      <w:pPr>
        <w:pStyle w:val="BodyText"/>
      </w:pPr>
      <w:r>
        <w:rPr>
          <w:b w:val="0"/>
        </w:rPr>
        <w:t xml:space="preserve">Участие человека сохраняет значение и при автономном выполнении отдельных задач. Кодекс предусматривает наличие капитана, ответственного за MASS независимо от режима работы, и средств вмешательства при необходимости. Экипажу или дистанционному оператору следует предоставлять время и информацию, достаточные для понимания ситуации и принятия управления [1, с. 22]. Для анализа узкостей из этого следует необходимость рассматривать передачу управления как самостоятельную процедуру. Недостаточно только указать, что оператор способен отключить автономный режим: нужно установить, какие сведения он получает и в какой обстановке должен продолжить управление.</w:t>
      </w:r>
    </w:p>
    <w:p>
      <w:pPr>
        <w:pStyle w:val="BodyText"/>
      </w:pPr>
      <w:r>
        <w:rPr>
          <w:b w:val="0"/>
        </w:rPr>
        <w:t xml:space="preserve">Допустимость работы системы связана с её эксплуатационными границами. Кодекс различает эксплуатационные возможности и ограничения судна в целом — Operational Envelope — и проектную область работы отдельной системы или функции — Operational Design Domain. В первое описание входят, в частности, район плавания, условия движения, связь и ограничения среды. Для отдельных функций учитываются безопасные условия применения, возможные неисправности и степень взаимодействия с человеком [1, с. 10, 20–21]. Таким образом, характеристика «автономное судно» требует уточнения условий, в которых предусмотрено выполнение конкретной задачи.</w:t>
      </w:r>
    </w:p>
    <w:p>
      <w:pPr>
        <w:pStyle w:val="BodyText"/>
      </w:pPr>
      <w:r>
        <w:rPr>
          <w:b w:val="0"/>
        </w:rPr>
        <w:t xml:space="preserve">Для дальнейшего исследования принимается следующий порядок описания проектов: выполняемая функция, режим управления, участие человека, допустимые условия и действие при выходе за эти условия. Такой порядок позволит сопоставлять российские и зарубежные разработки по содержанию их работы. Обнаружение опасности и понимание обстановки будут рассматриваться отдельно от исполнения манёвра: наличие средств управления движением ещё не показывает, на какой информации основано решение об изменении курса или скорости.</w:t>
      </w:r>
    </w:p>
    <w:bookmarkEnd w:id="20"/>
    <w:bookmarkStart w:id="21" w:name="основные-элементы-технической-системы"/>
    <w:p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1.2 Основные элементы технической системы</w:t>
      </w:r>
    </w:p>
    <w:p>
      <w:pPr>
        <w:pStyle w:val="FirstParagraph"/>
      </w:pPr>
      <w:r>
        <w:rPr>
          <w:b w:val="0"/>
        </w:rPr>
        <w:t xml:space="preserve">Навигационные функции MASS целесообразно рассматривать как последовательность получения данных, оценки ситуации, выбора действия, его исполнения и контроля результата. В настоящей работе эта последовательность используется как схема анализа технических решений. Она согласуется с выделенными в Кодексе подфункциями навигации: планированием рейса, поддержанием ситуационной осведомлённости, предотвращением столкновений и посадки на мель, выполнением маршрута и наблюдением за его выполнением [1, с. 39–41]. Схема не задаёт единственную аппаратную архитектуру судна; состав оборудования и распределение задач необходимо устанавливать по документации конкретного проекта.</w:t>
      </w:r>
    </w:p>
    <w:p>
      <w:pPr>
        <w:pStyle w:val="BodyText"/>
      </w:pPr>
      <w:r>
        <w:rPr>
          <w:b w:val="0"/>
        </w:rPr>
        <w:t xml:space="preserve">Первое звено связано с получением сведений о собственном судне, окружающем движении и районе плавания. Для оценки навигационной ситуации нужны данные о положении и движении судна, обнаруженных объектах, гидрографических условиях и ограничениях маршрута. Кодекс предусматривает доступность необходимых навигационных данных, их представление в машиночитаемом виде для автономной системы и непрерывное наблюдение за информацией, требуемой для безопасного плавания [1, с. 39–40]. При последующем изучении российских и японских проектов необходимо установить, какие данные фактически получает система и как они поступают к человеку, участвующему в управлении.</w:t>
      </w:r>
    </w:p>
    <w:p>
      <w:pPr>
        <w:pStyle w:val="BodyText"/>
      </w:pPr>
      <w:r>
        <w:rPr>
          <w:b w:val="0"/>
        </w:rPr>
        <w:t xml:space="preserve">Следующее звено — проверка и объединение поступающих сведений. Данные должны позволять судить об одной и той же обстановке, хотя они могут относиться к разным моментам времени или иметь разные ограничения достоверности. Для целей анализа в этом звене следует рассматривать актуальность информации, противоречия между наблюдениями и признаки отказа источника. Основанием служат положения Кодекса о точности, целостности и качестве данных, а также о непрерывном анализе ситуации [1, с. 24, 40]. Сам факт поступления нескольких сообщений не подтверждает, что их совместное использование даёт правильную оценку опасности.</w:t>
      </w:r>
    </w:p>
    <w:p>
      <w:pPr>
        <w:pStyle w:val="BodyText"/>
      </w:pPr>
      <w:r>
        <w:rPr>
          <w:b w:val="0"/>
        </w:rPr>
        <w:t xml:space="preserve">Обнаружение объекта представляет собой часть более широкой задачи понимания обстановки. В определении ситуационной осведомлённости Кодекс объединяет восприятие окружающей среды и состояния значимых систем, понимание смысла полученных сведений и прогнозирование будущего состояния. Для навигационной системы предусмотрен непрерывный анализ текущей ситуации с учётом её возможностей и режима работы [1, с. 10, 40]. В узкости это позволяет поставить три разных вопроса: обнаружен ли объект, какое значение он имеет для движения судна и какую опасность может представлять при дальнейшем сближении.</w:t>
      </w:r>
    </w:p>
    <w:p>
      <w:pPr>
        <w:pStyle w:val="BodyText"/>
      </w:pPr>
      <w:r>
        <w:rPr>
          <w:b w:val="0"/>
        </w:rPr>
        <w:t xml:space="preserve">Различие между обнаружением и пониманием можно пояснить условной ситуацией. Система получила сведения о встречном судне на ограниченном участке пути. Для выбора действия недостаточно только отметить наличие цели: необходимо связать её движение с положением собственного судна, доступным пространством и возможными последствиями манёвра. Этот пример не является результатом испытания или модельного расчёта. Он показывает, какие исходные сведения и решения следует искать в материалах проектов при анализе способности системы поддерживать ситуационную осведомлённость.</w:t>
      </w:r>
    </w:p>
    <w:p>
      <w:pPr>
        <w:pStyle w:val="BodyText"/>
      </w:pPr>
      <w:r>
        <w:rPr>
          <w:b w:val="0"/>
        </w:rPr>
        <w:t xml:space="preserve">Планирование имеет два взаимосвязанных уровня: подготовку рейсового маршрута и выбор действий в изменяющейся обстановке. Кодекс предусматривает проверку безопасности плана, возможность его пересмотра и участие капитана в утверждении плана и изменений. При предотвращении столкновения, навала или посадки на мель решения об изменении курса либо скорости должны быть своевременными и учитывать безопасные эксплуатационные пределы. Требования главы о безопасности навигации связаны также с Международными правилами предупреждения столкновений судов в море 1972 года (МППСС-72) [1, с. 38–40]. Следовательно, при изучении алгоритма необходимо проверять как основание для выбранного манёвра, так и его соответствие применимым ограничениям.</w:t>
      </w:r>
    </w:p>
    <w:p>
      <w:pPr>
        <w:pStyle w:val="BodyText"/>
      </w:pPr>
      <w:r>
        <w:rPr>
          <w:b w:val="0"/>
        </w:rPr>
        <w:t xml:space="preserve">Выбранное действие должно быть передано средствам управления движением и проверено по фактическому результату. В функциональной схеме это отдельные задачи: формирование управляющего воздействия и наблюдение за изменением положения и движения судна. Кодекс предусматривает исполнение маршрута в установленных пределах допустимого отклонения, непрерывное наблюдение за ходом рейса и предупреждение капитана при обстоятельствах, требующих отклонения от плана. Согласование автономной навигационной системы с другими судовыми системами должно предотвращать противоречащие друг другу команды [1, с. 39, 41]. При сравнении проектов поэтому необходимо различать расчёт манёвра, его исполнение и контроль того, что требуемый результат достигнут.</w:t>
      </w:r>
    </w:p>
    <w:p>
      <w:pPr>
        <w:pStyle w:val="BodyText"/>
      </w:pPr>
      <w:r>
        <w:rPr>
          <w:b w:val="0"/>
        </w:rPr>
        <w:t xml:space="preserve">Связь с дистанционным оператором образует ещё одно звено системы. Для дистанционного наблюдения или управления важны пропускная способность канала, целостность данных, надёжность и задержка передачи. Кодекс предусматривает определение требований к связи для разных этапов рейса и режимов работы, контроль её качества, резервирование по результатам оценки риска и порядок действий при ухудшении либо потере связи [1, с. 41–42]. Универсальную допустимую задержку нельзя назначать в работе без исходных данных. Её значение следует обосновывать для конкретного режима и задачи, включая передачу человеку информации, необходимой для принятия управления.</w:t>
      </w:r>
    </w:p>
    <w:p>
      <w:pPr>
        <w:pStyle w:val="BodyText"/>
      </w:pPr>
      <w:r>
        <w:rPr>
          <w:b w:val="0"/>
        </w:rPr>
        <w:t xml:space="preserve">Отказы и выход за допустимые условия должны рассматриваться вместе с нормальной работой. Кодекс различает ухудшение состояния отдельной функции и выход судна в целом за его эксплуатационные границы. При таком выходе предусматривается заранее определённое резервное состояние — fallback state — и действия для безопасного перехода в него и восстановления работы. Эти действия должны быть проверяемыми и оценёнными с точки зрения риска; они не должны приводить к неприемлемой опасности для людей, других судов, инфраструктуры и морской среды [1, с. 21]. Поэтому остановку или удержание положения нельзя заранее объявить пригодной реакцией для любой узкости. В рамках исследования нужно проверить, какие последствия предполагаемое резервное действие имеет в рассматриваемой ситуации.</w:t>
      </w:r>
    </w:p>
    <w:p>
      <w:pPr>
        <w:pStyle w:val="BodyText"/>
      </w:pPr>
      <w:r>
        <w:rPr>
          <w:b w:val="0"/>
        </w:rPr>
        <w:t xml:space="preserve">Завершающий элемент связан с регистрацией данных и возможностью объяснить ход работы системы. Кодекс предусматривает ведение записей, позволяющих восстановить операции MASS, включая дистанционное управление и автоматизированное принятие решений. Для технических систем также предусмотрены испытания и валидация, включающие моделирование, проверку компонентов, интеграционные и системные испытания [1, с. 24]. Эти положения определяют вопросы к доказательствам работоспособности проекта: какие входные данные были получены, какое решение принято, как оно исполнено и чем подтверждён результат. В последующих разделах такая проверка позволит отделять описание функций от сведений об их испытаниях и применимости в узкостях.</w:t>
      </w:r>
    </w:p>
    <w:bookmarkEnd w:id="21"/>
    <w:bookmarkEnd w:id="22"/>
    <w:bookmarkStart w:id="26" w:name="список-использованных-источников"/>
    <w:p>
      <w:pPr>
        <w:pStyle w:val="Heading1"/>
      </w:pPr>
      <w:r>
        <w:rPr>
          <w:rFonts w:ascii="Times New Roman" w:hAnsi="Times New Roman"/>
          <w:color w:val="000000"/>
          <w:sz w:val="28"/>
        </w:rPr>
        <w:t>СПИСОК ИСПОЛЬЗОВАННЫХ ИСТОЧНИКОВ</w:t>
      </w:r>
    </w:p>
    <w:p>
      <w:pPr>
        <w:pStyle w:val="FirstParagraph"/>
      </w:pPr>
      <w:r>
        <w:rPr>
          <w:b w:val="0"/>
        </w:rPr>
        <w:t xml:space="preserve">1 International Maritime Organization. International Code of Safety for Maritime Autonomous Surface Ships (MASS Code) : resolution MSC.595(111) // MSC 111/22. Annex 16. — 2026. — 87 p. — URL:</w:t>
      </w:r>
      <w:r>
        <w:rPr>
          <w:b w:val="0"/>
        </w:rPr>
        <w:t xml:space="preserve"> </w:t>
      </w:r>
      <w:hyperlink r:id="rId23">
        <w:r>
          <w:rPr>
            <w:rStyle w:val="Hyperlink"/>
          </w:rPr>
          <w:t xml:space="preserve">https://wwwcdn.imo.org/localresources/en/MediaCentre/Documents/MSC%20111-22-Annex%2016%20(Secretariat).pdf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08.10.2026).</w:t>
      </w:r>
    </w:p>
    <w:p>
      <w:pPr>
        <w:pStyle w:val="BodyText"/>
      </w:pPr>
      <w:r>
        <w:rPr>
          <w:b w:val="0"/>
        </w:rPr>
        <w:t xml:space="preserve">2 International Maritime Organization. Outcome of the Regulatory Scoping Exercise for the Use of Maritime Autonomous Surface Ships (MASS) : MSC.1/Circ.1638, 3 June 2021. — 2021. — URL:</w:t>
      </w:r>
      <w:r>
        <w:rPr>
          <w:b w:val="0"/>
        </w:rPr>
        <w:t xml:space="preserve"> </w:t>
      </w:r>
      <w:hyperlink r:id="rId24">
        <w:r>
          <w:rPr>
            <w:rStyle w:val="Hyperlink"/>
          </w:rPr>
          <w:t xml:space="preserve">https://wwwcdn.imo.org/localresources/en/MediaCentre/Documents/MSC.1-Circ.1638%20-%20Outcome%20Of%20The%20Regulatory%20Scoping%20ExerciseFor%20The%20Use%20Of%20Maritime%20Autonomous%20Surface%20Ships...%20(Secretariat).pdf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08.10.2026).</w:t>
      </w:r>
    </w:p>
    <w:p>
      <w:pPr>
        <w:pStyle w:val="BodyText"/>
      </w:pPr>
      <w:r>
        <w:rPr>
          <w:b w:val="0"/>
        </w:rPr>
        <w:t xml:space="preserve">3 International Maritime Organization. FAQ — Autonomous shipping. — URL:</w:t>
      </w:r>
      <w:r>
        <w:rPr>
          <w:b w:val="0"/>
        </w:rPr>
        <w:t xml:space="preserve"> </w:t>
      </w:r>
      <w:hyperlink r:id="rId25">
        <w:r>
          <w:rPr>
            <w:rStyle w:val="Hyperlink"/>
          </w:rPr>
          <w:t xml:space="preserve">https://www.imo.org/en/mediacentre/hottopics/pages/autonomous-shipping.aspx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08.10.2026).</w:t>
      </w:r>
    </w:p>
    <w:bookmarkEnd w:id="26"/>
    <w:sectPr w:rsidR="00FC693F" w:rsidRPr="0006063C" w:rsidSect="00034616">
      <w:footerReference r:id="rId9" w:type="default"/>
      <w:pgSz w:h="16838" w:w="11906"/>
      <w:pgMar w:bottom="1134" w:footer="720" w:gutter="0" w:header="720" w:left="1701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Simple w:instr="PAG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8"/>
      <w:lang w:val="ru-RU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240" w:line="360" w:lineRule="auto"/>
      <w:ind w:firstLine="0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color w:val="000000"/>
      <w:sz w:val="28"/>
      <w:szCs w:val="28"/>
      <w:lang w:val="ru-RU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after="120" w:before="240" w:line="360" w:lineRule="auto"/>
      <w:ind w:firstLine="0"/>
      <w:jc w:val="center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color w:val="000000"/>
      <w:sz w:val="28"/>
      <w:szCs w:val="26"/>
      <w:lang w:val="ru-RU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360" w:lineRule="auto"/>
      <w:ind w:firstLine="0"/>
      <w:jc w:val="center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20" w:line="360" w:lineRule="auto"/>
      <w:ind w:firstLine="0"/>
      <w:jc w:val="center"/>
      <w:outlineLvl w:val="3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iCs/>
      <w:color w:val="000000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20" w:before="240" w:line="36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before="240" w:line="360" w:lineRule="auto"/>
      <w:ind w:firstLine="0"/>
      <w:jc w:val="center"/>
    </w:pPr>
    <w:rPr>
      <w:rFonts w:ascii="Times New Roman" w:asciiTheme="majorHAnsi" w:cstheme="majorBidi" w:eastAsia="Times New Roman" w:eastAsiaTheme="majorEastAsia" w:hAnsi="Times New Roman" w:hAnsiTheme="majorHAnsi"/>
      <w:b w:val="0"/>
      <w:i w:val="0"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8"/>
      <w:lang w:val="ru-RU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bCs/>
      <w:i w:val="0"/>
      <w:color w:val="000000"/>
      <w:sz w:val="24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8"/>
      <w:lang w:val="ru-RU"/>
    </w:rPr>
  </w:style>
  <w:style w:customStyle="1" w:styleId="Hyperlink" w:type="character">
    <w:name w:val="Hyperlink"/>
    <w:rPr>
      <w:rFonts w:ascii="Times New Roman" w:hAnsi="Times New Roman"/>
      <w:color w:val="000000"/>
      <w:sz w:val="28"/>
      <w:u w:val="non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5" Type="http://schemas.openxmlformats.org/officeDocument/2006/relationships/hyperlink" Target="https://www.imo.org/en/mediacentre/hottopics/pages/autonomous-shipping.aspx" TargetMode="External"/><Relationship Id="rId23" Type="http://schemas.openxmlformats.org/officeDocument/2006/relationships/hyperlink" Target="https://wwwcdn.imo.org/localresources/en/MediaCentre/Documents/MSC%20111-22-Annex%2016%20(Secretariat).pdf" TargetMode="External"/><Relationship Id="rId24" Type="http://schemas.openxmlformats.org/officeDocument/2006/relationships/hyperlink" Target="https://wwwcdn.imo.org/localresources/en/MediaCentre/Documents/MSC.1-Circ.1638%20-%20Outcome%20Of%20The%20Regulatory%20Scoping%20ExerciseFor%20The%20Use%20Of%20Maritime%20Autonomous%20Surface%20Ships...%20(Secretariat).pdf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https://www.imo.org/en/mediacentre/hottopics/pages/autonomous-shipping.aspx" TargetMode="External"/><Relationship Id="rId23" Type="http://schemas.openxmlformats.org/officeDocument/2006/relationships/hyperlink" Target="https://wwwcdn.imo.org/localresources/en/MediaCentre/Documents/MSC%20111-22-Annex%2016%20(Secretariat).pdf" TargetMode="External"/><Relationship Id="rId24" Type="http://schemas.openxmlformats.org/officeDocument/2006/relationships/hyperlink" Target="https://wwwcdn.imo.org/localresources/en/MediaCentre/Documents/MSC.1-Circ.1638%20-%20Outcome%20Of%20The%20Regulatory%20Scoping%20ExerciseFor%20The%20Use%20Of%20Maritime%20Autonomous%20Surface%20Ships...%20(Secretariat)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2026-10-09T09:20:57Z</dcterms:created>
  <dcterms:modified xsi:type="dcterms:W3CDTF">2026-10-09T09:20:57Z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