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81a4be41f3d8a6f408f003d821cb6cd7048639"/>
    <w:p>
      <w:pPr>
        <w:pStyle w:val="Heading1"/>
        <w:pageBreakBefore w:val="0"/>
      </w:pPr>
      <w:r>
        <w:rPr>
          <w:rFonts w:ascii="Times New Roman" w:hAnsi="Times New Roman"/>
          <w:color w:val="000000"/>
          <w:sz w:val="28"/>
        </w:rPr>
        <w:t>1 ТЕОРЕТИЧЕСКИЕ И НОРМАТИВНЫЕ ОСНОВЫ АВТОНОМНОГО СУДОВОЖДЕНИЯ ПРИ ПЛАВАНИИ В УЗКОСТЯХ</w:t>
      </w:r>
    </w:p>
    <w:bookmarkStart w:id="20" w:name="Xdad6f52ab5828a7ff9addc932cc1a3c09c46013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1.1 Понятия, режимы управления и участие человека</w:t>
      </w:r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(ММО)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ММО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ММО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ММО 2021 года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on"/>
          <w:tblHeader w:val="true"/>
        </w:trP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c>
          <w:tcPr>
            <w:tcW w:type="dxa" w:w="1304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0"/>
    <w:bookmarkStart w:id="21" w:name="основные-элементы-технической-системы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1.2 Основные элементы технической системы</w:t>
      </w:r>
    </w:p>
    <w:p>
      <w:pPr>
        <w:pStyle w:val="FirstParagraph"/>
      </w:pPr>
      <w:r>
        <w:rPr>
          <w:b w:val="0"/>
        </w:rPr>
        <w:t xml:space="preserve">Навигационные функции MASS целесообразно рассматривать как последовательность получения данных, оценки ситуации, выбора действия, его исполнения и контроля результата. В настоящей работе эта последовательность используется как схема анализа технических решений. Она согласуется с выделенными в Кодексе подфункциями навигации: планированием рейса, поддержанием ситуационной осведомлённости, предотвращением столкновений и посадки на мель, выполнением маршрута и наблюдением за его выполнением [1, с. 39–41]. Схема не задаёт единственную аппаратную архитектуру судна; состав оборудования и распределение задач необходимо устанавливать по документации конкретного проекта.</w:t>
      </w:r>
    </w:p>
    <w:p>
      <w:pPr>
        <w:pStyle w:val="BodyText"/>
      </w:pPr>
      <w:r>
        <w:rPr>
          <w:b w:val="0"/>
        </w:rPr>
        <w:t xml:space="preserve">Конкретный пример распределения этих задач представлен в учебном описании комплекса «БЭС-КФ». В нём автономная навигационная система включает обработку поступающих сведений, прогнозирование обстановки и подготовку манёвра; отдельно выделены оптическое наблюдение, управление движением, контроль технических средств и дистанционный пульт. Некоторые элементы предусмотрены как опциональные при наличии на судне равнозначных средств [11, с. 11–13]. Такая организация показывает, что оценка ситуации и выполнение управляющей команды могут относиться к разным подсистемам. При использовании этого примера следует учитывать его происхождение: учебный материал объясняет структуру конкретного комплекса, а фактическая комплектация рассматриваемого судна устанавливается по его документации.</w:t>
      </w:r>
    </w:p>
    <w:p>
      <w:pPr>
        <w:pStyle w:val="BodyText"/>
      </w:pPr>
      <w:r>
        <w:rPr>
          <w:b w:val="0"/>
        </w:rPr>
        <w:t xml:space="preserve">Первое звено связано с получением сведений о собственном судне, окружающем движении и районе плавания. Для оценки навигационной ситуации нужны данные о положении и движении судна, обнаруженных объектах, гидрографических условиях и ограничениях маршрута. Кодекс предусматривает доступность необходимых навигационных данных, их представление в машиночитаемом виде для автономной системы и непрерывное наблюдение за информацией, требуемой для безопасного плавания [1, с. 39–40]. При последующем изучении российских и японских проектов необходимо установить, какие данные фактически получает система и как они поступают к человеку, участвующему в управлении.</w:t>
      </w:r>
    </w:p>
    <w:p>
      <w:pPr>
        <w:pStyle w:val="BodyText"/>
      </w:pPr>
      <w:r>
        <w:rPr>
          <w:b w:val="0"/>
        </w:rPr>
        <w:t xml:space="preserve">В учебном разделе о технических средствах среди источников навигационных данных названы радиолокационная станция (РЛС), автоматическая идентификационная система (АИС), гирокомпас, лаг, эхолот и средства наблюдения за состоянием судна. Дополнительно рассматриваются глобальная навигационная спутниковая система (ГНСС), инерциальные и оптические средства [12, с. 3–4]. Для анализа узкости этот перечень целесообразно распределить по решаемым задачам: определение места собственного судна, оценка его движения, наблюдение внешних объектов и контроль доступных средств управления. Обоснование состава оборудования должно связывать эти задачи с условиями плавания. Перечень приборов сам по себе не устанавливает точность оценки опасности и своевременность реакции системы.</w:t>
      </w:r>
    </w:p>
    <w:p>
      <w:pPr>
        <w:pStyle w:val="BodyText"/>
      </w:pPr>
      <w:r>
        <w:rPr>
          <w:b w:val="0"/>
        </w:rPr>
        <w:t xml:space="preserve">Следующее звено — проверка и объединение поступающих сведений. Данные должны позволять судить об одной и той же обстановке, хотя они могут относиться к разным моментам времени или иметь разные ограничения достоверности. Для целей анализа в этом звене следует рассматривать актуальность информации, противоречия между наблюдениями и признаки отказа источника. Основанием служат положения Кодекса о точности, целостности и качестве данных, а также о непрерывном анализе ситуации [1, с. 24, 40]. Сам факт поступления нескольких сообщений не подтверждает, что их совместное использование даёт правильную оценку опасности.</w:t>
      </w:r>
    </w:p>
    <w:p>
      <w:pPr>
        <w:pStyle w:val="BodyText"/>
      </w:pPr>
      <w:r>
        <w:rPr>
          <w:b w:val="0"/>
        </w:rPr>
        <w:t xml:space="preserve">Описание информационных потоков «БЭС-КФ» позволяет различить данные для автоматической обработки и сведения, представляемые человеку. Оптическая подсистема передаёт информацию об обнаруженных объектах в машиночитаемом виде в навигационную систему, а обработанное видеоизображение — на средства отображения на мостике и дистанционном пульте. Также описано использование сведений оптического наблюдения, АИС и РЛС для анализа работы системы [13, с. 39–40]. Поэтому при сравнении проектов необходимо установить, как наблюдения связываются с одной целью и как учитывается их несогласованность. Передача изображения оператору и формирование данных для алгоритма являются различными задачами, которые требуют собственной проверки.</w:t>
      </w:r>
    </w:p>
    <w:p>
      <w:pPr>
        <w:pStyle w:val="BodyText"/>
      </w:pPr>
      <w:r>
        <w:rPr>
          <w:b w:val="0"/>
        </w:rPr>
        <w:t xml:space="preserve">Обнаружение объекта представляет собой часть более широкой задачи понимания обстановки. В определении ситуационной осведомлённости Кодекс объединяет восприятие окружающей среды и состояния значимых систем, понимание смысла полученных сведений и прогнозирование будущего состояния. Для навигационной системы предусмотрен непрерывный анализ текущей ситуации с учётом её возможностей и режима работы [1, с. 10, 40]. В узкости это позволяет поставить три разных вопроса: обнаружен ли объект, какое значение он имеет для движения судна и какую опасность может представлять при дальнейшем сближении.</w:t>
      </w:r>
    </w:p>
    <w:p>
      <w:pPr>
        <w:pStyle w:val="BodyText"/>
      </w:pPr>
      <w:r>
        <w:rPr>
          <w:b w:val="0"/>
        </w:rPr>
        <w:t xml:space="preserve">Различие между обнаружением и пониманием можно пояснить условной ситуацией. Система получила сведения о встречном судне на ограниченном участке пути. Для выбора действия недостаточно только отметить наличие цели: необходимо связать её движение с положением собственного судна, доступным пространством и возможными последствиями манёвра. Этот пример не является результатом испытания или модельного расчёта. Он показывает, какие исходные сведения и решения следует искать в материалах проектов при анализе способности системы поддерживать ситуационную осведомлённость.</w:t>
      </w:r>
    </w:p>
    <w:p>
      <w:pPr>
        <w:pStyle w:val="BodyText"/>
      </w:pPr>
      <w:r>
        <w:rPr>
          <w:b w:val="0"/>
        </w:rPr>
        <w:t xml:space="preserve">Планирование имеет два взаимосвязанных уровня: подготовку рейсового маршрута и выбор действий в изменяющейся обстановке. Кодекс предусматривает проверку безопасности плана, возможность его пересмотра и участие капитана в утверждении плана и изменений. При предотвращении столкновения, навала или посадки на мель решения об изменении курса либо скорости должны быть своевременными и учитывать безопасные эксплуатационные пределы. Требования главы о безопасности навигации связаны также с Международными правилами предупреждения столкновений судов в море 1972 года (МППСС-72) [1, с. 38–40]. Следовательно, при изучении алгоритма необходимо проверять как основание для выбранного манёвра, так и его соответствие применимым ограничениям.</w:t>
      </w:r>
    </w:p>
    <w:p>
      <w:pPr>
        <w:pStyle w:val="BodyText"/>
      </w:pPr>
      <w:r>
        <w:rPr>
          <w:b w:val="0"/>
        </w:rPr>
        <w:t xml:space="preserve">В учебном изложении управления по маршруту выбор пути отделён от его исполнения: маршрут задаётся заранее, а система использует данные о месте, курсе и скорости для проводки судна. Там же различаются удержание линии маршрута и движение к очередной путевой точке при допустимом отклонении от линии [14, с. 58–59]. Для темы исследования это даёт основание отдельно проверять точность следования заданному пути и способность изменить движение при появлении опасности. Успешное выполнение заранее подготовленного маршрута ещё не показывает, что система самостоятельно обнаружила препятствие, оценила последствия манёвра и выбрала допустимое решение в узкости.</w:t>
      </w:r>
    </w:p>
    <w:p>
      <w:pPr>
        <w:pStyle w:val="BodyText"/>
      </w:pPr>
      <w:r>
        <w:rPr>
          <w:b w:val="0"/>
        </w:rPr>
        <w:t xml:space="preserve">Выбранное действие должно быть передано средствам управления движением и проверено по фактическому результату. В функциональной схеме это отдельные задачи: формирование управляющего воздействия и наблюдение за изменением положения и движения судна. Кодекс предусматривает исполнение маршрута в установленных пределах допустимого отклонения, непрерывное наблюдение за ходом рейса и предупреждение капитана при обстоятельствах, требующих отклонения от плана. Согласование автономной навигационной системы с другими судовыми системами должно предотвращать противоречащие друг другу команды [1, с. 39, 41]. При сравнении проектов поэтому необходимо различать расчёт манёвра, его исполнение и контроль того, что требуемый результат достигнут.</w:t>
      </w:r>
    </w:p>
    <w:p>
      <w:pPr>
        <w:pStyle w:val="BodyText"/>
      </w:pPr>
      <w:r>
        <w:rPr>
          <w:b w:val="0"/>
        </w:rPr>
        <w:t xml:space="preserve">Связь с дистанционным оператором образует ещё одно звено системы. Для дистанционного наблюдения или управления важны пропускная способность канала, целостность данных, надёжность и задержка передачи. Кодекс предусматривает определение требований к связи для разных этапов рейса и режимов работы, контроль её качества, резервирование по результатам оценки риска и порядок действий при ухудшении либо потере связи [1, с. 41–42]. Универсальную допустимую задержку нельзя назначать в работе без исходных данных. Её значение следует обосновывать для конкретного режима и задачи, включая передачу человеку информации, необходимой для принятия управления.</w:t>
      </w:r>
    </w:p>
    <w:p>
      <w:pPr>
        <w:pStyle w:val="BodyText"/>
      </w:pPr>
      <w:r>
        <w:rPr>
          <w:b w:val="0"/>
        </w:rPr>
        <w:t xml:space="preserve">Передача управления требует определённого порядка изменения полномочий. В учебном описании «БЭС-КФ» приведён пример переключателя на мостике, позволяющего физически отключить автономную навигационную систему от исполнительных устройств при переходе к ручному режиму [15, с. 9]. Этот пример относится к конкретной организации управления на судне с экипажем. При рассмотрении каждого проекта необходимо выяснять, кто инициирует переход, как подтверждается принятие управления и какие данные доступны принимающему его человеку. Возможность переключения должна оцениваться вместе с состоянием судна и обстановкой в момент перехода; наличие органа переключения не определяет само по себе безопасность процедуры.</w:t>
      </w:r>
    </w:p>
    <w:p>
      <w:pPr>
        <w:pStyle w:val="BodyText"/>
      </w:pPr>
      <w:r>
        <w:rPr>
          <w:b w:val="0"/>
        </w:rPr>
        <w:t xml:space="preserve">Отказы и выход за допустимые условия должны рассматриваться вместе с нормальной работой. Кодекс различает ухудшение состояния отдельной функции и выход судна в целом за его эксплуатационные границы. При таком выходе предусматривается заранее определённое резервное состояние — fallback state — и действия для безопасного перехода в него и восстановления работы. Эти действия должны быть проверяемыми и оценёнными с точки зрения риска; они не должны приводить к неприемлемой опасности для людей, других судов, инфраструктуры и морской среды [1, с. 21]. Поэтому остановку или удержание положения нельзя заранее объявить пригодной реакцией для любой узкости. В рамках исследования нужно проверить, какие последствия предполагаемое резервное действие имеет в рассматриваемой ситуации.</w:t>
      </w:r>
    </w:p>
    <w:p>
      <w:pPr>
        <w:pStyle w:val="BodyText"/>
      </w:pPr>
      <w:r>
        <w:rPr>
          <w:b w:val="0"/>
        </w:rPr>
        <w:t xml:space="preserve">Контроль достоверности данных связан и с кибербезопасностью. В учебном материале среди признаков нарушения работы перечислены неполный анализ поступающих сведений, прерывание связи и несоответствие модели окружающей обстановки действительности [16, с. 23–24]. Для исследования эти признаки задают вопросы к диагностике: как система обнаруживает несогласованность и какие функции остаются доступными после неё? Указанный симптом сам по себе не доказывает кибератаку, поскольку необходимо установить причину нарушения. Поэтому в сценарном анализе следует отдельно задавать наблюдаемое ухудшение данных, возможную причину и предусмотренное действие, не приписывая системе подтверждённых возможностей защиты без соответствующих документов.</w:t>
      </w:r>
    </w:p>
    <w:p>
      <w:pPr>
        <w:pStyle w:val="BodyText"/>
      </w:pPr>
      <w:r>
        <w:rPr>
          <w:b w:val="0"/>
        </w:rPr>
        <w:t xml:space="preserve">Завершающий элемент связан с регистрацией данных и возможностью объяснить ход работы системы. Кодекс предусматривает ведение записей, позволяющих восстановить операции MASS, включая дистанционное управление и автоматизированное принятие решений. Для технических систем также предусмотрены испытания и валидация, включающие моделирование, проверку компонентов, интеграционные и системные испытания [1, с. 24]. Эти положения определяют вопросы к доказательствам работоспособности проекта: какие входные данные были получены, какое решение принято, как оно исполнено и чем подтверждён результат. В последующих разделах такая проверка позволит отделять описание функций от сведений об их испытаниях и применимости в узкостях.</w:t>
      </w:r>
    </w:p>
    <w:bookmarkEnd w:id="21"/>
    <w:bookmarkStart w:id="22" w:name="особенности-плавания-в-узкостях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1.3 Особенности плавания в узкостях</w:t>
      </w:r>
    </w:p>
    <w:p>
      <w:pPr>
        <w:pStyle w:val="FirstParagraph"/>
      </w:pPr>
      <w:r>
        <w:rPr>
          <w:b w:val="0"/>
        </w:rPr>
        <w:t xml:space="preserve">В настоящем исследовании узкости рассматриваются как участки плавания, где доступное пространство и условия движения ограничивают выбор пути и манёвра. Такая рабочая характеристика нужна для анализа технических функций; она не устанавливает юридическую границу действия правил. Для конкретного участка необходимо отдельно выяснять применимость требований к узкому проходу или фарватеру, наличие системы разделения движения и местных правил. Например, правило 9 МППСС-72 относится к узким проходам и фарватерам, а правило 10 — к принятым ММО системам разделения движения [4].</w:t>
      </w:r>
    </w:p>
    <w:p>
      <w:pPr>
        <w:pStyle w:val="BodyText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ММО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ММО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2"/>
    <w:bookmarkStart w:id="23" w:name="Xe5e5bc2f85bda039cae810321abad93f268cc24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1.4 Нормативные требования и границы разрешённых режимов</w:t>
      </w:r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ММО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ММО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3"/>
    <w:bookmarkEnd w:id="24"/>
    <w:bookmarkStart w:id="28" w:name="X7d461e5545e37f02f20229538d89742f1704e62"/>
    <w:p>
      <w:pPr>
        <w:pStyle w:val="Heading1"/>
      </w:pPr>
      <w:r>
        <w:rPr>
          <w:rFonts w:ascii="Times New Roman" w:hAnsi="Times New Roman"/>
          <w:color w:val="000000"/>
          <w:sz w:val="28"/>
        </w:rPr>
        <w:t>2 РОССИЙСКИЙ И ЗАРУБЕЖНЫЙ ОПЫТ ПРИМЕНЕНИЯ ТЕХНОЛОГИЙ АВТОНОМНОГО СУДОВОЖДЕНИЯ</w:t>
      </w:r>
    </w:p>
    <w:bookmarkStart w:id="25" w:name="X276ba426ad5c9154452377aee069e1ec895b2e6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2.1 Документированные этапы российских проектов</w:t>
      </w:r>
    </w:p>
    <w:p>
      <w:pPr>
        <w:pStyle w:val="FirstParagraph"/>
      </w:pPr>
      <w:r>
        <w:rPr>
          <w:b w:val="0"/>
        </w:rPr>
        <w:t xml:space="preserve">Рассмотрение российских разработок начинается с опубликованных материалов об испытаниях и применении комплекса а-Навигации Sitronics KT. На данном этапе выделены три группы примеров: испытание на сухогрузе «Пола Анфиса», внедрение на паромах «Маршал Рокоссовский» и «Генерал Черняховский», а также применение безэкипажного катера «Странник 575». Эти примеры относятся к одному разработчику и не образуют полного обзора российского рынка. Они дают исходный материал для проверки того, какие функции передавались системе или дистанционному оператору и в каких условиях это происходило [7–10].</w:t>
      </w:r>
    </w:p>
    <w:p>
      <w:pPr>
        <w:pStyle w:val="BodyText"/>
      </w:pPr>
      <w:r>
        <w:rPr>
          <w:b w:val="0"/>
        </w:rPr>
        <w:t xml:space="preserve">В публикации от 11 мая 2021 года Sitronics сообщила об испытании комплекса на сухогрузе «Пола Анфиса» в Азовском море. По описанию компании, управление осуществляли специалисты из офиса «Пола Райз» в Санкт-Петербурге; были проверены дистанционный режим и автономное движение, после чего управление вернули на борт. Сообщение указывает продолжительность испытания в один час [8]. Это свидетельство участника проекта о проведённом испытании. Для оценки прохождения узкости дополнительно нужны программа испытаний, характеристики участка и сведения о конкретных манёврах.</w:t>
      </w:r>
    </w:p>
    <w:p>
      <w:pPr>
        <w:pStyle w:val="BodyText"/>
      </w:pPr>
      <w:r>
        <w:rPr>
          <w:b w:val="0"/>
        </w:rPr>
        <w:t xml:space="preserve">Следующий рассматриваемый этап связан с паромами «Маршал Рокоссовский» и «Генерал Черняховский». В октябре 2023 года разработчик сообщил о получении удостоверений автономных и дистанционно управляемых надводных судов. Декабрьская публикация того же года описывает начало эксплуатации «Генерала Черняховского» в дистанционном режиме с использованием средств а-Навигации и управление на части маршрута в открытом море из берегового центра [7; 9]. Сообщение о запуске описывает начало рейса и запланированное прибытие; оно не заменяет отчёт о завершённом переходе.</w:t>
      </w:r>
    </w:p>
    <w:p>
      <w:pPr>
        <w:pStyle w:val="BodyText"/>
      </w:pPr>
      <w:r>
        <w:rPr>
          <w:b w:val="0"/>
        </w:rPr>
        <w:t xml:space="preserve">В сентябре 2026 года компания опубликовала сообщение о доставке документов катером «Странник 575» в населённые пункты в дельте Северной Двины. Согласно публикации, катер прошёл маршрут длиной более 40 км без людей на борту, с возможностью перехода на дистанционное управление; вмешательства инженеров во время рейса не потребовалось [10]. Эти сведения рассматриваются как сообщение разработчика о конкретной операции. Их нельзя переносить на морской паром или считать доказательством работы при любых условиях в дельте.</w:t>
      </w:r>
    </w:p>
    <w:p>
      <w:pPr>
        <w:pStyle w:val="BodyText"/>
      </w:pPr>
      <w:r>
        <w:rPr>
          <w:b w:val="0"/>
        </w:rPr>
        <w:t xml:space="preserve">Перечисленные этапы позволяют выделить разные предметы проверки: отдельное испытание режима, внедрение комплекса на морских грузопассажирских паромах и конкретную операцию маломерного безэкипажного судна. Для исследования узкостей важно сохранить это различие. Само увеличение числа применений технологии не показывает, что одна и та же система получила одинаковые возможности и разрешения для всех типов судов и участков плавания.</w:t>
      </w:r>
    </w:p>
    <w:bookmarkEnd w:id="25"/>
    <w:bookmarkStart w:id="26" w:name="X31f499202676bc2e662c48b99c6ec9e69a7adc9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2.2 Функции комплекса и распределение управления</w:t>
      </w:r>
    </w:p>
    <w:p>
      <w:pPr>
        <w:pStyle w:val="FirstParagraph"/>
      </w:pPr>
      <w:r>
        <w:rPr>
          <w:b w:val="0"/>
        </w:rPr>
        <w:t xml:space="preserve">В опубликованном описании оборудования паромов выделены автономная навигационная система, оптическая система анализа обстановки и состояния судна, управление движением и маневрированием, контроль и наблюдение за судовыми системами. Там же описан береговой центр в Санкт-Петербурге, который обеспечивал наблюдение за навигационной обстановкой, параметрами движения и дистанционное управление в открытом море [7]. Такой перечень позволяет связать проект с функциональной схемой главы 1: данные об обстановке, оценка, решение, воздействие на движение и наблюдение за состоянием.</w:t>
      </w:r>
    </w:p>
    <w:p>
      <w:pPr>
        <w:pStyle w:val="BodyText"/>
      </w:pPr>
      <w:r>
        <w:rPr>
          <w:b w:val="0"/>
        </w:rPr>
        <w:t xml:space="preserve">Наличие в перечне оптической системы подтверждает, что соответствующая функция заявлена в описании комплекса. Однако из этого сообщения нельзя определить дальность обнаружения, частоту пропуска целей, условия освещения или результаты распознавания. Поэтому способность обнаруживать опасность в узкости следует оценивать по отдельным техническим документам и испытаниям. В частности, нужны сведения о типах целей, условиях их наблюдения и передаче полученной информации системе принятия решений или человеку.</w:t>
      </w:r>
    </w:p>
    <w:p>
      <w:pPr>
        <w:pStyle w:val="BodyText"/>
      </w:pPr>
      <w:r>
        <w:rPr>
          <w:b w:val="0"/>
        </w:rPr>
        <w:t xml:space="preserve">Для рассматриваемой темы существеннее всего опубликованное распределение режимов. В сообщении 2023 года прохождение узкостей и вход в порт описаны как ручное управление совместно с поддержкой принятия решений, тогда как дистанционный режим отнесён к движению в море [7]. Таким образом, этот источник позволяет изучать применение автономных технологий в составе судовождения, но не подтверждает самостоятельное выполнение системой полного прохода через узкость. Перечень разрешённых режимов необходимо сверить с самими выданными документами и актуальными условиями эксплуатации.</w:t>
      </w:r>
    </w:p>
    <w:p>
      <w:pPr>
        <w:pStyle w:val="BodyText"/>
      </w:pPr>
      <w:r>
        <w:rPr>
          <w:b w:val="0"/>
        </w:rPr>
        <w:t xml:space="preserve">Маломерный катер представляет иной вариант распределения задач. В сентябрьской публикации 2026 года основной режим описан как автономный, а дистанционное управление — как доступный вариант при нештатной ситуации [10]. При дальнейшем анализе необходимо установить, как контролировалась навигационная обстановка, какие события должны были вызывать вмешательство и какие ограничения были предусмотрены для рейса. Поскольку опубликованное сообщение не раскрывает полный протокол операции, эти вопросы пока нельзя считать проверенными.</w:t>
      </w:r>
    </w:p>
    <w:bookmarkEnd w:id="26"/>
    <w:bookmarkStart w:id="27" w:name="X57c16efd36f69961fb85aca4e5ad3b831522765"/>
    <w:p>
      <w:pPr>
        <w:pStyle w:val="Heading2"/>
      </w:pPr>
      <w:r>
        <w:rPr>
          <w:rFonts w:ascii="Times New Roman" w:hAnsi="Times New Roman"/>
          <w:color w:val="000000"/>
          <w:sz w:val="28"/>
        </w:rPr>
        <w:t xml:space="preserve">2.3 Условия проверки и значение для плавания в узкостях</w:t>
      </w:r>
    </w:p>
    <w:p>
      <w:pPr>
        <w:pStyle w:val="FirstParagraph"/>
      </w:pPr>
      <w:r>
        <w:rPr>
          <w:b w:val="0"/>
        </w:rPr>
        <w:t xml:space="preserve">Для сопоставления российских примеров в таблице 2.1 указано, что именно описано источником и какие сведения необходимы для анализа узкостей. Таблица отражает текущую доступную доказательную базу, а не рейтинг технических решений. Все рассмотренные сообщения опубликованы участником проектов, поэтому совпадение нескольких публикаций нельзя считать независимой проверкой результата.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2.1 — Первоначальная оценка российских примеров по опубликованным сведениям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3118"/>
        <w:gridCol w:w="3402"/>
      </w:tblGrid>
      <w:tr>
        <w:trPr>
          <w:tblHeader w:val="on"/>
          <w:tblHeader w:val="true"/>
        </w:trPr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</w:t>
            </w:r>
          </w:p>
        </w:tc>
        <w:tc>
          <w:tcPr>
            <w:tcW w:type="dxa" w:w="311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описано источником</w:t>
            </w:r>
          </w:p>
        </w:tc>
        <w:tc>
          <w:tcPr>
            <w:tcW w:type="dxa" w:w="340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необходимо проверить для узкости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«Пола Анфиса», 2021 год</w:t>
            </w:r>
          </w:p>
        </w:tc>
        <w:tc>
          <w:tcPr>
            <w:tcW w:type="dxa" w:w="311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Дистанционный и автономный режимы во время испытания в Азовском море [8]</w:t>
            </w:r>
          </w:p>
        </w:tc>
        <w:tc>
          <w:tcPr>
            <w:tcW w:type="dxa" w:w="340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Участок испытания, плотность движения, конкретные манёвры и вмешательства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«Маршал Рокоссовский» и «Генерал Черняховский», 2023 год</w:t>
            </w:r>
          </w:p>
        </w:tc>
        <w:tc>
          <w:tcPr>
            <w:tcW w:type="dxa" w:w="311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Комплекс а-Навигации; ручной режим с поддержкой решений в узкостях; дистанционный режим в море [7; 9]</w:t>
            </w:r>
          </w:p>
        </w:tc>
        <w:tc>
          <w:tcPr>
            <w:tcW w:type="dxa" w:w="340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Содержание удостоверений, действующие ограничения, результаты работы средств обнаружения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«Странник 575», 2026 год</w:t>
            </w:r>
          </w:p>
        </w:tc>
        <w:tc>
          <w:tcPr>
            <w:tcW w:type="dxa" w:w="3118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Сообщение об автономной операции без людей на борту в дельте Северной Двины [10]</w:t>
            </w:r>
          </w:p>
        </w:tc>
        <w:tc>
          <w:tcPr>
            <w:tcW w:type="dxa" w:w="3402"/>
          </w:tcPr>
          <w:p>
            <w:pPr>
              <w:pStyle w:val="Compact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Протокол операции, фактические условия, наблюдение целей, критерии вмешательства и резервные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Из рассмотренных материалов следует рабочий вывод: российские примеры требуют анализа по отдельным навигационным функциям и условиям, а не общего обозначения автономности. Для паромов опубликованный порядок управления прямо ограничивает вывод о самостоятельном прохождении узкостей. Для катера описанная операция представляет интерес как отдельный случай, однако её подробные технические условия ещё необходимо подтвердить. Эти ограничения определяют дальнейший поиск источников и не означают заранее установленной технической неспособности систем.</w:t>
      </w:r>
    </w:p>
    <w:bookmarkEnd w:id="27"/>
    <w:bookmarkEnd w:id="28"/>
    <w:bookmarkStart w:id="39" w:name="список-использованных-источников"/>
    <w:p>
      <w:pPr>
        <w:pStyle w:val="Heading1"/>
      </w:pPr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29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30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31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32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33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34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35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— 11.05.2021. — URL:</w:t>
      </w:r>
      <w:r>
        <w:rPr>
          <w:b w:val="0"/>
        </w:rPr>
        <w:t xml:space="preserve"> </w:t>
      </w:r>
      <w:hyperlink r:id="rId36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— 19.12.2023. — URL:</w:t>
      </w:r>
      <w:r>
        <w:rPr>
          <w:b w:val="0"/>
        </w:rPr>
        <w:t xml:space="preserve"> </w:t>
      </w:r>
      <w:hyperlink r:id="rId37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— 15.09.2026. — URL:</w:t>
      </w:r>
      <w:r>
        <w:rPr>
          <w:b w:val="0"/>
        </w:rPr>
        <w:t xml:space="preserve"> </w:t>
      </w:r>
      <w:hyperlink r:id="rId38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ресурс]. — [Б. м. : б. и.], [б. г.]. — 24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ресурс]. — [Б. м. : б. и.], [б. г.]. — 25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ресурс]. — [Б. м. : б. и.], [б. г.]. — 49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ресурс]. — [Б. м. : б. и.], [б. г.]. — 69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ресурс]. — [Б. м. : б. и.], [б. г.]. — 18 с. — PDF-файл, предоставленный автором ВКР 09.10.2026.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ресурс]. — [Б. м. : б. и.], [б. г.]. — 35 с. — PDF-файл, предоставленный автором ВКР 09.10.2026.</w:t>
      </w:r>
    </w:p>
    <w:bookmarkEnd w:id="39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Simple w:instr="PAGE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32" Type="http://schemas.openxmlformats.org/officeDocument/2006/relationships/hyperlink" Target="https://www.imo.org/en/about/conventions/pages/colreg.aspx" TargetMode="External"/><Relationship Id="rId31" Type="http://schemas.openxmlformats.org/officeDocument/2006/relationships/hyperlink" Target="https://www.imo.org/en/mediacentre/hottopics/pages/autonomous-shipping.aspx" TargetMode="External"/><Relationship Id="rId35" Type="http://schemas.openxmlformats.org/officeDocument/2006/relationships/hyperlink" Target="https://www.sitronics.com/reports/15295" TargetMode="External"/><Relationship Id="rId37" Type="http://schemas.openxmlformats.org/officeDocument/2006/relationships/hyperlink" Target="https://www.sitronics.com/reports/15592" TargetMode="External"/><Relationship Id="rId38" Type="http://schemas.openxmlformats.org/officeDocument/2006/relationships/hyperlink" Target="https://www.sitronics.com/reports/18730" TargetMode="External"/><Relationship Id="rId36" Type="http://schemas.openxmlformats.org/officeDocument/2006/relationships/hyperlink" Target="https://www.sitronics.com/reports/6966" TargetMode="External"/><Relationship Id="rId33" Type="http://schemas.openxmlformats.org/officeDocument/2006/relationships/hyperlink" Target="https://wwwcdn.imo.org/localresources/en/KnowledgeCentre/IndexofIMOResolutions/AssemblyDocuments/A.893(21).pdf" TargetMode="External"/><Relationship Id="rId29" Type="http://schemas.openxmlformats.org/officeDocument/2006/relationships/hyperlink" Target="https://wwwcdn.imo.org/localresources/en/MediaCentre/Documents/MSC%20111-22-Annex%2016%20(Secretariat).pdf" TargetMode="External"/><Relationship Id="rId30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4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www.imo.org/en/about/conventions/pages/colreg.aspx" TargetMode="External"/><Relationship Id="rId31" Type="http://schemas.openxmlformats.org/officeDocument/2006/relationships/hyperlink" Target="https://www.imo.org/en/mediacentre/hottopics/pages/autonomous-shipping.aspx" TargetMode="External"/><Relationship Id="rId35" Type="http://schemas.openxmlformats.org/officeDocument/2006/relationships/hyperlink" Target="https://www.sitronics.com/reports/15295" TargetMode="External"/><Relationship Id="rId37" Type="http://schemas.openxmlformats.org/officeDocument/2006/relationships/hyperlink" Target="https://www.sitronics.com/reports/15592" TargetMode="External"/><Relationship Id="rId38" Type="http://schemas.openxmlformats.org/officeDocument/2006/relationships/hyperlink" Target="https://www.sitronics.com/reports/18730" TargetMode="External"/><Relationship Id="rId36" Type="http://schemas.openxmlformats.org/officeDocument/2006/relationships/hyperlink" Target="https://www.sitronics.com/reports/6966" TargetMode="External"/><Relationship Id="rId33" Type="http://schemas.openxmlformats.org/officeDocument/2006/relationships/hyperlink" Target="https://wwwcdn.imo.org/localresources/en/KnowledgeCentre/IndexofIMOResolutions/AssemblyDocuments/A.893(21).pdf" TargetMode="External"/><Relationship Id="rId29" Type="http://schemas.openxmlformats.org/officeDocument/2006/relationships/hyperlink" Target="https://wwwcdn.imo.org/localresources/en/MediaCentre/Documents/MSC%20111-22-Annex%2016%20(Secretariat).pdf" TargetMode="External"/><Relationship Id="rId30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34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2026-10-09T09:57:50Z</dcterms:created>
  <dcterms:modified xsi:type="dcterms:W3CDTF">2026-10-09T09:57:50Z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