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360"/>
        <w:ind w:firstLine="0"/>
        <w:jc w:val="center"/>
      </w:pPr>
      <w:r>
        <w:rPr>
          <w:b/>
        </w:rPr>
        <w:t>ОТЧЁТ О ПЛАВАТЕЛЬНОЙ ПРАКТИКЕ</w:t>
      </w:r>
    </w:p>
    <w:p>
      <w:pPr>
        <w:spacing w:line="240" w:lineRule="auto" w:after="360"/>
        <w:ind w:firstLine="0"/>
        <w:jc w:val="center"/>
      </w:pPr>
      <w:r>
        <w:rPr>
          <w:b w:val="0"/>
        </w:rPr>
        <w:t>ФГБОУ ВО «ГУМРФ имени адмирала С. О. Макарова»</w:t>
      </w:r>
    </w:p>
    <w:p>
      <w:pPr>
        <w:spacing w:line="240" w:lineRule="auto" w:after="360"/>
        <w:ind w:firstLine="0"/>
        <w:jc w:val="center"/>
      </w:pPr>
      <w:r>
        <w:rPr>
          <w:b w:val="0"/>
        </w:rPr>
        <w:t>Институт «Морская академия». Факультет навигации и связи.</w:t>
      </w:r>
    </w:p>
    <w:p>
      <w:pPr>
        <w:spacing w:line="240" w:lineRule="auto" w:after="360"/>
        <w:ind w:firstLine="0"/>
        <w:jc w:val="center"/>
      </w:pPr>
      <w:r>
        <w:rPr>
          <w:b w:val="0"/>
        </w:rPr>
        <w:t xml:space="preserve">Курсант 6-го курса, группа С-612: </w:t>
      </w:r>
      <w:r>
        <w:rPr>
          <w:b/>
        </w:rPr>
        <w:t>[ФИО]</w:t>
      </w:r>
      <w:r>
        <w:rPr>
          <w:b w:val="0"/>
        </w:rPr>
        <w:t>.</w:t>
      </w:r>
    </w:p>
    <w:p>
      <w:pPr>
        <w:spacing w:line="240" w:lineRule="auto" w:after="360"/>
        <w:ind w:firstLine="0"/>
        <w:jc w:val="center"/>
      </w:pPr>
      <w:r>
        <w:rPr>
          <w:b w:val="0"/>
        </w:rPr>
        <w:t>Место практики: военный корабль «Чабаненко». Порт приписки: Североморск.</w:t>
      </w:r>
    </w:p>
    <w:p>
      <w:pPr>
        <w:spacing w:line="240" w:lineRule="auto" w:after="360"/>
        <w:ind w:firstLine="0"/>
        <w:jc w:val="center"/>
      </w:pPr>
      <w:r>
        <w:rPr>
          <w:b w:val="0"/>
        </w:rPr>
        <w:t xml:space="preserve">Период практики: </w:t>
      </w:r>
      <w:r>
        <w:rPr>
          <w:b/>
        </w:rPr>
        <w:t>03.06.2026–08.07.2026</w:t>
      </w:r>
      <w:r>
        <w:rPr>
          <w:b w:val="0"/>
        </w:rPr>
        <w:t xml:space="preserve">. Продолжительность по справке: </w:t>
      </w:r>
      <w:r>
        <w:rPr>
          <w:b/>
        </w:rPr>
        <w:t>один месяц шесть дней</w:t>
      </w:r>
      <w:r>
        <w:rPr>
          <w:b w:val="0"/>
        </w:rPr>
        <w:t>.</w:t>
      </w:r>
    </w:p>
    <w:p>
      <w:pPr>
        <w:spacing w:line="240" w:lineRule="auto" w:after="360"/>
        <w:ind w:firstLine="0"/>
        <w:jc w:val="center"/>
      </w:pPr>
      <w:r>
        <w:rPr>
          <w:b w:val="0"/>
        </w:rPr>
        <w:t xml:space="preserve">Должность: </w:t>
      </w:r>
      <w:r>
        <w:rPr>
          <w:b/>
        </w:rPr>
        <w:t>[точное наименование из справки]</w:t>
      </w:r>
      <w:r>
        <w:rPr>
          <w:b w:val="0"/>
        </w:rPr>
        <w:t>.</w:t>
      </w:r>
    </w:p>
    <w:p>
      <w:pPr>
        <w:spacing w:line="240" w:lineRule="auto" w:after="360"/>
        <w:ind w:firstLine="0"/>
        <w:jc w:val="center"/>
      </w:pPr>
      <w:r>
        <w:rPr>
          <w:b w:val="0"/>
        </w:rPr>
        <w:t>Руководитель от кафедры: Г. И. Безбородов.</w:t>
      </w:r>
    </w:p>
    <w:p>
      <w:pPr>
        <w:spacing w:line="240" w:lineRule="auto" w:after="360"/>
        <w:ind w:firstLine="0"/>
        <w:jc w:val="center"/>
      </w:pPr>
      <w:r>
        <w:rPr>
          <w:b w:val="0"/>
        </w:rPr>
        <w:t>Санкт-Петербург, 2026.</w:t>
      </w:r>
    </w:p>
    <w:p>
      <w:pPr>
        <w:sectPr>
          <w:pgSz w:w="11906" w:h="16838"/>
          <w:pgMar w:top="1134" w:right="567" w:bottom="1134" w:left="1701" w:header="720" w:footer="567" w:gutter="0"/>
          <w:cols w:space="720"/>
          <w:docGrid w:linePitch="360"/>
        </w:sectPr>
      </w:pPr>
    </w:p>
    <w:p>
      <w:pPr>
        <w:ind w:firstLine="0"/>
        <w:jc w:val="center"/>
      </w:pPr>
      <w:r>
        <w:t>СОДЕРЖАНИЕ</w:t>
      </w:r>
    </w:p>
    <w:p>
      <w:r/>
      <w:fldSimple w:instr="TOC \o &quot;1-2&quot; \h \z \u"/>
    </w:p>
    <w:p>
      <w:pPr>
        <w:sectPr>
          <w:footerReference w:type="default" r:id="rId9"/>
          <w:pgSz w:w="11906" w:h="16838"/>
          <w:pgMar w:top="1134" w:right="567" w:bottom="1134" w:left="1701" w:header="720" w:footer="567" w:gutter="0"/>
          <w:cols w:space="720"/>
          <w:docGrid w:linePitch="360"/>
        </w:sectPr>
      </w:pPr>
    </w:p>
    <w:p>
      <w:pPr>
        <w:pStyle w:val="Heading1"/>
      </w:pPr>
      <w:r>
        <w:t>Введение</w:t>
      </w:r>
    </w:p>
    <w:p>
      <w:r>
        <w:rPr>
          <w:b w:val="0"/>
        </w:rPr>
        <w:t>В справке о прохождении практики указаны: Gross tonnage — 7570; Propulsion power — 62 000 кВт; Type of main propulsion machinery — GTA M-9; Power of ship electrical equipment — 5200 кВт. Вместимость и мощность разных установок рассматриваются как самостоятельные показатели. Валовая вместимость не является массой судна и не заменяет его водоизмещение.</w:t>
      </w:r>
    </w:p>
    <w:p>
      <w:r>
        <w:rPr>
          <w:b w:val="0"/>
        </w:rPr>
        <w:t>Практика проходила в рамках подготовки на военной кафедре под наблюдением дипломированного специалиста. Ниже рассматриваются вопросы задания по судовождению и общие принципы их применения. Описание торгового судна из учебного примера не определяет фактическую комплектацию военного корабля.</w:t>
      </w:r>
    </w:p>
    <w:p>
      <w:pPr>
        <w:pStyle w:val="Heading1"/>
      </w:pPr>
      <w:r>
        <w:t>1. Планирование рейса, навигация и лоция</w:t>
      </w:r>
    </w:p>
    <w:p>
      <w:pPr>
        <w:pStyle w:val="Heading2"/>
      </w:pPr>
      <w:r>
        <w:t>1.1. Карты, руководства и пособия</w:t>
      </w:r>
    </w:p>
    <w:p>
      <w:r>
        <w:rPr>
          <w:b w:val="0"/>
        </w:rPr>
        <w:t>Подготовка навигационных материалов начинается с определения района и масштаба предстоящего плавания. Для общего выбора пути используются карты, охватывающие весь район, а для подходов к берегу, узкостей и портовых акваторий — карты более крупного масштаба. Картографические сведения дополняются лоциями, описаниями огней и знаков, информацией о радиотехнических средствах, приливах и действующих навигационных предупреждениях.</w:t>
      </w:r>
    </w:p>
    <w:p>
      <w:r>
        <w:rPr>
          <w:b w:val="0"/>
        </w:rPr>
        <w:t>При подборе материалов проверяются границы покрытия, масштаб, система координат, дата издания и корректура. Наличие карты само по себе не означает её готовности к использованию: изменения глубин, ограждения, правил движения и временных ограничений должны быть учтены до решения соответствующей задачи.</w:t>
      </w:r>
    </w:p>
    <w:p>
      <w:r>
        <w:rPr>
          <w:b w:val="0"/>
        </w:rPr>
        <w:t>Бумажные карты хранятся так, чтобы исключить повреждение и обеспечить быстрый доступ. Корректура выполняется по официальным извещениям и предупреждениям с учётом характера изменения. Для электронных карт проверяются действительность разрешений, установка обновлений и пригодность покрытия. Способ резервирования электронной картографии определяется принятой схемой оснащения; нельзя считать, что для любой системы обязательно используется один и тот же бумажный резерв.</w:t>
      </w:r>
    </w:p>
    <w:p>
      <w:pPr>
        <w:pStyle w:val="Heading2"/>
      </w:pPr>
      <w:r>
        <w:t>1.2. Выбор пути и предварительная прокладка</w:t>
      </w:r>
    </w:p>
    <w:p>
      <w:r>
        <w:rPr>
          <w:b w:val="0"/>
        </w:rPr>
        <w:t>Выбор пути основан на оценке навигационных опасностей, глубин, ограничений акватории, гидрометеорологических условий и возможностей судна. Особое значение имеет запас воды под килем: его оценка учитывает осадку, колебания уровня, погрешности глубин и динамические изменения посадки. Безопасный путь должен оставлять возможности для контроля места и своевременного изменения действий.</w:t>
      </w:r>
    </w:p>
    <w:p>
      <w:r>
        <w:rPr>
          <w:b w:val="0"/>
        </w:rPr>
        <w:t>При предварительной прокладке намечаются участки пути и поворотные точки, выбираются средства контроля, определяются опасные направления и ограничения. Для каждого участка полезно записывать направление движения, расстояние, ориентиры и условия перехода к следующему этапу. Подготовленная прокладка проверяется перед использованием и уточняется при изменении обстановки.</w:t>
      </w:r>
    </w:p>
    <w:p>
      <w:pPr>
        <w:pStyle w:val="Heading2"/>
      </w:pPr>
      <w:r>
        <w:t>1.3. Протяжённость и длительность</w:t>
      </w:r>
    </w:p>
    <w:p>
      <w:r>
        <w:rPr>
          <w:b w:val="0"/>
        </w:rPr>
        <w:t>Общая протяжённость пути определяется суммой расстояний отдельных участков. Для участка с постоянной путевой скоростью расчётное время определяется отношением расстояния к скорости: t = S / V. Если S выражено в морских милях, а V — в узлах, результат получается в часах.</w:t>
      </w:r>
    </w:p>
    <w:p>
      <w:r>
        <w:rPr>
          <w:b w:val="0"/>
        </w:rPr>
        <w:t>Для нескольких участков рассчитывается сумма Sᵢ / Vᵢ. Время стоянок и предусмотренные задержки учитываются отдельно. Скорость относительно воды нельзя автоматически подставлять вместо скорости продвижения относительно грунта при заметном течении. Оценка времени прибытия также требует согласования часовых поясов и принятых способов ведения судового времени. Фиксированный процент запаса времени не является универсальной нормой для любого перехода.</w:t>
      </w:r>
    </w:p>
    <w:p>
      <w:pPr>
        <w:pStyle w:val="Heading1"/>
      </w:pPr>
      <w:r>
        <w:t>2. Метеорология и океанография</w:t>
      </w:r>
    </w:p>
    <w:p>
      <w:pPr>
        <w:pStyle w:val="Heading2"/>
      </w:pPr>
      <w:r>
        <w:t>2.1. Ветер, волнение и течение</w:t>
      </w:r>
    </w:p>
    <w:p>
      <w:r>
        <w:rPr>
          <w:b w:val="0"/>
        </w:rPr>
        <w:t>Ветер характеризуется направлением, скоростью и изменчивостью. Направление ветра указывает, откуда перемещается воздух. При измерении на движущемся судне прибор регистрирует кажущийся ветер, зависящий от истинного ветра и движения судна. Для перехода к истинному ветру необходимо учитывать скорость и направление движения, а также систему отсчёта показаний.</w:t>
      </w:r>
    </w:p>
    <w:p>
      <w:r>
        <w:rPr>
          <w:b w:val="0"/>
        </w:rPr>
        <w:t>Сила ветра может оцениваться по шкале Бофорта, но глазомерная оценка не заменяет измерение при наличии исправного прибора. Волнение описывается высотой, длиной, периодом и направлением распространения волн. Ветровые волны и зыбь могут существовать одновременно и иметь разные направления, что влияет на качку и управляемость.</w:t>
      </w:r>
    </w:p>
    <w:p>
      <w:r>
        <w:rPr>
          <w:b w:val="0"/>
        </w:rPr>
        <w:t>Для течения направление указывается в сторону перемещения воды. Его влияние обнаруживается при сопоставлении движения относительно воды и грунта, однако разность показаний требует учёта дрейфа и погрешностей измерений. Течение влияет на фактический путь, время перехода, маневрирование и якорную стоянку.</w:t>
      </w:r>
    </w:p>
    <w:p>
      <w:pPr>
        <w:pStyle w:val="Heading2"/>
      </w:pPr>
      <w:r>
        <w:t>2.2. Синоптические карты</w:t>
      </w:r>
    </w:p>
    <w:p>
      <w:r>
        <w:rPr>
          <w:b w:val="0"/>
        </w:rPr>
        <w:t>Синоптические карты позволяют оценивать распределение давления, положение фронтов и развитие погодных систем. При анализе рассматриваются несколько последовательных карт, срок прогноза и район его действия. Изменение давления и ветра сопоставляется с наблюдаемой погодой, а существенные расхождения требуют дополнительной оценки.</w:t>
      </w:r>
    </w:p>
    <w:p>
      <w:r>
        <w:rPr>
          <w:b w:val="0"/>
        </w:rPr>
        <w:t>Давление может выражаться в гектопаскалях и миллибарах: 1 гПа = 1 мбар. Стандартная атмосфера 760 мм рт. ст. соответствует 1013,25 гПа. Ошибка пересчёта единиц делает сравнение наблюдений и прогноза недостоверным.</w:t>
      </w:r>
    </w:p>
    <w:p>
      <w:pPr>
        <w:pStyle w:val="Heading2"/>
      </w:pPr>
      <w:r>
        <w:t>2.3. Местные признаки</w:t>
      </w:r>
    </w:p>
    <w:p>
      <w:r>
        <w:rPr>
          <w:b w:val="0"/>
        </w:rPr>
        <w:t>Дополнительную информацию дают изменения облачности, видимости, направления ветра и барометрической тенденции. Отдельный признак оценивается в комплексе с другими наблюдениями. Местные признаки не заменяют официальное предупреждение и не позволяют гарантировать погоду на длительный срок.</w:t>
      </w:r>
    </w:p>
    <w:p>
      <w:pPr>
        <w:pStyle w:val="Heading2"/>
      </w:pPr>
      <w:r>
        <w:t>2.4. Ледовая информация</w:t>
      </w:r>
    </w:p>
    <w:p>
      <w:r>
        <w:rPr>
          <w:b w:val="0"/>
        </w:rPr>
        <w:t>При оценке ледовой карты учитываются сплочённость, возраст и размеры льда, положение кромки, торосистость и сжатия. Дата исходных наблюдений имеет принципиальное значение: ледовая обстановка изменяется под действием ветра и течений. Возможность прохода определяется не одной картой, а совокупностью условий и допустимых возможностей конкретного судна. Общая теория ледового плавания не подтверждает фактического участия практиканта в таком переходе.</w:t>
      </w:r>
    </w:p>
    <w:p>
      <w:pPr>
        <w:pStyle w:val="Heading1"/>
      </w:pPr>
      <w:r>
        <w:t>3. Определение и учёт поправок курсоуказателей</w:t>
      </w:r>
    </w:p>
    <w:p>
      <w:pPr>
        <w:pStyle w:val="Heading2"/>
      </w:pPr>
      <w:r>
        <w:t>3.1. Магнитный и гироскопический компасы</w:t>
      </w:r>
    </w:p>
    <w:p>
      <w:r>
        <w:rPr>
          <w:b w:val="0"/>
        </w:rPr>
        <w:t>Поправка магнитного компаса включает магнитное склонение и девиацию: ΔМК = d + δ. Склонение определяется для района и года плавания по соответствующим данным, а девиация связана с магнитным влиянием судна и зависит, в частности, от курса. Таблица девиации имеет дату и применяется с учётом состояния судна и изменений, способных повлиять на магнитное поле.</w:t>
      </w:r>
    </w:p>
    <w:p>
      <w:r>
        <w:rPr>
          <w:b w:val="0"/>
        </w:rPr>
        <w:t>При сопоставлении истинного и компасного пеленгов поправка определяется как ΔМК = ИП − КП. Для гирокомпаса используется аналогичное соотношение ΔГК = ИП − ГКП. Разности направлений приводятся к принятой знаковой системе; переход через 0°/360° не должен создавать ложную большую поправку.</w:t>
      </w:r>
    </w:p>
    <w:p>
      <w:r>
        <w:rPr>
          <w:b w:val="0"/>
        </w:rPr>
        <w:t>Поправки могут определяться по известному направлению створа, удалённому ориентиру, астрономическому азимуту либо сличением с независимым источником, поправка которого установлена. Астрономический расчёт использует координаты и время наблюдения. Поэтому утверждение о полной независимости этого способа от места судна некорректно.</w:t>
      </w:r>
    </w:p>
    <w:p>
      <w:pPr>
        <w:pStyle w:val="Heading2"/>
      </w:pPr>
      <w:r>
        <w:t>3.2. Периодичность и точность</w:t>
      </w:r>
    </w:p>
    <w:p>
      <w:r>
        <w:rPr>
          <w:b w:val="0"/>
        </w:rPr>
        <w:t>Контроль выполняется с учётом требований организации службы, условий плавания, работы прибора и выполненных маневров. Повторная оценка особенно важна при расхождении источников курса, изменении условий и появлении сигнализации. Одно сличение двух приборов обнаруживает различие показаний, но без независимого основания не определяет, какой из них ошибается.</w:t>
      </w:r>
    </w:p>
    <w:p>
      <w:r>
        <w:rPr>
          <w:b w:val="0"/>
        </w:rPr>
        <w:t>Достоверность результата зависит от точности исходного направления, отсчёта, координат, времени и условий наблюдения. Число знаков в записи не равно точности измерения. Для полноценного расчётного подтверждения нужны исходные данные и описание метода, а не только итоговая поправка.</w:t>
      </w:r>
    </w:p>
    <w:p>
      <w:pPr>
        <w:pStyle w:val="Heading2"/>
      </w:pPr>
      <w:r>
        <w:t>3.3. Учёт в навигации</w:t>
      </w:r>
    </w:p>
    <w:p>
      <w:r>
        <w:rPr>
          <w:b w:val="0"/>
        </w:rPr>
        <w:t>При исправлении направлений компасный курс или пеленг переводится в истинный с учётом установленной поправки. Затем при счислении отдельно учитываются дрейф и течение. Их влияние нельзя включать в поправку компаса как будто это одна и та же величина.</w:t>
      </w:r>
    </w:p>
    <w:p>
      <w:r>
        <w:rPr>
          <w:b w:val="0"/>
        </w:rPr>
        <w:t>Следует различать курс, определяемый направлением диаметральной плоскости, и путевой угол движения относительно грунта. Разность курса гирокомпаса и COG при течении или дрейфе сама по себе не доказывает неисправности гирокомпаса. Назначение и особенности конкретного курсоуказателя рассматриваются по его документации [1].</w:t>
      </w:r>
    </w:p>
    <w:p>
      <w:pPr>
        <w:pStyle w:val="Heading1"/>
      </w:pPr>
      <w:r>
        <w:t>4. Определение места судна различными способами</w:t>
      </w:r>
    </w:p>
    <w:p>
      <w:pPr>
        <w:pStyle w:val="Heading2"/>
      </w:pPr>
      <w:r>
        <w:t>4.1. Астрономические способы</w:t>
      </w:r>
    </w:p>
    <w:p>
      <w:r>
        <w:rPr>
          <w:b w:val="0"/>
        </w:rPr>
        <w:t>Астрономическое определение основано на измерении высоты светила и точном времени. Измеренная высота исправляется соответствующими поправками, затем сопоставляется с расчётной для принятого места. Полученная разность используется для построения линии положения. Несколько независимых линий дают возможность определить место и оценить согласованность наблюдений.</w:t>
      </w:r>
    </w:p>
    <w:p>
      <w:r>
        <w:rPr>
          <w:b w:val="0"/>
        </w:rPr>
        <w:t>Качество результата зависит от исправности прибора, наблюдаемого горизонта, времени, эфемерид и геометрии расположения светил. Разновременные линии требуют учёта движения между наблюдениями.</w:t>
      </w:r>
    </w:p>
    <w:p>
      <w:pPr>
        <w:pStyle w:val="Heading2"/>
      </w:pPr>
      <w:r>
        <w:t>4.2. Спутниковые приёмники</w:t>
      </w:r>
    </w:p>
    <w:p>
      <w:r>
        <w:rPr>
          <w:b w:val="0"/>
        </w:rPr>
        <w:t>Приёмник спутниковой навигации выдаёт координаты и другие параметры на основании полученных сигналов. Для контроля оцениваются статус решения, геометрия спутников, предусмотренные показатели целостности и сообщения об ошибках. Дифференциальный режим использует дополнительные поправки, доступность и актуальность которых также проверяются.</w:t>
      </w:r>
    </w:p>
    <w:p>
      <w:r>
        <w:rPr>
          <w:b w:val="0"/>
        </w:rPr>
        <w:t>Координаты должны быть согласованы с системой координат карты. Привычное отображение чисел на экране не исключает ошибки приёма, неправильной настройки или неверного подключения к другим приборам [1].</w:t>
      </w:r>
    </w:p>
    <w:p>
      <w:pPr>
        <w:pStyle w:val="Heading2"/>
      </w:pPr>
      <w:r>
        <w:t>4.3. Визуальные и радиолокационные способы</w:t>
      </w:r>
    </w:p>
    <w:p>
      <w:r>
        <w:rPr>
          <w:b w:val="0"/>
        </w:rPr>
        <w:t>Место может определяться по пеленгам, дистанциям, створу и сочетанию независимых наблюдений. Ориентиры выбираются так, чтобы линии положения пересекались под благоприятными углами и уверенно опознавались. При последовательных измерениях учитывается движение судна.</w:t>
      </w:r>
    </w:p>
    <w:p>
      <w:r>
        <w:rPr>
          <w:b w:val="0"/>
        </w:rPr>
        <w:t>Радиолокационные дистанции и пеленги требуют правильного отождествления объекта и учёта особенностей отражения. Несовпадение нескольких линий положения анализируется по возможным причинам; центр любого полученного треугольника нельзя автоматически считать точным местом.</w:t>
      </w:r>
    </w:p>
    <w:p>
      <w:pPr>
        <w:pStyle w:val="Heading2"/>
      </w:pPr>
      <w:r>
        <w:t>4.4. Выбор метода</w:t>
      </w:r>
    </w:p>
    <w:p>
      <w:r>
        <w:rPr>
          <w:b w:val="0"/>
        </w:rPr>
        <w:t>Частота и способы контроля определяются близостью опасностей, скоростью, видимостью и доступными средствами. Один метод не является наиболее точным во всех случаях. Безопасная работа предусматривает независимое сопоставление данных и объяснение обнаруженных расхождений.</w:t>
      </w:r>
    </w:p>
    <w:p>
      <w:pPr>
        <w:pStyle w:val="Heading1"/>
      </w:pPr>
      <w:r>
        <w:t>5. Технические средства судовождения и радиооборудование</w:t>
      </w:r>
    </w:p>
    <w:p>
      <w:pPr>
        <w:pStyle w:val="Heading2"/>
      </w:pPr>
      <w:r>
        <w:t>5.1. Курсоуказатели</w:t>
      </w:r>
    </w:p>
    <w:p>
      <w:r>
        <w:rPr>
          <w:b w:val="0"/>
        </w:rPr>
        <w:t>Магнитный компас сохраняет значение как независимый от обычного электрического питания источник направления, но требует учёта магнитных влияний. Гирокомпас использует свойства гироскопа и вращение Земли; его подготовка, приход в рабочее состояние и погрешности зависят от конструкции. Спутниковый компас определяет ориентацию по приёму сигналов разнесёнными антеннами и не тождествен обычному приёмнику, показывающему путевой угол.</w:t>
      </w:r>
    </w:p>
    <w:p>
      <w:r>
        <w:rPr>
          <w:b w:val="0"/>
        </w:rPr>
        <w:t>Описание конкретной модели должно включать назначение, основные характеристики, управление, подготовку, сигнализацию и взаимодействие с другими средствами. Названия гражданских приборов из учебных примеров не определяют установленное оборудование военного корабля [1].</w:t>
      </w:r>
    </w:p>
    <w:p>
      <w:pPr>
        <w:pStyle w:val="Heading2"/>
      </w:pPr>
      <w:r>
        <w:t>5.2. Скорость и глубина</w:t>
      </w:r>
    </w:p>
    <w:p>
      <w:r>
        <w:rPr>
          <w:b w:val="0"/>
        </w:rPr>
        <w:t>Лаги измеряют скорость и пройденное расстояние различными физическими способами. Скорость относительно воды и скорость относительно грунта имеют разное навигационное назначение. Доплеровский или иной принцип действия сам по себе не устанавливает, какие режимы доступны конкретной модели: это проверяется по руководству.</w:t>
      </w:r>
    </w:p>
    <w:p>
      <w:r>
        <w:rPr>
          <w:b w:val="0"/>
        </w:rPr>
        <w:t>Эхолот определяет расстояние акустическим способом по времени распространения сигнала. При использовании показаний необходимо знать, от какой поверхности ведётся отсчёт: преобразователя, киля или поверхности воды. Настройки диапазона, усиления и предусмотренных регулировок выбираются по условиям; неверная трактовка отсчёта может привести к ошибочной оценке запаса воды [1].</w:t>
      </w:r>
    </w:p>
    <w:p>
      <w:pPr>
        <w:pStyle w:val="Heading2"/>
      </w:pPr>
      <w:r>
        <w:t>5.3. Средства определения места</w:t>
      </w:r>
    </w:p>
    <w:p>
      <w:r>
        <w:rPr>
          <w:b w:val="0"/>
        </w:rPr>
        <w:t>Спутниковый приёмник используется вместе с картографическими и другими навигационными средствами. Его данные передаются на сопряжённые устройства, но наличие нескольких экранов с одним источником координат не означает независимого многократного подтверждения места. Для оценки взаимодействия нужны сведения о реальном составе и подключении приборов.</w:t>
      </w:r>
    </w:p>
    <w:p>
      <w:pPr>
        <w:pStyle w:val="Heading2"/>
      </w:pPr>
      <w:r>
        <w:t>5.4. РЛС, САРП, ЭКНИС, АИС и авторулевой</w:t>
      </w:r>
    </w:p>
    <w:p>
      <w:r>
        <w:rPr>
          <w:b w:val="0"/>
        </w:rPr>
        <w:t>РЛС обеспечивает обнаружение отражающих объектов и измерение направлений/расстояний. САРП поддерживает сопровождение целей и оценку относительного движения, однако результат зависит от правильной работы датчиков, устойчивости сопровождения и времени наблюдения. CPA и TCPA оцениваются в связи с обстановкой, а не как достаточное самостоятельное основание любого маневра.</w:t>
      </w:r>
    </w:p>
    <w:p>
      <w:r>
        <w:rPr>
          <w:b w:val="0"/>
        </w:rPr>
        <w:t>ЭКНИС объединяет электронные карты и навигационные данные для планирования и контроля. Надёжность использования зависит от корректуры, масштаба, настроек безопасности и источников информации. АИС передаёт сведения от оборудованных участников; часть вводится вручную и может быть ошибочной. Отсутствие цели АИС не означает отсутствия судна, а её данные не заменяют наблюдение.</w:t>
      </w:r>
    </w:p>
    <w:p>
      <w:r>
        <w:rPr>
          <w:b w:val="0"/>
        </w:rPr>
        <w:t>Авторулевой удерживает заданное направление либо выполняет дополнительные функции, предусмотренные комплектацией. Наличие режима в описании модели не доказывает, что он подключён и используется на конкретном судне. Переход между способами управления выполняется по применимому порядку [1].</w:t>
      </w:r>
    </w:p>
    <w:p>
      <w:pPr>
        <w:pStyle w:val="Heading2"/>
      </w:pPr>
      <w:r>
        <w:t>5.5. Условия эксплуатации</w:t>
      </w:r>
    </w:p>
    <w:p>
      <w:r>
        <w:rPr>
          <w:b w:val="0"/>
        </w:rPr>
        <w:t>При качке, маневрах, в высоких широтах, при температурных воздействиях и неблагоприятном приёме меняются условия работы отдельных средств. Оценка учитывает ограничения конкретного прибора. Магнитное склонение нельзя считать единственным признаком пригодности компаса, а влажность и температура не дают универсальной численной поправки без документации.</w:t>
      </w:r>
    </w:p>
    <w:p>
      <w:pPr>
        <w:pStyle w:val="Heading1"/>
      </w:pPr>
      <w:r>
        <w:t>6. Организация и процедуры несения вахты</w:t>
      </w:r>
    </w:p>
    <w:p>
      <w:pPr>
        <w:pStyle w:val="Heading2"/>
      </w:pPr>
      <w:r>
        <w:t>6.1. Ходовая, якорная и стояночная вахта</w:t>
      </w:r>
    </w:p>
    <w:p>
      <w:r>
        <w:rPr>
          <w:b w:val="0"/>
        </w:rPr>
        <w:t>При ходовой вахте необходимы непрерывное наблюдение, контроль движения и места, исправности доступных средств и исполнения распоряжений. При передаче сообщаются обстановка, текущие задачи, ограничения и обнаруженные неисправности. Смена вахты не сводится к сообщению одного курса.</w:t>
      </w:r>
    </w:p>
    <w:p>
      <w:r>
        <w:rPr>
          <w:b w:val="0"/>
        </w:rPr>
        <w:t>На якоре контролируются положение, возможный дрейф, окружающее движение и изменение внешних условий. При стоянке у причала контролируются безопасность доступа, состояние швартовов и трапов, изменения посадки и погодных условий. Объём обязанностей зависит от организации службы; гражданские должности и чек-листы не подставляются вместо фактического порядка на военном корабле.</w:t>
      </w:r>
    </w:p>
    <w:p>
      <w:pPr>
        <w:pStyle w:val="Heading2"/>
      </w:pPr>
      <w:r>
        <w:t>6.2. Нештатные ситуации</w:t>
      </w:r>
    </w:p>
    <w:p>
      <w:r>
        <w:rPr>
          <w:b w:val="0"/>
        </w:rPr>
        <w:t>При обнаружении отказа или опасного изменения обстановки существенны своевременное сообщение, контроль движения и переход к предусмотренному резервному способу работы. Действия должны сохранять согласованность участников. Наличие общего описания аварии не означает, что такая авария происходила за время практики.</w:t>
      </w:r>
    </w:p>
    <w:p>
      <w:pPr>
        <w:pStyle w:val="Heading2"/>
      </w:pPr>
      <w:r>
        <w:t>6.3. Опасные вещества и грузы</w:t>
      </w:r>
    </w:p>
    <w:p>
      <w:r>
        <w:rPr>
          <w:b w:val="0"/>
        </w:rPr>
        <w:t>Учебное рассмотрение опасных грузов включает знание их свойств, правил размещения, крепления, совместимости и действий при утечке или пожаре. Применяемый порядок зависит от вещества и объекта перевозки. Коммерческая перевозка СПГ на газовозе не является описанием деятельности корабля «Чабаненко».</w:t>
      </w:r>
    </w:p>
    <w:p>
      <w:pPr>
        <w:pStyle w:val="Heading1"/>
      </w:pPr>
      <w:r>
        <w:t>7. Правила предотвращения столкновения судов</w:t>
      </w:r>
    </w:p>
    <w:p>
      <w:pPr>
        <w:pStyle w:val="Heading2"/>
      </w:pPr>
      <w:r>
        <w:t>7.1. Наблюдение и безопасная скорость</w:t>
      </w:r>
    </w:p>
    <w:p>
      <w:r>
        <w:rPr>
          <w:b w:val="0"/>
        </w:rPr>
        <w:t>Надлежащее наблюдение включает визуальные, слуховые и другие доступные средства применительно к условиям. Безопасная скорость выбирается с учётом видимости, движения, маневренных возможностей, внешних воздействий и навигационных ограничений. Её нельзя установить одной постоянной величиной для любого района.</w:t>
      </w:r>
    </w:p>
    <w:p>
      <w:r>
        <w:rPr>
          <w:b w:val="0"/>
        </w:rPr>
        <w:t>Оценка опасности строится на достаточной последовательности наблюдений. Почти неизменный пеленг при сокращении дистанции является существенным признаком сближения, но изменение пеленга не всегда исключает опасность. Радиолокационная информация оценивается вместе с другими данными.</w:t>
      </w:r>
    </w:p>
    <w:p>
      <w:pPr>
        <w:pStyle w:val="Heading2"/>
      </w:pPr>
      <w:r>
        <w:t>7.2. Маневренный планшет</w:t>
      </w:r>
    </w:p>
    <w:p>
      <w:r>
        <w:rPr>
          <w:b w:val="0"/>
        </w:rPr>
        <w:t>Учебная относительная прокладка использует положения цели в известные моменты, относительное движение и движение собственного судна. По этим данным оцениваются кратчайшее сближение и возможное изменение ситуации. Пустая сетка планшета является инструментом, а не выполненным расчётом расхождения.</w:t>
      </w:r>
    </w:p>
    <w:p>
      <w:pPr>
        <w:pStyle w:val="Heading2"/>
      </w:pPr>
      <w:r>
        <w:t>7.3. Оценка расхождения</w:t>
      </w:r>
    </w:p>
    <w:p>
      <w:r>
        <w:rPr>
          <w:b w:val="0"/>
        </w:rPr>
        <w:t>Результаты наблюдения должны приводить к своевременному и понятному действию с контролем его эффективности. Нельзя считать типовые дистанции из примера обязательными нормами для всех случаев. При ограниченной видимости особое значение имеют ранняя оценка, готовность к изменению движения и соблюдение применимых правил.</w:t>
      </w:r>
    </w:p>
    <w:p>
      <w:pPr>
        <w:pStyle w:val="Heading2"/>
      </w:pPr>
      <w:r>
        <w:t>7.4. СРД и СУДС</w:t>
      </w:r>
    </w:p>
    <w:p>
      <w:r>
        <w:rPr>
          <w:b w:val="0"/>
        </w:rPr>
        <w:t>Система разделения движения организует потоки в определённом районе. Служба управления движением судов обеспечивает предусмотренное взаимодействие и информационную поддержку с берега. Эти понятия связаны, но не равнозначны. Участие в СУДС не заменяет самостоятельной ответственности за безопасное движение.</w:t>
      </w:r>
    </w:p>
    <w:p>
      <w:pPr>
        <w:pStyle w:val="Heading1"/>
      </w:pPr>
      <w:r>
        <w:t>8. Маневрирование и управление судном</w:t>
      </w:r>
    </w:p>
    <w:p>
      <w:pPr>
        <w:pStyle w:val="Heading2"/>
      </w:pPr>
      <w:r>
        <w:t>8.1. Посадка</w:t>
      </w:r>
    </w:p>
    <w:p>
      <w:r>
        <w:rPr>
          <w:b w:val="0"/>
        </w:rPr>
        <w:t>Осадка и дифферент характеризуют положение судна относительно воды, водоизмещение связано с его массой и вытесненным объёмом. Эти величины влияют на управляемость, запас воды и доступность акватории. Валовая вместимость является другим показателем и не подставляется в расчёт вместо водоизмещения.</w:t>
      </w:r>
    </w:p>
    <w:p>
      <w:pPr>
        <w:pStyle w:val="Heading2"/>
      </w:pPr>
      <w:r>
        <w:t>8.2. Человек за бортом</w:t>
      </w:r>
    </w:p>
    <w:p>
      <w:r>
        <w:rPr>
          <w:b w:val="0"/>
        </w:rPr>
        <w:t>Основные задачи — быстрое обнаружение и сообщение, обозначение места, непрерывное наблюдение за человеком и организация безопасного возвращения/подъёма. Выбор маневра зависит от времени обнаружения, видимости и характеристик судна. Углы перекладки и схема поворота берутся из применимого руководства, а не переносятся из чужого отчёта как универсальная последовательность.</w:t>
      </w:r>
    </w:p>
    <w:p>
      <w:pPr>
        <w:pStyle w:val="Heading2"/>
      </w:pPr>
      <w:r>
        <w:t>8.3. Якорная стоянка</w:t>
      </w:r>
    </w:p>
    <w:p>
      <w:r>
        <w:rPr>
          <w:b w:val="0"/>
        </w:rPr>
        <w:t>Выбор места учитывает глубину, грунт, внешние воздействия, окружающие опасности и пространство движения на якоре. Подготовка включает проверку связи и готовности участвующих устройств. Длина вытравленной цепи и способ отдачи выбираются по условиям и ограничениям оборудования. После постановки необходим контроль фактического удержания места.</w:t>
      </w:r>
    </w:p>
    <w:p>
      <w:pPr>
        <w:pStyle w:val="Heading2"/>
      </w:pPr>
      <w:r>
        <w:t>8.4. Лоцманское взаимодействие</w:t>
      </w:r>
    </w:p>
    <w:p>
      <w:r>
        <w:rPr>
          <w:b w:val="0"/>
        </w:rPr>
        <w:t>Учебное рассмотрение лоцманской проводки включает обмен сведениями о судне и предполагаемом движении, согласование действий и непрерывный контроль. Общие принципы сотрудничества не доказывают, что лоцман принимался на борт в конкретный период практики.</w:t>
      </w:r>
    </w:p>
    <w:p>
      <w:pPr>
        <w:pStyle w:val="Heading2"/>
      </w:pPr>
      <w:r>
        <w:t>8.5. Швартовые операции</w:t>
      </w:r>
    </w:p>
    <w:p>
      <w:r>
        <w:rPr>
          <w:b w:val="0"/>
        </w:rPr>
        <w:t>Для швартовки важны подготовка, распределение задач, надёжная связь и учёт внешних условий. Натянутые концы и зоны возможного рывка создают опасность для персонала. Порядок подачи и схема крепления выбираются для конкретного случая; одна последовательность не подходит ко всем причалам и судам.</w:t>
      </w:r>
    </w:p>
    <w:p>
      <w:pPr>
        <w:pStyle w:val="Heading2"/>
      </w:pPr>
      <w:r>
        <w:t>8.6. Штормовые условия</w:t>
      </w:r>
    </w:p>
    <w:p>
      <w:r>
        <w:rPr>
          <w:b w:val="0"/>
        </w:rPr>
        <w:t>При волнении учитываются качка, слеминг, заливание, управляемость и крепление имущества. Изменение курса и скорости должно уменьшать опасные воздействия с сохранением контроля движения. Нельзя объявлять движение строго против волны наиболее безопасным во всех случаях или использовать универсальный режим без оценки условий.</w:t>
      </w:r>
    </w:p>
    <w:p>
      <w:pPr>
        <w:pStyle w:val="Heading2"/>
      </w:pPr>
      <w:r>
        <w:t>8.7. Лёд</w:t>
      </w:r>
    </w:p>
    <w:p>
      <w:r>
        <w:rPr>
          <w:b w:val="0"/>
        </w:rPr>
        <w:t>Общая подготовка включает изучение актуальной ледовой обстановки, возможностей судна и предусмотренных ограничений. При проводке взаимодействие и расстояния определяются конкретными условиями и указаниями, а не неизменным отношением к длине судна. Ледовый класс и реальное участие в ледовом переходе не выводятся из района приписки.</w:t>
      </w:r>
    </w:p>
    <w:p>
      <w:pPr>
        <w:pStyle w:val="Heading1"/>
      </w:pPr>
      <w:r>
        <w:t>9. Действия при чрезвычайных ситуациях</w:t>
      </w:r>
    </w:p>
    <w:p>
      <w:r>
        <w:rPr>
          <w:b w:val="0"/>
        </w:rPr>
        <w:t>Система реагирования предусматривает обнаружение опасности, сообщение, оповещение, распределение обязанностей и применение предусмотренных средств. Приоритетами являются защита людей, сохранение управляемости и ограничение развития аварии. Важно знать своё место и обязанности по действующему порядку службы, а не по расписанию другого судна.</w:t>
      </w:r>
    </w:p>
    <w:p>
      <w:r>
        <w:rPr>
          <w:b w:val="0"/>
        </w:rPr>
        <w:t>Борьба за живучесть включает мероприятия против пожара, поступления воды и утраты необходимых функций. Общее учебное описание может рассматривать эти задачи без раскрытия внутренней организации военного корабля. Реальные аварийные события и их исходы приводятся только при наличии достоверных разрешённых сведений.</w:t>
      </w:r>
    </w:p>
    <w:p>
      <w:pPr>
        <w:pStyle w:val="Heading1"/>
      </w:pPr>
      <w:r>
        <w:t>10. Организация связи на судне, ГМССБ</w:t>
      </w:r>
    </w:p>
    <w:p>
      <w:r>
        <w:rPr>
          <w:b w:val="0"/>
        </w:rPr>
        <w:t>ГМССБ в гражданском судоходстве объединяет средства оповещения при бедствии, связи при поиске и спасании и приёма информации по безопасности. Состав оборудования зависит от применимых требований и района плавания. Обзор СОЛАС рассматривает радиосвязь в главе IV и связывает её с обеспечением спасания [2].</w:t>
      </w:r>
    </w:p>
    <w:p>
      <w:r>
        <w:rPr>
          <w:b w:val="0"/>
        </w:rPr>
        <w:t>В учебном описании различаются УКВ-связь с цифровым избирательным вызовом, средства дальней связи, аварийные радиобуи, поисковые устройства и приём информации по безопасности. Резервирование питания и проверки обеспечивают готовность, но конкретные периоды и виды испытаний определяются применимыми правилами.</w:t>
      </w:r>
    </w:p>
    <w:p>
      <w:r>
        <w:rPr>
          <w:b w:val="0"/>
        </w:rPr>
        <w:t>Учебное описание ГМССБ не является перечнем радиооборудования «Чабаненко». Системы и особенности внутренней связи военного корабля в настоящем тексте не реконструируются по фотографиям гражданских судов.</w:t>
      </w:r>
    </w:p>
    <w:p>
      <w:pPr>
        <w:pStyle w:val="Heading1"/>
      </w:pPr>
      <w:r>
        <w:t>11. Судовая документация</w:t>
      </w:r>
    </w:p>
    <w:p>
      <w:r>
        <w:rPr>
          <w:b w:val="0"/>
        </w:rPr>
        <w:t>Документация фиксирует существенные сведения о службе, состоянии оборудования, событиях и выполнении предусмотренных процедур. Записи должны быть своевременными, понятными и соответствовать действительному выполнению работ. Исправления производятся по установленному порядку с сохранением прослеживаемости.</w:t>
      </w:r>
    </w:p>
    <w:p>
      <w:r>
        <w:rPr>
          <w:b w:val="0"/>
        </w:rPr>
        <w:t>Для учёта практики существенны правильное указание места, периода, должности и подтверждающего лица. Справка о плавании и учебный отчёт имеют разные назначения: справка подтверждает соответствующие записи, а отчёт раскрывает содержание учебных вопросов. Перечень коммерческих сертификатов и процедур портового контроля не переносится автоматически на военный корабль.</w:t>
      </w:r>
    </w:p>
    <w:p>
      <w:pPr>
        <w:pStyle w:val="Heading1"/>
      </w:pPr>
      <w:r>
        <w:t>12. Система управления безопасностью</w:t>
      </w:r>
    </w:p>
    <w:p>
      <w:r>
        <w:rPr>
          <w:b w:val="0"/>
        </w:rPr>
        <w:t>В торговом судоходстве Международный кодекс по управлению безопасностью предусматривает документированную организацию безопасной эксплуатации; его связь с СОЛАС рассматривается в главе IX [2]. Общие принципы включают распределение ответственности, подготовку персонала, управление рисками, техническую готовность и анализ выявленных недостатков.</w:t>
      </w:r>
    </w:p>
    <w:p>
      <w:r>
        <w:rPr>
          <w:b w:val="0"/>
        </w:rPr>
        <w:t>Для отчёта о военной практике следует различать эти учебные принципы и фактическую организацию службы на корабле. Наличие системы безопасности не позволяет без основания приписывать кораблю коммерческую СУБ определённой судоходной компании. Важны исполнение разрешённых инструкций, своевременный доклад и соблюдение требований безопасности работ.</w:t>
      </w:r>
    </w:p>
    <w:p>
      <w:pPr>
        <w:pStyle w:val="Heading1"/>
      </w:pPr>
      <w:r>
        <w:t>13. Техническая эксплуатация корпуса, помещений и устройств</w:t>
      </w:r>
    </w:p>
    <w:p>
      <w:r>
        <w:rPr>
          <w:b w:val="0"/>
        </w:rPr>
        <w:t>Уход за корпусом и общесудовыми устройствами направлен на сохранение исправности, предотвращение коррозии и своевременное выявление дефектов. При осмотрах оцениваются доступные поверхности, крепления, закрытия и признаки повреждений. Выявленный дефект должен быть сообщён ответственному специалисту; отсутствие видимого повреждения не подтверждает исправности скрытых элементов.</w:t>
      </w:r>
    </w:p>
    <w:p>
      <w:r>
        <w:rPr>
          <w:b w:val="0"/>
        </w:rPr>
        <w:t>Очистка и защитное окрашивание требуют подготовки поверхности, удаления загрязнений и непрочного покрытия, применения подходящего грунта и соблюдения условий нанесения краски. Выбор материалов определяется технологией и совместимостью покрытий. Значение имеют средства защиты, вентиляция и безопасная организация рабочего места.</w:t>
      </w:r>
    </w:p>
    <w:p>
      <w:r>
        <w:rPr>
          <w:b w:val="0"/>
        </w:rPr>
        <w:t>К фактически выполнявшимся во время практики работам относились уборка и покрасочные работы. Поддержание порядка обеспечивает доступность проходов, уменьшает вероятность падения и облегчает обнаружение неисправностей. Подробные сведения о внутренних помещениях и их организации не требуются для объяснения этих общих задач.</w:t>
      </w:r>
    </w:p>
    <w:p>
      <w:pPr>
        <w:pStyle w:val="Heading1"/>
      </w:pPr>
      <w:r>
        <w:t>14. Предотвращение загрязнения моря</w:t>
      </w:r>
    </w:p>
    <w:p>
      <w:r>
        <w:rPr>
          <w:b w:val="0"/>
        </w:rPr>
        <w:t>МАРПОЛ регулирует предупреждение загрязнения при эксплуатации и авариях. Комбинированный инструмент МАРПОЛ 73/78 вступил в силу 2 октября 1983 года. Конвенция содержит шесть технических приложений: нефть; вредные жидкие вещества наливом; вредные вещества в упаковке; сточные воды; мусор; загрязнение воздуха [3].</w:t>
      </w:r>
    </w:p>
    <w:p>
      <w:r>
        <w:rPr>
          <w:b w:val="0"/>
        </w:rPr>
        <w:t>Практическое значение имеют предотвращение утечек, правильный сбор отходов, готовность средств локализации и своевременное сообщение о нарушениях. Сведения о разрешённых сбросах требуют актуального текста с учётом вещества, района и условий. Старая сводная таблица не заменяет проверку действующего положения.</w:t>
      </w:r>
    </w:p>
    <w:p>
      <w:r>
        <w:rPr>
          <w:b w:val="0"/>
        </w:rPr>
        <w:t>Общие принципы защиты окружающей среды рассматриваются отдельно от юридической области применения конвенции к военным кораблям. Нельзя автоматически описывать коммерческие сертификаты и журналы как фактически используемые на месте военной практики.</w:t>
      </w:r>
    </w:p>
    <w:p>
      <w:pPr>
        <w:pStyle w:val="Heading1"/>
      </w:pPr>
      <w:r>
        <w:t>15. Спасательные средства и обслуживание</w:t>
      </w:r>
    </w:p>
    <w:p>
      <w:r>
        <w:rPr>
          <w:b w:val="0"/>
        </w:rPr>
        <w:t>Спасательные средства предназначены для сохранения жизни при аварии и оставлении судна. Готовность зависит от исправности, комплектности, доступности и подготовки людей. Порядок использования определяется конкретным средством и принятой организацией службы.</w:t>
      </w:r>
    </w:p>
    <w:p>
      <w:r>
        <w:rPr>
          <w:b w:val="0"/>
        </w:rPr>
        <w:t>Осмотры выявляют повреждения, нарушения крепления и недостатки снабжения. Проверки и обслуживание выполняются по применимым требованиям и документации, с учётом ограничений безопасного испытания. Общая периодичность из учебного примера не подтверждает выполнение проверки конкретным практикантом.</w:t>
      </w:r>
    </w:p>
    <w:p>
      <w:r>
        <w:rPr>
          <w:b w:val="0"/>
        </w:rPr>
        <w:t>СОЛАС рассматривает спасательные средства в главе III, а Кодекс LSA содержит технические требования к соответствующим средствам [2]. Учебный перечень категорий не заменяет ведомость фактического снабжения военного корабля.</w:t>
      </w:r>
    </w:p>
    <w:p>
      <w:pPr>
        <w:pStyle w:val="Heading1"/>
      </w:pPr>
      <w:r>
        <w:t>16. Остойчивость, прочность и непотопляемость</w:t>
      </w:r>
    </w:p>
    <w:p>
      <w:r>
        <w:rPr>
          <w:b w:val="0"/>
        </w:rPr>
        <w:t>Остойчивость характеризует способность восстанавливать равновесие после отклонения под действием внешних факторов. Расположение масс, свободные поверхности жидкостей и изменение загрузки влияют на её показатели. Положительная начальная остойчивость сама по себе не описывает всё поведение судна при больших углах крена.</w:t>
      </w:r>
    </w:p>
    <w:p>
      <w:r>
        <w:rPr>
          <w:b w:val="0"/>
        </w:rPr>
        <w:t>Прочность связана со способностью конструкций воспринимать нагрузки без недопустимых повреждений и деформаций. Различаются общие нагрузки на корпус и местные нагрузки на отдельные элементы. Для оценки необходимы соответствующие исходные данные, допустимые значения и действительная загрузка.</w:t>
      </w:r>
    </w:p>
    <w:p>
      <w:r>
        <w:rPr>
          <w:b w:val="0"/>
        </w:rPr>
        <w:t>Непотопляемость определяется способностью сохранять необходимые качества после повреждения и затопления отдельных помещений. Её обеспечение связано с делением корпуса, водонепроницаемостью, состоянием закрытий и действиями по ограничению поступления воды. Изменение остойчивости после повреждения рассматривается отдельно от исправного состояния.</w:t>
      </w:r>
    </w:p>
    <w:p>
      <w:r>
        <w:rPr>
          <w:b w:val="0"/>
        </w:rPr>
        <w:t>Общее водоизмещение или размерения не позволяют восстановить фактическую диаграмму остойчивости конкретного корабля. В учебном отчёте объясняются принципы, а численный расчёт возможен только при наличии пригодных исходных данных. Связь подразделения на отсеки, остойчивости и требований к конструкции рассматривается в обзоре главы II-1 СОЛАС [2].</w:t>
      </w:r>
    </w:p>
    <w:p>
      <w:pPr>
        <w:pStyle w:val="Heading1"/>
      </w:pPr>
      <w:r>
        <w:t>17. Грузовой план и укладка груза</w:t>
      </w:r>
    </w:p>
    <w:p>
      <w:r>
        <w:rPr>
          <w:b w:val="0"/>
        </w:rPr>
        <w:t>На транспортном судне грузовой план отражает размещение груза с учётом сохранности, совместимости, прочности и посадки. Предварительный план уточняется по фактическим операциям. Массы и их расположение должны соответствовать допустимым условиям, а крепление — препятствовать опасному перемещению при воздействии волнения и маневрах.</w:t>
      </w:r>
    </w:p>
    <w:p>
      <w:r>
        <w:rPr>
          <w:b w:val="0"/>
        </w:rPr>
        <w:t>Укладка учитывает свойства груза, состояние упаковки, допустимую нагрузку, вентиляцию и возможность безопасного доступа. Тяжёлые и лёгкие единицы размещаются с учётом прочности нижних слоёв и требований к креплению; одна общая рекомендация не определяет допустимость любого конкретного размещения. На открытой палубе сохраняются необходимые проходы и доступ к средствам безопасности.</w:t>
      </w:r>
    </w:p>
    <w:p>
      <w:r>
        <w:rPr>
          <w:b w:val="0"/>
        </w:rPr>
        <w:t>Данный пункт раскрывается как учебная тема общего задания. Он не означает, что «Чабаненко» выполнял коммерческие грузовые рейсы или операции газовоза. Принципы безопасного распределения и закрепления нагрузки имеют общее значение, но внутренние планы и специальные грузы военного корабля здесь не описываются.</w:t>
      </w:r>
    </w:p>
    <w:p>
      <w:pPr>
        <w:pStyle w:val="Heading1"/>
      </w:pPr>
      <w:r>
        <w:t>Использованные источники</w:t>
      </w:r>
    </w:p>
    <w:p>
      <w:pPr>
        <w:spacing w:line="240" w:lineRule="auto" w:after="120"/>
        <w:ind w:firstLine="0"/>
      </w:pPr>
      <w:r>
        <w:rPr>
          <w:b w:val="0"/>
        </w:rPr>
        <w:t>1. Навигационное использование технических средств судовождения: методические указания / составители П. Г. Химич, В. И. Сигида, Д. Б. Хоменко. Санкт-Петербург: Издательство ГУМРФ имени адмирала С. О. Макарова, 2019. 32 с.</w:t>
      </w:r>
    </w:p>
    <w:p>
      <w:pPr>
        <w:spacing w:line="240" w:lineRule="auto" w:after="120"/>
        <w:ind w:firstLine="0"/>
      </w:pPr>
      <w:r>
        <w:rPr>
          <w:b w:val="0"/>
        </w:rPr>
        <w:t>2. International Maritime Organization. International Convention for the Safety of Life at Sea (SOLAS), 1974: официальный обзор. URL: https://www.imo.org/en/About/Conventions/Pages/International-Convention-for-the-Safety-of-Life-at-Sea-(SOLAS),-1974.aspx (дата обращения: 08.10.2026).</w:t>
      </w:r>
    </w:p>
    <w:p>
      <w:pPr>
        <w:spacing w:line="240" w:lineRule="auto" w:after="120"/>
        <w:ind w:firstLine="0"/>
      </w:pPr>
      <w:r>
        <w:rPr>
          <w:b w:val="0"/>
        </w:rPr>
        <w:t>3. International Maritime Organization. International Convention for the Prevention of Pollution from Ships (MARPOL): официальный обзор. URL: https://www.imo.org/en/About/Conventions/Pages/International-Convention-for-the-Prevention-of-Pollution-from-Ships-(MARPOL).aspx (дата обращения: 08.10.2026).</w:t>
      </w:r>
    </w:p>
    <w:sectPr w:rsidR="00FC693F" w:rsidRPr="0006063C" w:rsidSect="00034616">
      <w:footerReference w:type="default" r:id="rId10"/>
      <w:pgSz w:w="11906" w:h="16838"/>
      <w:pgMar w:top="1134" w:right="567" w:bottom="1134" w:left="1701" w:header="720" w:footer="567" w:gutter="0"/>
      <w:cols w:space="720"/>
      <w:docGrid w:linePitch="360"/>
      <w:pgNumType w:start="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плавательной практике — рабочий черновик</dc:title>
  <dc:subject>Чабаненко; 03.06.2026–08.07.2026; 17 разделов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