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Massachusetts Housing Financial Analysis Dashboard</w:t>
      </w:r>
    </w:p>
    <w:p>
      <w:r>
        <w:t>Authors: Xinyue Du, Xiqiao Liu, Lin Pan</w:t>
        <w:br/>
        <w:t>Course: DS4200 — Information Presentation and Data Visualization</w:t>
        <w:br/>
        <w:t>Date: April 2026</w:t>
      </w:r>
    </w:p>
    <w:p>
      <w:pPr>
        <w:pStyle w:val="Heading1"/>
      </w:pPr>
      <w:r>
        <w:t>Project Summary</w:t>
      </w:r>
    </w:p>
    <w:p>
      <w:r>
        <w:t>This design document explains the rationale for each visualization used in the Massachusetts Housing Financial Analysis Dashboard. The site combines D3 and Altair to connect housing prices with property characteristics, livability, affordability, and environmental risk in a format designed for a general public audience. The published website target is: https://nikitaliu.github.io/DS4200-Project/</w:t>
      </w:r>
    </w:p>
    <w:p>
      <w:pPr>
        <w:pStyle w:val="Heading2"/>
      </w:pPr>
      <w:r>
        <w:t>Visualization 1 — D3 Choropleth Map of Town-Level Market Metrics</w:t>
      </w:r>
    </w:p>
    <w:p>
      <w:r>
        <w:t>The choropleth was chosen because the first analytical task is geographic screening: users need to see how valuation, affordability, cap-rate proxy, and environmental risk cluster across Massachusetts. Color is the primary encoding because it is the clearest way to compare one metric across many municipalities on a map, while tooltips carry the supporting values for median income, listing count, and price-to-income ratio. A dropdown was preferred over small multiples because it keeps the map readable on a single page and lets the user reuse the same spatial memory while changing the analytical lens. A bubble map and county-level aggregation were rejected because they either distort municipal boundaries or hide town-level variation that matters in housing analysis. Clicking a town opens a profile panel so users can move from a statewide view into local housing, demographic, and employment context without leaving the page. From a financial analysis perspective, the map acts like a market-screening dashboard that helps identify premium towns, relative bargains, and places where risk and price move together instead of offsetting each other.</w:t>
      </w:r>
    </w:p>
    <w:p>
      <w:pPr>
        <w:pStyle w:val="Heading2"/>
      </w:pPr>
      <w:r>
        <w:t>Visualization 2 — Altair Scatter Plot of Price Drivers</w:t>
      </w:r>
    </w:p>
    <w:p>
      <w:r>
        <w:t>The price-driver scatter plot was selected because comparable sales analysis is fundamentally about seeing how listings cluster when a property attribute changes. Square footage, bedrooms, year built, and livability composite appear as interchangeable x-axis choices so users can test different valuation stories without leaving the chart. Price is placed on the y-axis because it is the dependent market outcome, property type is encoded with color to separate market segments, and environmental risk is encoded with point size so the chart can carry one more context variable without sacrificing readability. Brush selection was preferred over a static summary because it lets users create their own comparison set and immediately inspect the implied mean and median price. A regression line alone was rejected because it hides distributional spread and segment differences that matter to home shoppers.</w:t>
      </w:r>
    </w:p>
    <w:p>
      <w:pPr>
        <w:pStyle w:val="Heading2"/>
      </w:pPr>
      <w:r>
        <w:t>Visualization 3 — Altair Grouped Bar Chart of Livability by Price Quartile</w:t>
      </w:r>
    </w:p>
    <w:p>
      <w:r>
        <w:t>The grouped bar chart was chosen to compare three related livability metrics across four price quartiles using a simple categorical layout. Quartile appears on the x-axis because the goal is to compare market tiers, average score is encoded by bar height because magnitude comparison is straightforward for grouped bars, and color differentiates walk, bike, and transit scores. A stacked bar was rejected because it would obscure direct comparison between the individual livability measures, while a line chart would suggest a continuous scale that does not exist here. The financial interpretation is a livability-premium analysis: the chart shows whether higher-priced listings consistently bundle accessibility advantages and whether that premium appears strongest in walkability, transit access, or both.</w:t>
      </w:r>
    </w:p>
    <w:p>
      <w:pPr>
        <w:pStyle w:val="Heading2"/>
      </w:pPr>
      <w:r>
        <w:t>Visualization 4 — D3 Box Plot of Price Distribution by Property Type</w:t>
      </w:r>
    </w:p>
    <w:p>
      <w:r>
        <w:t>A box-and-whisker plot is the most appropriate design for showing how each property segment differs not only in median price but also in spread, skew, and outlier behavior. Property type is placed on the x-axis as the main segmentation variable, and listing price is placed on the y-axis so the user can compare medians and IQRs at a glance. Hover tooltips expose the exact quartiles and counts, while clickable outliers reveal individual listing details. Histograms and violin plots were considered, but the box plot was preferred because it more directly communicates risk dispersion and is easier for a mixed audience to interpret quickly. This chart supports segment comparison by showing which home types have tight distributions and which contain the widest pricing uncertainty.</w:t>
      </w:r>
    </w:p>
    <w:p>
      <w:pPr>
        <w:pStyle w:val="Heading2"/>
      </w:pPr>
      <w:r>
        <w:t>Visualization 5 — Altair Correlation Heatmap of Financial and Risk Factors</w:t>
      </w:r>
    </w:p>
    <w:p>
      <w:r>
        <w:t>The correlation heatmap was selected because the project needs a compact factor-analysis view that makes it easy to compare many variable pairs at once. A diverging red-blue palette was used so positive and negative relationships are visually separable around zero, and tooltip interaction exposes the exact coefficient for any pair. A table of coefficients was rejected because it is slower to scan and does not highlight patterns or multicollinearity as effectively. The financial value of this chart is that it surfaces which features move most strongly with price and whether environmental risks appear priced in, ignored, or intertwined with other location advantages.</w:t>
      </w:r>
    </w:p>
    <w:p>
      <w:pPr>
        <w:pStyle w:val="Heading2"/>
      </w:pPr>
      <w:r>
        <w:t>Visualization 6 — Altair Scatter Plot of Income Versus Price by Town</w:t>
      </w:r>
    </w:p>
    <w:p>
      <w:r>
        <w:t>The income-versus-price scatter plot was chosen to compare local purchasing power against local housing prices in a way that makes overvaluation and relative affordability visible at the town level. Median household income is on the x-axis, median listing price is on the y-axis, and price-to-income ratio is encoded with color to keep the affordability story central. The dashed reference line at four times income provides an interpretable lending-style benchmark. A choropleth alone would not show the cross-town affordability relationship as clearly, and a ranked bar chart would hide how far towns sit above or below a common threshold. This chart is the clearest way to show which towns appear expensive relative to their own economic base and which look more balanced for first-time buyers or renters comparing where they may have a better chance of staying within reach.</w:t>
      </w:r>
    </w:p>
    <w:p>
      <w:pPr>
        <w:pStyle w:val="Heading1"/>
      </w:pPr>
      <w:r>
        <w:t>Town Profile Interaction</w:t>
      </w:r>
    </w:p>
    <w:p>
      <w:r>
        <w:t>The choropleth includes a click-through town profile panel inspired by MAPC DataCommon. We chose a slide-in panel instead of generating separate HTML pages because it preserves the single-page storytelling flow required by the course while still giving users a place-specific drill-down. The Housing tab summarizes listing counts, prices, and property-type mix from the cleaned Zillow data. The Demographics tab shows ACS income, tenure, age, and race or ethnicity context. The Employment tab uses ACS industry counts to show what kinds of work are most common in each town. This interaction matters because it helps a general audience move from statewide patterns to town-level context without losing orientation.</w:t>
      </w:r>
    </w:p>
    <w:p>
      <w:pPr>
        <w:pStyle w:val="Heading1"/>
      </w:pPr>
      <w:r>
        <w:t>Assumptions and Tradeoffs</w:t>
      </w:r>
    </w:p>
    <w:p>
      <w:r>
        <w:t>Estimated cap rate is based on a rental proxy derived from the listing’s estimated monthly payment, multiplied by 12 and then by a 1.1 rent multiplier. This assumption was documented because it is a rough heuristic rather than a direct rent observation. Town-name normalization was also necessary to align neighborhood-style listing labels with municipal census and map boundaries.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