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Massachusetts Housing Financial Analysis Dashboard</w:t>
      </w:r>
    </w:p>
    <w:p>
      <w:r>
        <w:t>Authors: Xinyue Du, Xiqiao Liu, Lin Pan</w:t>
        <w:br/>
        <w:t>Course: DS4200 — Information Presentation and Data Visualization</w:t>
        <w:br/>
        <w:t>Date: April 2026</w:t>
      </w:r>
    </w:p>
    <w:p>
      <w:pPr>
        <w:pStyle w:val="Heading1"/>
      </w:pPr>
      <w:r>
        <w:t>Project Summary</w:t>
      </w:r>
    </w:p>
    <w:p>
      <w:r>
        <w:t>This design document explains the rationale for each visualization used in the Massachusetts Housing Financial Analysis Dashboard. The site combines D3 and Altair to connect housing prices with property characteristics, livability, affordability, and environmental risk in a format designed for a general public audience. The published website target is: https://nikitaliu.github.io/DS4200-Project/</w:t>
      </w:r>
    </w:p>
    <w:p>
      <w:pPr>
        <w:pStyle w:val="Heading2"/>
      </w:pPr>
      <w:r>
        <w:t>Visualization 1 — D3 Choropleth Map of Town-Level Market Metrics</w:t>
      </w:r>
    </w:p>
    <w:p>
      <w:r>
        <w:t>The choropleth was chosen because the first analytical task is geographic screening: users need to see how valuation, affordability, cap-rate proxy, and environmental risk cluster across Massachusetts. Color is the primary encoding because it is the clearest way to compare one metric across many municipalities on a map, while tooltips carry the supporting values for median income, listing count, and price-to-income ratio. A dropdown was preferred over small multiples because it keeps the map readable on a single page and lets the user reuse the same spatial memory while changing the analytical lens. A bubble map and county-level aggregation were rejected because they either distort municipal boundaries or hide town-level variation that matters in housing analysis. Clicking a town opens a profile panel so users can move from a statewide view into local housing, demographic, and employment context without leaving the page. From a financial analysis perspective, the map acts like a market-screening dashboard that helps identify premium towns, relative bargains, and places where risk and price move together instead of offsetting each other.</w:t>
      </w:r>
    </w:p>
    <w:p>
      <w:pPr>
        <w:pStyle w:val="Heading2"/>
      </w:pPr>
      <w:r>
        <w:t>Visualization 2 — Altair Scatter Plot of Price Drivers</w:t>
      </w:r>
    </w:p>
    <w:p>
      <w:r>
        <w:t>The price-driver scatter plot was selected because comparable sales analysis is fundamentally about seeing how listings cluster when a property attribute changes. Square footage, bathrooms, bedrooms, and age of home appear as interchangeable x-axis choices so users can test different valuation stories without leaving the chart. Price is placed on the y-axis because it is the dependent market outcome, property type is encoded with color to separate market segments, and environmental risk is encoded with point size so the chart can carry one more context variable without sacrificing readability. A property-type filter and brush selection were preferred over a density toggle because they better support the practical task of building a comparable listing set. A regression line alone was rejected because it hides distributional spread and segment differences that matter to home shoppers.</w:t>
      </w:r>
    </w:p>
    <w:p>
      <w:pPr>
        <w:pStyle w:val="Heading2"/>
      </w:pPr>
      <w:r>
        <w:t>Visualization 3 — Altair Grouped Bar Chart of Livability by Price Quartile</w:t>
      </w:r>
    </w:p>
    <w:p>
      <w:r>
        <w:t>The grouped bar chart was chosen to compare three related livability metrics across four price quartiles using a simple categorical layout. Quartile appears on the x-axis because the goal is to compare market tiers, average score is encoded by bar height because magnitude comparison is straightforward for grouped bars, and color differentiates walk, bike, and transit scores. A stacked bar was rejected because it would obscure direct comparison between the individual livability measures, while a line chart would suggest a continuous scale that does not exist here. The financial interpretation is a livability-premium analysis: the chart shows whether higher-priced listings consistently bundle accessibility advantages and whether that premium appears strongest in walkability, transit access, or both.</w:t>
      </w:r>
    </w:p>
    <w:p>
      <w:pPr>
        <w:pStyle w:val="Heading2"/>
      </w:pPr>
      <w:r>
        <w:t>Visualization 4 — D3 Box Plot of Price Distribution by Property Type</w:t>
      </w:r>
    </w:p>
    <w:p>
      <w:r>
        <w:t>A box-and-whisker plot is the most appropriate design for showing how each property segment differs not only in median price but also in spread, skew, and outlier behavior. Property type is placed on the x-axis as the main segmentation variable, and listing price is placed on the y-axis so the user can compare medians and IQRs at a glance. Hover tooltips expose the exact quartiles and counts, while clickable outliers reveal individual listing details. Histograms and violin plots were considered, but the box plot was preferred because it more directly communicates risk dispersion and is easier for a mixed audience to interpret quickly. This chart supports segment comparison by showing which home types have tight distributions and which contain the widest pricing uncertainty.</w:t>
      </w:r>
    </w:p>
    <w:p>
      <w:pPr>
        <w:pStyle w:val="Heading2"/>
      </w:pPr>
      <w:r>
        <w:t>Visualization 5 — Altair Box Plot: Price per Square Foot by Property Type</w:t>
      </w:r>
    </w:p>
    <w:p>
      <w:r>
        <w:t>The price-per-square-foot box plot was added to allow fair size-adjusted comparisons across property types. Raw listing price conflates home size with market value, so buyers of different-sized homes cannot easily compare segments. Dividing by square footage puts every listing on a common unit. A box-and-whisker design was chosen over a bar chart because it shows both the central value and the spread of per-sqft prices within each type — the IQR tells buyers how much price variability to expect, not just the typical price. Property type is placed on the x-axis and price per sqft on the y-axis. A jitter strip behind the box shows the raw distribution density without obscuring the summary statistics. Pre-formatted tooltips label each box component in plain English (Median, 25th/75th Percentile, Min, Max) to avoid the default Vega-Lite auto-labels that describe computation rather than meaning. The chart confirms that condos command the highest per-sqft premium — buyers pay for location and amenity access, not floor area — while multi-family properties are generally more cost-efficient on a space-normalized basis.</w:t>
      </w:r>
    </w:p>
    <w:p>
      <w:pPr>
        <w:pStyle w:val="Heading2"/>
      </w:pPr>
      <w:r>
        <w:t>Visualization 6 — Altair Box Plot: Price per Bedroom by Property Type</w:t>
      </w:r>
    </w:p>
    <w:p>
      <w:r>
        <w:t>The price-per-bedroom box plot extends the size-adjusted analysis to bedroom count as the unit of comparison, which is more relevant for families and roommate households evaluating whether a larger home is actually a better per-room value. Studios and one-bedroom properties are excluded because their very small bedroom count inflates the per-room ratio to the point where they are not comparable with multi-bedroom listings. Both tails of the distribution are clipped at the 1st and 99th percentiles before computing box statistics to remove outlier listings that would compress the readable part of the y-axis. The same five-layer decomposition design is used as in the price-per-sqft chart, with pre-formatted dollar tooltips and a jitter strip. Single-family homes show a wide spread in per-bedroom price that reflects the diversity of the market segment, while townhouses cluster more tightly. Condos again carry an elevated per-bedroom price, consistent with their location-driven premium.</w:t>
      </w:r>
    </w:p>
    <w:p>
      <w:pPr>
        <w:pStyle w:val="Heading2"/>
      </w:pPr>
      <w:r>
        <w:t>Visualization 7 — Altair Correlation Heatmap of Financial and Risk Factors</w:t>
      </w:r>
    </w:p>
    <w:p>
      <w:r>
        <w:t>The correlation heatmap was selected because the project needs a compact factor-analysis view that makes it easy to compare many variable pairs at once. A diverging red-blue palette was used so positive and negative relationships are visually separable around zero, and tooltip interaction exposes the exact coefficient for any pair. A table of coefficients was rejected because it is slower to scan and does not highlight patterns or multicollinearity as effectively. The financial value of this chart is that it surfaces which features move most strongly with price and whether environmental risks appear priced in, ignored, or intertwined with other location advantages.</w:t>
      </w:r>
    </w:p>
    <w:p>
      <w:pPr>
        <w:pStyle w:val="Heading2"/>
      </w:pPr>
      <w:r>
        <w:t>Visualization 8 — Altair Scatter Plot of Income Versus Price by Town</w:t>
      </w:r>
    </w:p>
    <w:p>
      <w:r>
        <w:t>The income-versus-price scatter plot was chosen to compare local purchasing power against local housing prices in a way that makes overvaluation and relative affordability visible at the town level. Median household income is on the x-axis, median listing price is on the y-axis, and price-to-income ratio is encoded with color to keep the affordability story central. The dashed reference line at four times income provides an interpretable lending-style benchmark. A choropleth alone would not show the cross-town affordability relationship as clearly, and a ranked bar chart would hide how far towns sit above or below a common threshold. This chart is the clearest way to show which towns appear expensive relative to their own economic base and which look more balanced for first-time buyers or renters comparing where they may have a better chance of staying within reach.</w:t>
      </w:r>
    </w:p>
    <w:p>
      <w:pPr>
        <w:pStyle w:val="Heading1"/>
      </w:pPr>
      <w:r>
        <w:t>Town Profile Interaction</w:t>
      </w:r>
    </w:p>
    <w:p>
      <w:r>
        <w:t>The choropleth includes a click-through town profile panel inspired by MAPC DataCommon. We chose a slide-in panel instead of generating separate HTML pages because it preserves the single-page storytelling flow required by the course while still giving users a place-specific drill-down. The Housing tab summarizes listing counts, prices, and property-type mix from the cleaned Zillow data. The Demographics tab shows ACS income, tenure, age, and race or ethnicity context. The Employment tab uses ACS industry counts to show what kinds of work are most common in each town. This interaction matters because it helps a general audience move from statewide patterns to town-level context without losing orientation.</w:t>
      </w:r>
    </w:p>
    <w:p>
      <w:pPr>
        <w:pStyle w:val="Heading1"/>
      </w:pPr>
      <w:r>
        <w:t>Assumptions and Tradeoffs</w:t>
      </w:r>
    </w:p>
    <w:p>
      <w:r>
        <w:t>Estimated cap rate is based on a rental proxy derived from the listing’s estimated monthly payment, multiplied by 12 and then by a 1.1 rent multiplier. This assumption was documented because it is a rough heuristic rather than a direct rent observation. Town-name normalization was also necessary to align neighborhood-style listing labels with municipal census and map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