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4EFE80" w14:textId="3CEB8E41" w:rsidR="00C94659" w:rsidRDefault="00C94659">
      <w:pPr>
        <w:pStyle w:val="Standard"/>
        <w:rPr>
          <w:b/>
          <w:bCs/>
          <w:sz w:val="30"/>
          <w:szCs w:val="30"/>
          <w:shd w:val="clear" w:color="auto" w:fill="FFFF00"/>
        </w:rPr>
      </w:pPr>
    </w:p>
    <w:p w14:paraId="07B4540F" w14:textId="590F01F5" w:rsidR="00072D12" w:rsidRDefault="00072D12" w:rsidP="00072D12">
      <w:pPr>
        <w:pStyle w:val="Standard"/>
      </w:pPr>
      <w:r>
        <w:rPr>
          <w:b/>
          <w:bCs/>
          <w:sz w:val="30"/>
          <w:szCs w:val="30"/>
          <w:shd w:val="clear" w:color="auto" w:fill="FFFF00"/>
        </w:rPr>
        <w:t>Implementation Results for Uncertainty in Gripper Width</w:t>
      </w:r>
    </w:p>
    <w:p w14:paraId="2C0973DB" w14:textId="77777777" w:rsidR="00072D12" w:rsidRDefault="00072D12" w:rsidP="00072D12">
      <w:pPr>
        <w:pStyle w:val="Standard"/>
        <w:rPr>
          <w:b/>
          <w:bCs/>
          <w:sz w:val="30"/>
          <w:szCs w:val="30"/>
        </w:rPr>
      </w:pPr>
    </w:p>
    <w:p w14:paraId="01AE5913" w14:textId="1CE5FF2B" w:rsidR="00072D12" w:rsidRDefault="00072D12" w:rsidP="00072D12">
      <w:pPr>
        <w:pStyle w:val="Standard"/>
      </w:pPr>
      <w:r>
        <w:rPr>
          <w:b/>
          <w:bCs/>
          <w:sz w:val="28"/>
          <w:szCs w:val="28"/>
        </w:rPr>
        <w:t xml:space="preserve">Summary: </w:t>
      </w:r>
      <w:r>
        <w:t>Considering Velocity is 0.1(default), acceleration is 0.1(default) and constant object position. Here uncertainty is introduced in the gripper width</w:t>
      </w:r>
      <w:r w:rsidRPr="00072D12">
        <w:t xml:space="preserve"> </w:t>
      </w:r>
      <w:r w:rsidRPr="007A15A0">
        <w:t>centered around optimal width</w:t>
      </w:r>
      <w:r>
        <w:t xml:space="preserve"> (0.03).  If the object is grasped then it’s considered as success else failure.</w:t>
      </w:r>
    </w:p>
    <w:p w14:paraId="11A5BA8C" w14:textId="77777777" w:rsidR="00072D12" w:rsidRDefault="00072D12" w:rsidP="00072D12">
      <w:pPr>
        <w:pStyle w:val="Standard"/>
        <w:rPr>
          <w:b/>
          <w:bCs/>
        </w:rPr>
      </w:pPr>
    </w:p>
    <w:p w14:paraId="6D38224A" w14:textId="1D88515A" w:rsidR="00072D12" w:rsidRDefault="00072D12" w:rsidP="00072D12">
      <w:pPr>
        <w:pStyle w:val="Standard"/>
        <w:rPr>
          <w:b/>
          <w:bCs/>
        </w:rPr>
      </w:pPr>
      <w:r>
        <w:rPr>
          <w:b/>
          <w:bCs/>
        </w:rPr>
        <w:t>Case 1: Normal distribution</w:t>
      </w:r>
    </w:p>
    <w:p w14:paraId="52418D91" w14:textId="77777777" w:rsidR="00072D12" w:rsidRDefault="00072D12" w:rsidP="00072D12">
      <w:pPr>
        <w:pStyle w:val="Standard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546"/>
        <w:gridCol w:w="2127"/>
        <w:gridCol w:w="1984"/>
      </w:tblGrid>
      <w:tr w:rsidR="002967B2" w14:paraId="48C4B3D5" w14:textId="77777777" w:rsidTr="002967B2">
        <w:tc>
          <w:tcPr>
            <w:tcW w:w="1980" w:type="dxa"/>
          </w:tcPr>
          <w:p w14:paraId="24960B06" w14:textId="60D3A828" w:rsidR="002967B2" w:rsidRPr="00072D12" w:rsidRDefault="002967B2" w:rsidP="00072D12">
            <w:pPr>
              <w:pStyle w:val="Standard"/>
              <w:rPr>
                <w:b/>
                <w:bCs/>
              </w:rPr>
            </w:pPr>
            <w:r>
              <w:rPr>
                <w:b/>
                <w:bCs/>
              </w:rPr>
              <w:t>Experiment No:</w:t>
            </w:r>
          </w:p>
        </w:tc>
        <w:tc>
          <w:tcPr>
            <w:tcW w:w="2546" w:type="dxa"/>
          </w:tcPr>
          <w:p w14:paraId="3AC014D2" w14:textId="22189843" w:rsidR="002967B2" w:rsidRPr="00072D12" w:rsidRDefault="002967B2" w:rsidP="00072D12">
            <w:pPr>
              <w:pStyle w:val="Standard"/>
              <w:rPr>
                <w:b/>
                <w:bCs/>
              </w:rPr>
            </w:pPr>
            <w:r w:rsidRPr="00072D12">
              <w:rPr>
                <w:b/>
                <w:bCs/>
              </w:rPr>
              <w:t>Standard Deviation</w:t>
            </w:r>
          </w:p>
        </w:tc>
        <w:tc>
          <w:tcPr>
            <w:tcW w:w="2127" w:type="dxa"/>
          </w:tcPr>
          <w:p w14:paraId="75EB7D79" w14:textId="4C557ACE" w:rsidR="002967B2" w:rsidRPr="00072D12" w:rsidRDefault="002967B2" w:rsidP="00072D12">
            <w:pPr>
              <w:pStyle w:val="Standard"/>
              <w:rPr>
                <w:b/>
                <w:bCs/>
              </w:rPr>
            </w:pPr>
            <w:r w:rsidRPr="00072D12">
              <w:rPr>
                <w:b/>
                <w:bCs/>
              </w:rPr>
              <w:t>Success Rate (%)</w:t>
            </w:r>
          </w:p>
        </w:tc>
        <w:tc>
          <w:tcPr>
            <w:tcW w:w="1984" w:type="dxa"/>
          </w:tcPr>
          <w:p w14:paraId="66398C35" w14:textId="7A825F17" w:rsidR="002967B2" w:rsidRPr="00072D12" w:rsidRDefault="002967B2" w:rsidP="00072D12">
            <w:pPr>
              <w:pStyle w:val="Standard"/>
              <w:rPr>
                <w:b/>
                <w:bCs/>
              </w:rPr>
            </w:pPr>
            <w:r w:rsidRPr="00072D12">
              <w:rPr>
                <w:b/>
                <w:bCs/>
              </w:rPr>
              <w:t xml:space="preserve">Failure </w:t>
            </w:r>
            <w:r>
              <w:rPr>
                <w:b/>
                <w:bCs/>
              </w:rPr>
              <w:t>R</w:t>
            </w:r>
            <w:r w:rsidRPr="00072D12">
              <w:rPr>
                <w:b/>
                <w:bCs/>
              </w:rPr>
              <w:t>ate (%)</w:t>
            </w:r>
          </w:p>
        </w:tc>
      </w:tr>
      <w:tr w:rsidR="002967B2" w14:paraId="3DEA6605" w14:textId="77777777" w:rsidTr="002967B2">
        <w:tc>
          <w:tcPr>
            <w:tcW w:w="1980" w:type="dxa"/>
          </w:tcPr>
          <w:p w14:paraId="29D3EA08" w14:textId="32E6F4C0" w:rsidR="002967B2" w:rsidRDefault="002967B2" w:rsidP="00072D12">
            <w:pPr>
              <w:pStyle w:val="Standard"/>
            </w:pPr>
            <w:r>
              <w:t>1</w:t>
            </w:r>
          </w:p>
        </w:tc>
        <w:tc>
          <w:tcPr>
            <w:tcW w:w="2546" w:type="dxa"/>
          </w:tcPr>
          <w:p w14:paraId="3D33BF68" w14:textId="2B31A000" w:rsidR="002967B2" w:rsidRDefault="002967B2" w:rsidP="00072D12">
            <w:pPr>
              <w:pStyle w:val="Standard"/>
            </w:pPr>
            <w:r>
              <w:t>0.0025</w:t>
            </w:r>
          </w:p>
        </w:tc>
        <w:tc>
          <w:tcPr>
            <w:tcW w:w="2127" w:type="dxa"/>
          </w:tcPr>
          <w:p w14:paraId="0542C822" w14:textId="036B5FF0" w:rsidR="002967B2" w:rsidRDefault="002967B2" w:rsidP="00072D12">
            <w:pPr>
              <w:pStyle w:val="Standard"/>
            </w:pPr>
            <w:r>
              <w:t>94</w:t>
            </w:r>
          </w:p>
        </w:tc>
        <w:tc>
          <w:tcPr>
            <w:tcW w:w="1984" w:type="dxa"/>
          </w:tcPr>
          <w:p w14:paraId="6E048189" w14:textId="3FE7AAA4" w:rsidR="002967B2" w:rsidRDefault="002967B2" w:rsidP="00072D12">
            <w:pPr>
              <w:pStyle w:val="Standard"/>
            </w:pPr>
            <w:r>
              <w:t>6</w:t>
            </w:r>
          </w:p>
        </w:tc>
      </w:tr>
      <w:tr w:rsidR="002967B2" w14:paraId="4F09045A" w14:textId="77777777" w:rsidTr="002967B2">
        <w:tc>
          <w:tcPr>
            <w:tcW w:w="1980" w:type="dxa"/>
          </w:tcPr>
          <w:p w14:paraId="63172AC0" w14:textId="61484B01" w:rsidR="002967B2" w:rsidRDefault="002967B2" w:rsidP="00072D12">
            <w:pPr>
              <w:pStyle w:val="Standard"/>
            </w:pPr>
            <w:r>
              <w:t>2</w:t>
            </w:r>
          </w:p>
        </w:tc>
        <w:tc>
          <w:tcPr>
            <w:tcW w:w="2546" w:type="dxa"/>
          </w:tcPr>
          <w:p w14:paraId="6458B464" w14:textId="41C5FA11" w:rsidR="002967B2" w:rsidRDefault="002967B2" w:rsidP="00072D12">
            <w:pPr>
              <w:pStyle w:val="Standard"/>
            </w:pPr>
            <w:r>
              <w:t>0.005</w:t>
            </w:r>
          </w:p>
        </w:tc>
        <w:tc>
          <w:tcPr>
            <w:tcW w:w="2127" w:type="dxa"/>
          </w:tcPr>
          <w:p w14:paraId="3A0D53B8" w14:textId="0CA2CBDC" w:rsidR="002967B2" w:rsidRDefault="002967B2" w:rsidP="00072D12">
            <w:pPr>
              <w:pStyle w:val="Standard"/>
            </w:pPr>
            <w:r>
              <w:t>74</w:t>
            </w:r>
          </w:p>
        </w:tc>
        <w:tc>
          <w:tcPr>
            <w:tcW w:w="1984" w:type="dxa"/>
          </w:tcPr>
          <w:p w14:paraId="2C518932" w14:textId="64AC4533" w:rsidR="002967B2" w:rsidRDefault="002967B2" w:rsidP="00072D12">
            <w:pPr>
              <w:pStyle w:val="Standard"/>
            </w:pPr>
            <w:r>
              <w:t>26</w:t>
            </w:r>
          </w:p>
        </w:tc>
      </w:tr>
      <w:tr w:rsidR="002967B2" w14:paraId="055B9B1E" w14:textId="77777777" w:rsidTr="002967B2">
        <w:tc>
          <w:tcPr>
            <w:tcW w:w="1980" w:type="dxa"/>
          </w:tcPr>
          <w:p w14:paraId="67B7455D" w14:textId="2D725CBA" w:rsidR="002967B2" w:rsidRDefault="002967B2" w:rsidP="00072D12">
            <w:pPr>
              <w:pStyle w:val="Standard"/>
            </w:pPr>
            <w:r>
              <w:t>3</w:t>
            </w:r>
          </w:p>
        </w:tc>
        <w:tc>
          <w:tcPr>
            <w:tcW w:w="2546" w:type="dxa"/>
          </w:tcPr>
          <w:p w14:paraId="27F8CB96" w14:textId="0ACFFA05" w:rsidR="002967B2" w:rsidRDefault="002967B2" w:rsidP="00072D12">
            <w:pPr>
              <w:pStyle w:val="Standard"/>
            </w:pPr>
            <w:r>
              <w:t>0.0075</w:t>
            </w:r>
          </w:p>
        </w:tc>
        <w:tc>
          <w:tcPr>
            <w:tcW w:w="2127" w:type="dxa"/>
          </w:tcPr>
          <w:p w14:paraId="0EA6F9A2" w14:textId="56187672" w:rsidR="002967B2" w:rsidRDefault="002967B2" w:rsidP="00072D12">
            <w:pPr>
              <w:pStyle w:val="Standard"/>
            </w:pPr>
            <w:r>
              <w:t>64</w:t>
            </w:r>
          </w:p>
        </w:tc>
        <w:tc>
          <w:tcPr>
            <w:tcW w:w="1984" w:type="dxa"/>
          </w:tcPr>
          <w:p w14:paraId="36C381E9" w14:textId="605D5303" w:rsidR="002967B2" w:rsidRDefault="002967B2" w:rsidP="00072D12">
            <w:pPr>
              <w:pStyle w:val="Standard"/>
            </w:pPr>
            <w:r>
              <w:t>36</w:t>
            </w:r>
          </w:p>
        </w:tc>
      </w:tr>
      <w:tr w:rsidR="002967B2" w14:paraId="383486A5" w14:textId="77777777" w:rsidTr="002967B2">
        <w:tc>
          <w:tcPr>
            <w:tcW w:w="1980" w:type="dxa"/>
          </w:tcPr>
          <w:p w14:paraId="2B1DBDA7" w14:textId="175C0C9C" w:rsidR="002967B2" w:rsidRDefault="002967B2" w:rsidP="00072D12">
            <w:pPr>
              <w:pStyle w:val="Standard"/>
            </w:pPr>
            <w:r>
              <w:t>4</w:t>
            </w:r>
          </w:p>
        </w:tc>
        <w:tc>
          <w:tcPr>
            <w:tcW w:w="2546" w:type="dxa"/>
          </w:tcPr>
          <w:p w14:paraId="265A8EB7" w14:textId="7CECFFC9" w:rsidR="002967B2" w:rsidRDefault="002967B2" w:rsidP="00072D12">
            <w:pPr>
              <w:pStyle w:val="Standard"/>
            </w:pPr>
            <w:r>
              <w:t>0.01</w:t>
            </w:r>
          </w:p>
        </w:tc>
        <w:tc>
          <w:tcPr>
            <w:tcW w:w="2127" w:type="dxa"/>
          </w:tcPr>
          <w:p w14:paraId="7B21BA86" w14:textId="19DCBB9D" w:rsidR="002967B2" w:rsidRDefault="002967B2" w:rsidP="00072D12">
            <w:pPr>
              <w:pStyle w:val="Standard"/>
            </w:pPr>
            <w:r>
              <w:t>70</w:t>
            </w:r>
          </w:p>
        </w:tc>
        <w:tc>
          <w:tcPr>
            <w:tcW w:w="1984" w:type="dxa"/>
          </w:tcPr>
          <w:p w14:paraId="57FDA1C9" w14:textId="23E9B9BE" w:rsidR="002967B2" w:rsidRDefault="002967B2" w:rsidP="00072D12">
            <w:pPr>
              <w:pStyle w:val="Standard"/>
            </w:pPr>
            <w:r>
              <w:t>30</w:t>
            </w:r>
          </w:p>
        </w:tc>
      </w:tr>
    </w:tbl>
    <w:p w14:paraId="2F611C86" w14:textId="77777777" w:rsidR="00072D12" w:rsidRDefault="00072D12" w:rsidP="00072D12">
      <w:pPr>
        <w:pStyle w:val="Standard"/>
      </w:pPr>
    </w:p>
    <w:p w14:paraId="4C690D26" w14:textId="31CC6EFE" w:rsidR="00FA2293" w:rsidRDefault="00FA2293" w:rsidP="00072D12">
      <w:pPr>
        <w:pStyle w:val="Standard"/>
      </w:pPr>
      <w:r>
        <w:rPr>
          <w:noProof/>
        </w:rPr>
        <w:drawing>
          <wp:inline distT="0" distB="0" distL="0" distR="0" wp14:anchorId="0ACAC4B1" wp14:editId="2E7755F8">
            <wp:extent cx="5309183" cy="3147060"/>
            <wp:effectExtent l="0" t="0" r="6350" b="0"/>
            <wp:docPr id="1514776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776362" name="Picture 151477636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9070" cy="315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E7154" w14:textId="77777777" w:rsidR="00FA2293" w:rsidRDefault="00FA2293" w:rsidP="00072D12">
      <w:pPr>
        <w:pStyle w:val="Standard"/>
      </w:pPr>
    </w:p>
    <w:p w14:paraId="64CE29B5" w14:textId="5BCA5BF9" w:rsidR="00FA2293" w:rsidRDefault="00FA2293" w:rsidP="00072D12">
      <w:pPr>
        <w:pStyle w:val="Standard"/>
      </w:pPr>
      <w:r>
        <w:rPr>
          <w:noProof/>
        </w:rPr>
        <w:drawing>
          <wp:inline distT="0" distB="0" distL="0" distR="0" wp14:anchorId="7D3738B1" wp14:editId="5C5C4900">
            <wp:extent cx="5120640" cy="3077272"/>
            <wp:effectExtent l="0" t="0" r="3810" b="8890"/>
            <wp:docPr id="12611678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167808" name="Picture 126116780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246" cy="3079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CA42C" w14:textId="0AF6550A" w:rsidR="00072D12" w:rsidRDefault="00072D12" w:rsidP="00072D12">
      <w:pPr>
        <w:pStyle w:val="Standard"/>
        <w:rPr>
          <w:b/>
          <w:bCs/>
        </w:rPr>
      </w:pPr>
      <w:r>
        <w:rPr>
          <w:b/>
          <w:bCs/>
        </w:rPr>
        <w:lastRenderedPageBreak/>
        <w:t>Case 2: Uniform distribution</w:t>
      </w:r>
    </w:p>
    <w:p w14:paraId="4E12EC59" w14:textId="77777777" w:rsidR="00072D12" w:rsidRDefault="00072D12" w:rsidP="00072D12">
      <w:pPr>
        <w:pStyle w:val="Standard"/>
        <w:rPr>
          <w:b/>
          <w:bCs/>
        </w:rPr>
      </w:pPr>
    </w:p>
    <w:tbl>
      <w:tblPr>
        <w:tblStyle w:val="TableGrid"/>
        <w:tblW w:w="8637" w:type="dxa"/>
        <w:tblLook w:val="04A0" w:firstRow="1" w:lastRow="0" w:firstColumn="1" w:lastColumn="0" w:noHBand="0" w:noVBand="1"/>
      </w:tblPr>
      <w:tblGrid>
        <w:gridCol w:w="2263"/>
        <w:gridCol w:w="2263"/>
        <w:gridCol w:w="2127"/>
        <w:gridCol w:w="1984"/>
      </w:tblGrid>
      <w:tr w:rsidR="002967B2" w14:paraId="2375EB81" w14:textId="77777777" w:rsidTr="002967B2">
        <w:tc>
          <w:tcPr>
            <w:tcW w:w="2263" w:type="dxa"/>
          </w:tcPr>
          <w:p w14:paraId="45F832A6" w14:textId="52D506E0" w:rsidR="002967B2" w:rsidRPr="00072D12" w:rsidRDefault="002967B2" w:rsidP="002967B2">
            <w:pPr>
              <w:pStyle w:val="Standard"/>
              <w:rPr>
                <w:b/>
                <w:bCs/>
              </w:rPr>
            </w:pPr>
            <w:r>
              <w:rPr>
                <w:b/>
                <w:bCs/>
              </w:rPr>
              <w:t>Experiment No:</w:t>
            </w:r>
          </w:p>
        </w:tc>
        <w:tc>
          <w:tcPr>
            <w:tcW w:w="2263" w:type="dxa"/>
          </w:tcPr>
          <w:p w14:paraId="4701ED4B" w14:textId="0B2D4DBA" w:rsidR="002967B2" w:rsidRPr="00072D12" w:rsidRDefault="002967B2" w:rsidP="002967B2">
            <w:pPr>
              <w:pStyle w:val="Standard"/>
              <w:rPr>
                <w:b/>
                <w:bCs/>
              </w:rPr>
            </w:pPr>
            <w:r w:rsidRPr="00072D12">
              <w:rPr>
                <w:b/>
                <w:bCs/>
              </w:rPr>
              <w:t>S</w:t>
            </w:r>
            <w:r w:rsidR="00F33947">
              <w:rPr>
                <w:b/>
                <w:bCs/>
              </w:rPr>
              <w:t>cale</w:t>
            </w:r>
          </w:p>
        </w:tc>
        <w:tc>
          <w:tcPr>
            <w:tcW w:w="2127" w:type="dxa"/>
          </w:tcPr>
          <w:p w14:paraId="2FF943B8" w14:textId="77777777" w:rsidR="002967B2" w:rsidRPr="00072D12" w:rsidRDefault="002967B2" w:rsidP="002967B2">
            <w:pPr>
              <w:pStyle w:val="Standard"/>
              <w:rPr>
                <w:b/>
                <w:bCs/>
              </w:rPr>
            </w:pPr>
            <w:r w:rsidRPr="00072D12">
              <w:rPr>
                <w:b/>
                <w:bCs/>
              </w:rPr>
              <w:t>Success Rate (%)</w:t>
            </w:r>
          </w:p>
        </w:tc>
        <w:tc>
          <w:tcPr>
            <w:tcW w:w="1984" w:type="dxa"/>
          </w:tcPr>
          <w:p w14:paraId="08A7ABC9" w14:textId="77777777" w:rsidR="002967B2" w:rsidRPr="00072D12" w:rsidRDefault="002967B2" w:rsidP="002967B2">
            <w:pPr>
              <w:pStyle w:val="Standard"/>
              <w:rPr>
                <w:b/>
                <w:bCs/>
              </w:rPr>
            </w:pPr>
            <w:r w:rsidRPr="00072D12">
              <w:rPr>
                <w:b/>
                <w:bCs/>
              </w:rPr>
              <w:t xml:space="preserve">Failure </w:t>
            </w:r>
            <w:r>
              <w:rPr>
                <w:b/>
                <w:bCs/>
              </w:rPr>
              <w:t>R</w:t>
            </w:r>
            <w:r w:rsidRPr="00072D12">
              <w:rPr>
                <w:b/>
                <w:bCs/>
              </w:rPr>
              <w:t>ate (%)</w:t>
            </w:r>
          </w:p>
        </w:tc>
      </w:tr>
      <w:tr w:rsidR="002967B2" w14:paraId="4CE822CF" w14:textId="77777777" w:rsidTr="002967B2">
        <w:tc>
          <w:tcPr>
            <w:tcW w:w="2263" w:type="dxa"/>
          </w:tcPr>
          <w:p w14:paraId="09CACC89" w14:textId="31D12FFC" w:rsidR="002967B2" w:rsidRDefault="002967B2" w:rsidP="002967B2">
            <w:pPr>
              <w:pStyle w:val="Standard"/>
            </w:pPr>
            <w:r>
              <w:t>5</w:t>
            </w:r>
          </w:p>
        </w:tc>
        <w:tc>
          <w:tcPr>
            <w:tcW w:w="2263" w:type="dxa"/>
          </w:tcPr>
          <w:p w14:paraId="7DD87127" w14:textId="55E49147" w:rsidR="002967B2" w:rsidRDefault="002967B2" w:rsidP="002967B2">
            <w:pPr>
              <w:pStyle w:val="Standard"/>
            </w:pPr>
            <w:r>
              <w:t>0.005</w:t>
            </w:r>
          </w:p>
        </w:tc>
        <w:tc>
          <w:tcPr>
            <w:tcW w:w="2127" w:type="dxa"/>
          </w:tcPr>
          <w:p w14:paraId="7379D555" w14:textId="59D10D78" w:rsidR="002967B2" w:rsidRDefault="002967B2" w:rsidP="002967B2">
            <w:pPr>
              <w:pStyle w:val="Standard"/>
            </w:pPr>
            <w:r>
              <w:t>92</w:t>
            </w:r>
          </w:p>
        </w:tc>
        <w:tc>
          <w:tcPr>
            <w:tcW w:w="1984" w:type="dxa"/>
          </w:tcPr>
          <w:p w14:paraId="23FA1AF0" w14:textId="195A369A" w:rsidR="002967B2" w:rsidRDefault="002967B2" w:rsidP="002967B2">
            <w:pPr>
              <w:pStyle w:val="Standard"/>
            </w:pPr>
            <w:r>
              <w:t>8</w:t>
            </w:r>
          </w:p>
        </w:tc>
      </w:tr>
      <w:tr w:rsidR="002967B2" w14:paraId="4721233F" w14:textId="77777777" w:rsidTr="002967B2">
        <w:tc>
          <w:tcPr>
            <w:tcW w:w="2263" w:type="dxa"/>
          </w:tcPr>
          <w:p w14:paraId="00622D57" w14:textId="1C5927AD" w:rsidR="002967B2" w:rsidRDefault="002967B2" w:rsidP="002967B2">
            <w:pPr>
              <w:pStyle w:val="Standard"/>
            </w:pPr>
            <w:r>
              <w:t>6</w:t>
            </w:r>
          </w:p>
        </w:tc>
        <w:tc>
          <w:tcPr>
            <w:tcW w:w="2263" w:type="dxa"/>
          </w:tcPr>
          <w:p w14:paraId="008C2CD4" w14:textId="4DA75B8F" w:rsidR="002967B2" w:rsidRDefault="002967B2" w:rsidP="002967B2">
            <w:pPr>
              <w:pStyle w:val="Standard"/>
            </w:pPr>
            <w:r>
              <w:t>0.01</w:t>
            </w:r>
          </w:p>
        </w:tc>
        <w:tc>
          <w:tcPr>
            <w:tcW w:w="2127" w:type="dxa"/>
          </w:tcPr>
          <w:p w14:paraId="1CA07B63" w14:textId="568CE43F" w:rsidR="002967B2" w:rsidRDefault="002967B2" w:rsidP="002967B2">
            <w:pPr>
              <w:pStyle w:val="Standard"/>
            </w:pPr>
            <w:r>
              <w:t>70</w:t>
            </w:r>
          </w:p>
        </w:tc>
        <w:tc>
          <w:tcPr>
            <w:tcW w:w="1984" w:type="dxa"/>
          </w:tcPr>
          <w:p w14:paraId="53AA4B8C" w14:textId="0A3502AD" w:rsidR="002967B2" w:rsidRDefault="002967B2" w:rsidP="002967B2">
            <w:pPr>
              <w:pStyle w:val="Standard"/>
            </w:pPr>
            <w:r>
              <w:t>30</w:t>
            </w:r>
          </w:p>
        </w:tc>
      </w:tr>
      <w:tr w:rsidR="002967B2" w14:paraId="3A272201" w14:textId="77777777" w:rsidTr="002967B2">
        <w:tc>
          <w:tcPr>
            <w:tcW w:w="2263" w:type="dxa"/>
          </w:tcPr>
          <w:p w14:paraId="214FEF19" w14:textId="62722C64" w:rsidR="002967B2" w:rsidRDefault="002967B2" w:rsidP="002967B2">
            <w:pPr>
              <w:pStyle w:val="Standard"/>
            </w:pPr>
            <w:r>
              <w:t>7</w:t>
            </w:r>
          </w:p>
        </w:tc>
        <w:tc>
          <w:tcPr>
            <w:tcW w:w="2263" w:type="dxa"/>
          </w:tcPr>
          <w:p w14:paraId="5D5200E6" w14:textId="77DE1F24" w:rsidR="002967B2" w:rsidRDefault="002967B2" w:rsidP="002967B2">
            <w:pPr>
              <w:pStyle w:val="Standard"/>
            </w:pPr>
            <w:r>
              <w:t>0.02</w:t>
            </w:r>
          </w:p>
        </w:tc>
        <w:tc>
          <w:tcPr>
            <w:tcW w:w="2127" w:type="dxa"/>
          </w:tcPr>
          <w:p w14:paraId="2DF96FAB" w14:textId="0FC77011" w:rsidR="002967B2" w:rsidRDefault="002967B2" w:rsidP="002967B2">
            <w:pPr>
              <w:pStyle w:val="Standard"/>
            </w:pPr>
            <w:r>
              <w:t>64</w:t>
            </w:r>
          </w:p>
        </w:tc>
        <w:tc>
          <w:tcPr>
            <w:tcW w:w="1984" w:type="dxa"/>
          </w:tcPr>
          <w:p w14:paraId="553DAD1D" w14:textId="65E3193B" w:rsidR="002967B2" w:rsidRPr="00E750B5" w:rsidRDefault="002967B2" w:rsidP="002967B2">
            <w:pPr>
              <w:pStyle w:val="Standard"/>
              <w:rPr>
                <w:lang w:val="en-IN"/>
              </w:rPr>
            </w:pPr>
            <w:r>
              <w:t>36</w:t>
            </w:r>
          </w:p>
        </w:tc>
      </w:tr>
      <w:tr w:rsidR="002967B2" w14:paraId="3D864983" w14:textId="77777777" w:rsidTr="002967B2">
        <w:tc>
          <w:tcPr>
            <w:tcW w:w="2263" w:type="dxa"/>
          </w:tcPr>
          <w:p w14:paraId="5E6E02E9" w14:textId="002B8C43" w:rsidR="002967B2" w:rsidRDefault="002967B2" w:rsidP="002967B2">
            <w:pPr>
              <w:pStyle w:val="Standard"/>
            </w:pPr>
            <w:r>
              <w:t>8</w:t>
            </w:r>
          </w:p>
        </w:tc>
        <w:tc>
          <w:tcPr>
            <w:tcW w:w="2263" w:type="dxa"/>
          </w:tcPr>
          <w:p w14:paraId="0A504C7E" w14:textId="636A4DCE" w:rsidR="002967B2" w:rsidRDefault="002967B2" w:rsidP="002967B2">
            <w:pPr>
              <w:pStyle w:val="Standard"/>
            </w:pPr>
            <w:r>
              <w:t>0.03</w:t>
            </w:r>
          </w:p>
        </w:tc>
        <w:tc>
          <w:tcPr>
            <w:tcW w:w="2127" w:type="dxa"/>
          </w:tcPr>
          <w:p w14:paraId="4593463B" w14:textId="6332343E" w:rsidR="002967B2" w:rsidRDefault="007D79D2" w:rsidP="002967B2">
            <w:pPr>
              <w:pStyle w:val="Standard"/>
            </w:pPr>
            <w:r>
              <w:t>64</w:t>
            </w:r>
          </w:p>
        </w:tc>
        <w:tc>
          <w:tcPr>
            <w:tcW w:w="1984" w:type="dxa"/>
          </w:tcPr>
          <w:p w14:paraId="3DFA11B6" w14:textId="7BE7B6F6" w:rsidR="002967B2" w:rsidRDefault="007D79D2" w:rsidP="002967B2">
            <w:pPr>
              <w:pStyle w:val="Standard"/>
            </w:pPr>
            <w:r>
              <w:t>36</w:t>
            </w:r>
          </w:p>
        </w:tc>
      </w:tr>
    </w:tbl>
    <w:p w14:paraId="207347B8" w14:textId="77777777" w:rsidR="00072D12" w:rsidRDefault="00072D12" w:rsidP="00072D12">
      <w:pPr>
        <w:pStyle w:val="Standard"/>
      </w:pPr>
    </w:p>
    <w:p w14:paraId="20F38A08" w14:textId="77506053" w:rsidR="00C94659" w:rsidRDefault="00072D12">
      <w:pPr>
        <w:pStyle w:val="Standard"/>
        <w:rPr>
          <w:b/>
          <w:bCs/>
        </w:rPr>
      </w:pPr>
      <w:r>
        <w:rPr>
          <w:b/>
          <w:bCs/>
        </w:rPr>
        <w:t xml:space="preserve"> </w:t>
      </w:r>
      <w:r w:rsidR="00A478ED">
        <w:rPr>
          <w:b/>
          <w:bCs/>
          <w:noProof/>
        </w:rPr>
        <w:drawing>
          <wp:inline distT="0" distB="0" distL="0" distR="0" wp14:anchorId="618C4DF5" wp14:editId="04D15D09">
            <wp:extent cx="4923737" cy="2987040"/>
            <wp:effectExtent l="0" t="0" r="0" b="3810"/>
            <wp:docPr id="1207816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816883" name="Picture 120781688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7902" cy="2989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C0E60" w14:textId="77777777" w:rsidR="00FA2293" w:rsidRDefault="00FA2293">
      <w:pPr>
        <w:pStyle w:val="Standard"/>
        <w:rPr>
          <w:b/>
          <w:bCs/>
        </w:rPr>
      </w:pPr>
    </w:p>
    <w:p w14:paraId="6C7C9320" w14:textId="42F4281A" w:rsidR="00FA2293" w:rsidRDefault="00A478ED">
      <w:pPr>
        <w:pStyle w:val="Standard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BB33C7F" wp14:editId="1A86BB2A">
            <wp:extent cx="6120130" cy="3347720"/>
            <wp:effectExtent l="0" t="0" r="0" b="5080"/>
            <wp:docPr id="13132279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227980" name="Picture 131322798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2293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7F18EE" w14:textId="77777777" w:rsidR="005B2B1B" w:rsidRDefault="005B2B1B">
      <w:r>
        <w:separator/>
      </w:r>
    </w:p>
  </w:endnote>
  <w:endnote w:type="continuationSeparator" w:id="0">
    <w:p w14:paraId="22BAFD2C" w14:textId="77777777" w:rsidR="005B2B1B" w:rsidRDefault="005B2B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651979" w14:textId="77777777" w:rsidR="005B2B1B" w:rsidRDefault="005B2B1B">
      <w:r>
        <w:rPr>
          <w:color w:val="000000"/>
        </w:rPr>
        <w:separator/>
      </w:r>
    </w:p>
  </w:footnote>
  <w:footnote w:type="continuationSeparator" w:id="0">
    <w:p w14:paraId="2CEB839E" w14:textId="77777777" w:rsidR="005B2B1B" w:rsidRDefault="005B2B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025703"/>
    <w:multiLevelType w:val="hybridMultilevel"/>
    <w:tmpl w:val="A42E059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1151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4659"/>
    <w:rsid w:val="00072D12"/>
    <w:rsid w:val="002967B2"/>
    <w:rsid w:val="002B1165"/>
    <w:rsid w:val="004256FE"/>
    <w:rsid w:val="005531CA"/>
    <w:rsid w:val="005B2B1B"/>
    <w:rsid w:val="007D79D2"/>
    <w:rsid w:val="00A478ED"/>
    <w:rsid w:val="00A71E93"/>
    <w:rsid w:val="00C94659"/>
    <w:rsid w:val="00D01A6E"/>
    <w:rsid w:val="00D32820"/>
    <w:rsid w:val="00E36FF5"/>
    <w:rsid w:val="00E750B5"/>
    <w:rsid w:val="00E91FD0"/>
    <w:rsid w:val="00F33947"/>
    <w:rsid w:val="00FA2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E9106"/>
  <w15:docId w15:val="{599CD74B-BC76-4C90-89EE-B98DBDC89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table" w:styleId="TableGrid">
    <w:name w:val="Table Grid"/>
    <w:basedOn w:val="TableNormal"/>
    <w:uiPriority w:val="39"/>
    <w:rsid w:val="00072D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2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 Majalikar</dc:creator>
  <cp:lastModifiedBy>Nikita Majalikar</cp:lastModifiedBy>
  <cp:revision>6</cp:revision>
  <dcterms:created xsi:type="dcterms:W3CDTF">2024-09-03T12:19:00Z</dcterms:created>
  <dcterms:modified xsi:type="dcterms:W3CDTF">2024-10-01T22:09:00Z</dcterms:modified>
</cp:coreProperties>
</file>