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20"/>
      </w:pPr>
    </w:p>
    <w:p>
      <w:pPr>
        <w:spacing w:after="80"/>
      </w:pPr>
      <w:r>
        <w:rPr>
          <w:rFonts w:ascii="Calibri" w:hAnsi="Calibri"/>
          <w:b/>
          <w:color w:val="000000"/>
          <w:sz w:val="46"/>
        </w:rPr>
        <w:t>NMO_109005 GRP EXCITATORY INTERNEURON</w:t>
      </w:r>
    </w:p>
    <w:p>
      <w:pPr>
        <w:spacing w:after="320"/>
      </w:pPr>
      <w:r>
        <w:rPr>
          <w:rFonts w:ascii="Calibri" w:hAnsi="Calibri"/>
          <w:color w:val="666666"/>
          <w:sz w:val="28"/>
        </w:rPr>
        <w:t>Complete morphology-constrained eTrC-like model report</w:t>
      </w:r>
    </w:p>
    <w:p>
      <w:pPr>
        <w:spacing w:after="40" w:line="240" w:lineRule="auto"/>
      </w:pPr>
      <w:r>
        <w:rPr>
          <w:rFonts w:ascii="Calibri" w:hAnsi="Calibri"/>
          <w:b/>
          <w:color w:val="111827"/>
          <w:sz w:val="22"/>
        </w:rPr>
        <w:t xml:space="preserve">Cell: </w:t>
      </w:r>
      <w:r>
        <w:rPr>
          <w:rFonts w:ascii="Calibri" w:hAnsi="Calibri"/>
          <w:color w:val="111827"/>
          <w:sz w:val="22"/>
        </w:rPr>
        <w:t>26-11-14-A-A6</w:t>
      </w:r>
    </w:p>
    <w:p>
      <w:pPr>
        <w:spacing w:after="40" w:line="240" w:lineRule="auto"/>
      </w:pPr>
      <w:r>
        <w:rPr>
          <w:rFonts w:ascii="Calibri" w:hAnsi="Calibri"/>
          <w:b/>
          <w:color w:val="111827"/>
          <w:sz w:val="22"/>
        </w:rPr>
        <w:t xml:space="preserve">NeuroMorpho: </w:t>
      </w:r>
      <w:r>
        <w:rPr>
          <w:rFonts w:ascii="Calibri" w:hAnsi="Calibri"/>
          <w:color w:val="111827"/>
          <w:sz w:val="22"/>
        </w:rPr>
        <w:t>NMO_109005</w:t>
      </w:r>
    </w:p>
    <w:p>
      <w:pPr>
        <w:spacing w:after="40" w:line="240" w:lineRule="auto"/>
      </w:pPr>
      <w:r>
        <w:rPr>
          <w:rFonts w:ascii="Calibri" w:hAnsi="Calibri"/>
          <w:b/>
          <w:color w:val="111827"/>
          <w:sz w:val="22"/>
        </w:rPr>
        <w:t xml:space="preserve">Project condition: </w:t>
      </w:r>
      <w:r>
        <w:rPr>
          <w:rFonts w:ascii="Calibri" w:hAnsi="Calibri"/>
          <w:color w:val="111827"/>
          <w:sz w:val="22"/>
        </w:rPr>
        <w:t>35°C</w:t>
      </w:r>
    </w:p>
    <w:p>
      <w:pPr>
        <w:spacing w:after="40" w:line="240" w:lineRule="auto"/>
      </w:pPr>
      <w:r>
        <w:rPr>
          <w:rFonts w:ascii="Calibri" w:hAnsi="Calibri"/>
          <w:b/>
          <w:color w:val="111827"/>
          <w:sz w:val="22"/>
        </w:rPr>
        <w:t xml:space="preserve">Decision: </w:t>
      </w:r>
      <w:r>
        <w:rPr>
          <w:rFonts w:ascii="Calibri" w:hAnsi="Calibri"/>
          <w:color w:val="111827"/>
          <w:sz w:val="22"/>
        </w:rPr>
        <w:t>ENGINEERING READY / BIOLOGICALLY PROVISIONAL</w:t>
      </w:r>
    </w:p>
    <w:p>
      <w:pPr>
        <w:spacing w:after="40" w:line="240" w:lineRule="auto"/>
      </w:pPr>
      <w:r>
        <w:rPr>
          <w:rFonts w:ascii="Calibri" w:hAnsi="Calibri"/>
          <w:b/>
          <w:color w:val="111827"/>
          <w:sz w:val="22"/>
        </w:rPr>
        <w:t xml:space="preserve">Network integration: </w:t>
      </w:r>
      <w:r>
        <w:rPr>
          <w:rFonts w:ascii="Calibri" w:hAnsi="Calibri"/>
          <w:color w:val="111827"/>
          <w:sz w:val="22"/>
        </w:rPr>
        <w:t>NO</w:t>
      </w:r>
    </w:p>
    <w:p>
      <w:pPr>
        <w:spacing w:after="200"/>
        <w:pBdr>
          <w:bottom w:val="single" w:sz="18" w:space="1" w:color="2E74B5"/>
        </w:pBdr>
      </w:pPr>
    </w:p>
    <w:p>
      <w:pPr>
        <w:pStyle w:val="Heading1"/>
      </w:pPr>
      <w:r>
        <w:t>1. Biological identity</w:t>
      </w:r>
    </w:p>
    <w:p>
      <w:r>
        <w:rPr>
          <w:rFonts w:ascii="Calibri" w:hAnsi="Calibri"/>
          <w:color w:val="111827"/>
          <w:sz w:val="22"/>
        </w:rPr>
        <w:t xml:space="preserve">NMO_109005 is a reconstructed mouse GRP-positive excitatory interneuron from lamina II of the mid-lumbar spinal dorsal horn. The reconstruction is used here as a </w:t>
      </w:r>
      <w:r>
        <w:rPr>
          <w:rFonts w:ascii="Calibri" w:hAnsi="Calibri"/>
          <w:b/>
          <w:color w:val="111827"/>
          <w:sz w:val="22"/>
        </w:rPr>
        <w:t>GRP-positive lamina-II excitatory interneuron used as a biologically informed transient-central/eTrC-like model</w:t>
      </w:r>
      <w:r>
        <w:rPr>
          <w:rFonts w:ascii="Calibri" w:hAnsi="Calibri"/>
          <w:color w:val="111827"/>
          <w:sz w:val="22"/>
        </w:rPr>
        <w:t>.</w:t>
      </w:r>
    </w:p>
    <w:p>
      <w:pPr>
        <w:pStyle w:val="Heading1"/>
      </w:pPr>
      <w:r>
        <w:t>2. Why this morphology is suitable for eTrC-like modelling</w:t>
      </w:r>
    </w:p>
    <w:p>
      <w:r>
        <w:rPr>
          <w:rFonts w:ascii="Calibri" w:hAnsi="Calibri"/>
          <w:color w:val="111827"/>
          <w:sz w:val="22"/>
        </w:rPr>
        <w:t>Dickie et al. showed that GRP cells are excitatory interneurons, many have central-like somatodendritic morphology, and most recorded GRP cells fired transiently or with a single spike. That evidence supports an eTrC-like computational interpretation at the population level. The NMO_109005 record provides soma, dendrites, and a native partial/moderate axon without requiring invented dendritic geometry.</w:t>
      </w:r>
    </w:p>
    <w:p>
      <w:pPr>
        <w:pStyle w:val="Heading1"/>
      </w:pPr>
      <w:r>
        <w:t>3. Critical identity warning</w:t>
      </w:r>
    </w:p>
    <w:p>
      <w:r>
        <w:rPr>
          <w:rFonts w:ascii="Calibri" w:hAnsi="Calibri"/>
          <w:color w:val="111827"/>
          <w:sz w:val="22"/>
        </w:rPr>
        <w:t>GRP does not uniquely imply eTrC, and NMO_109005 itself has not been experimentally assigned to a molecular class called “eTrC.” Its exact electrophysiological recording is not publicly linked to the morphology. All Dickie quantitative constraints below are GRP population values rather than same-cell targets.</w:t>
      </w:r>
    </w:p>
    <w:p>
      <w:pPr>
        <w:pStyle w:val="Heading1"/>
      </w:pPr>
      <w:r>
        <w:t>4. Morphology QA</w:t>
      </w:r>
    </w:p>
    <w:p>
      <w:r>
        <w:rPr>
          <w:rFonts w:ascii="Calibri" w:hAnsi="Calibri"/>
          <w:color w:val="111827"/>
          <w:sz w:val="22"/>
        </w:rPr>
        <w:t xml:space="preserve">The existing SWC was retained byte-for-byte (SHA-256 </w:t>
      </w:r>
      <w:r>
        <w:rPr>
          <w:rFonts w:ascii="Consolas" w:hAnsi="Consolas"/>
          <w:color w:val="1F4D78"/>
          <w:sz w:val="19"/>
        </w:rPr>
        <w:t>3f74c3796e9992b63dabb4f9c8430695658f35bd03f824bb47a58ce1c625726e</w:t>
      </w:r>
      <w:r>
        <w:rPr>
          <w:rFonts w:ascii="Calibri" w:hAnsi="Calibri"/>
          <w:color w:val="111827"/>
          <w:sz w:val="22"/>
        </w:rPr>
        <w:t>). It contains 10,314 valid records in one connected component: 9 soma, 7,056 dendrite, and 3,249 axon nodes. Soma, dendrites, and axon are present; there are no orphan parents, non-positive radii, zero-length edges, or invalid rows. Approximate cable length is 3,291.95 µm, with 83 branch points and 87 endpoints. The native axon is treated as partial/moderate, consistent with the NeuroMorpho physical-integrity record.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207419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rpholog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0741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/>
        <w:jc w:val="center"/>
      </w:pPr>
      <w:r>
        <w:rPr>
          <w:rFonts w:ascii="Calibri" w:hAnsi="Calibri"/>
          <w:i/>
          <w:color w:val="666666"/>
          <w:sz w:val="18"/>
        </w:rPr>
        <w:t>Morphology QA</w:t>
      </w:r>
    </w:p>
    <w:p>
      <w:pPr>
        <w:pStyle w:val="Heading1"/>
      </w:pPr>
      <w:r>
        <w:t>5. Dickie experimental evidence</w:t>
      </w:r>
    </w:p>
    <w:p>
      <w:r>
        <w:rPr>
          <w:rFonts w:ascii="Calibri" w:hAnsi="Calibri"/>
          <w:color w:val="111827"/>
          <w:sz w:val="22"/>
        </w:rPr>
        <w:t>Dickie et al. reported data as mean ± SEM unless otherwise stated. Key GRP values are RMP −52.89 ± 0.78 mV (n=230), Rin 1,588 ± 85 MΩ (n=232), whole-cell capacitance 5.12 ± 0.11 pF (n=232), rheobase 18.30 ± 1.07 pA (n=155), and first-spike latency at rheobase 137.1 ± 6.2 ms (n=155). Firing classes were transient 49.5%, single 32.9%, tonic 8.3%, reluctant 6.5%, and delayed 2.8% (n=216).</w:t>
      </w:r>
    </w:p>
    <w:p>
      <w:r>
        <w:rPr>
          <w:rFonts w:ascii="Calibri" w:hAnsi="Calibri"/>
          <w:color w:val="111827"/>
          <w:sz w:val="22"/>
        </w:rPr>
        <w:t>The paper also reported IAr in 40.9%, Ih in 37.3%, IAs in 25.8%, and ICaT in 33.3% of tested GRP cells. Prevalence in a population does not prove that any one current is present in NMO_109005.</w:t>
      </w:r>
    </w:p>
    <w:p>
      <w:pPr>
        <w:pStyle w:val="Heading1"/>
      </w:pPr>
      <w:r>
        <w:t>6. Passive targets and acceptance rule</w:t>
      </w:r>
    </w:p>
    <w:p>
      <w:r>
        <w:rPr>
          <w:rFonts w:ascii="Calibri" w:hAnsi="Calibri"/>
          <w:color w:val="111827"/>
          <w:sz w:val="22"/>
        </w:rPr>
        <w:t>RMP and Rin were fitted using the paper's −60 mV voltage-clamp logic: 100 ms steps from −70 to −50 mV in 2.5 mV increments. A model value within the population mean ±2 SEM was counted as a comparison pass. This is a transparent engineering criterion, not a same-cell biological interval.</w:t>
      </w:r>
    </w:p>
    <w:p>
      <w:pPr>
        <w:pStyle w:val="Heading1"/>
      </w:pPr>
      <w:r>
        <w:t>7. Passive parameters and result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/>
                <w:b/>
                <w:color w:val="111827"/>
                <w:sz w:val="22"/>
              </w:rPr>
              <w:t>Parameter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/>
                <w:b/>
                <w:color w:val="111827"/>
                <w:sz w:val="22"/>
              </w:rPr>
              <w:t>Final value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/>
                <w:b/>
                <w:color w:val="111827"/>
                <w:sz w:val="22"/>
              </w:rPr>
              <w:t>Basis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color w:val="111827"/>
                <w:sz w:val="22"/>
              </w:rPr>
              <w:t>Ra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color w:val="111827"/>
                <w:sz w:val="22"/>
              </w:rPr>
              <w:t>100 Ω·cm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color w:val="111827"/>
                <w:sz w:val="22"/>
              </w:rPr>
              <w:t>bounded fit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color w:val="111827"/>
                <w:sz w:val="22"/>
              </w:rPr>
              <w:t>cm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color w:val="111827"/>
                <w:sz w:val="22"/>
              </w:rPr>
              <w:t>0.7 µF/cm²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color w:val="111827"/>
                <w:sz w:val="22"/>
              </w:rPr>
              <w:t>plausible bounded fit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color w:val="111827"/>
                <w:sz w:val="22"/>
              </w:rPr>
              <w:t>g_pas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color w:val="111827"/>
                <w:sz w:val="22"/>
              </w:rPr>
              <w:t>1.0×10⁻⁵ S/cm²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color w:val="111827"/>
                <w:sz w:val="22"/>
              </w:rPr>
              <w:t>bounded fit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color w:val="111827"/>
                <w:sz w:val="22"/>
              </w:rPr>
              <w:t>e_pas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color w:val="111827"/>
                <w:sz w:val="22"/>
              </w:rPr>
              <w:t>−52.89 mV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color w:val="111827"/>
                <w:sz w:val="22"/>
              </w:rPr>
              <w:t>population constraint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color w:val="111827"/>
                <w:sz w:val="22"/>
              </w:rPr>
              <w:t>d-lambda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color w:val="111827"/>
                <w:sz w:val="22"/>
              </w:rPr>
              <w:t>0.1 at 100 Hz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color w:val="111827"/>
                <w:sz w:val="22"/>
              </w:rPr>
              <w:t>numerical policy</w:t>
            </w:r>
          </w:p>
        </w:tc>
      </w:tr>
    </w:tbl>
    <w:p>
      <w:pPr>
        <w:spacing w:before="80" w:after="80"/>
      </w:pPr>
    </w:p>
    <w:p>
      <w:r>
        <w:rPr>
          <w:rFonts w:ascii="Calibri" w:hAnsi="Calibri"/>
          <w:color w:val="111827"/>
          <w:sz w:val="22"/>
        </w:rPr>
        <w:t>The passive model produced RMP −52.940 mV and Rin 1,574.08 MΩ: both pass the declared ±2 SEM comparison. Morphology-derived capacitance was 48.68 pF and fails the 5.12 pF population value. This mismatch was preserved because forcing it would require an implausibly small specific membrane capacitance.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179406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ssive_valida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7940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/>
        <w:jc w:val="center"/>
      </w:pPr>
      <w:r>
        <w:rPr>
          <w:rFonts w:ascii="Calibri" w:hAnsi="Calibri"/>
          <w:i/>
          <w:color w:val="666666"/>
          <w:sz w:val="18"/>
        </w:rPr>
        <w:t>Passive validation</w:t>
      </w:r>
    </w:p>
    <w:p>
      <w:pPr>
        <w:pStyle w:val="Heading1"/>
      </w:pPr>
      <w:r>
        <w:t>8. Active firing distribution target</w:t>
      </w:r>
    </w:p>
    <w:p>
      <w:r>
        <w:rPr>
          <w:rFonts w:ascii="Calibri" w:hAnsi="Calibri"/>
          <w:color w:val="111827"/>
          <w:sz w:val="22"/>
        </w:rPr>
        <w:t>The primary target was transient firing and the declared secondary acceptable phenotype was single-spike firing. Automatic classes were based on spike times, late-step voltage, recovery voltage, and response to a later test pulse. A brief response followed by sustained depolarization or failed recovery was classified as depolarization block rather than transient firing.</w:t>
      </w:r>
    </w:p>
    <w:p>
      <w:pPr>
        <w:pStyle w:val="Heading1"/>
      </w:pPr>
      <w:r>
        <w:t>9. Rheobase and first-spike latency</w:t>
      </w:r>
    </w:p>
    <w:p>
      <w:r>
        <w:rPr>
          <w:rFonts w:ascii="Calibri" w:hAnsi="Calibri"/>
          <w:color w:val="111827"/>
          <w:sz w:val="22"/>
        </w:rPr>
        <w:t xml:space="preserve">At 35°C, a −5.3 pA holding current maintained the soma near −60 mV. On the declared current grid, 17 pA was silent and 18 pA produced one spike, giving a rheobase of </w:t>
      </w:r>
      <w:r>
        <w:rPr>
          <w:rFonts w:ascii="Calibri" w:hAnsi="Calibri"/>
          <w:b/>
          <w:color w:val="111827"/>
          <w:sz w:val="22"/>
        </w:rPr>
        <w:t>18 pA</w:t>
      </w:r>
      <w:r>
        <w:rPr>
          <w:rFonts w:ascii="Calibri" w:hAnsi="Calibri"/>
          <w:color w:val="111827"/>
          <w:sz w:val="22"/>
        </w:rPr>
        <w:t xml:space="preserve"> (pass versus 18.30 ± 1.07 pA). First-spike latency was </w:t>
      </w:r>
      <w:r>
        <w:rPr>
          <w:rFonts w:ascii="Calibri" w:hAnsi="Calibri"/>
          <w:b/>
          <w:color w:val="111827"/>
          <w:sz w:val="22"/>
        </w:rPr>
        <w:t>25.25 ms</w:t>
      </w:r>
      <w:r>
        <w:rPr>
          <w:rFonts w:ascii="Calibri" w:hAnsi="Calibri"/>
          <w:color w:val="111827"/>
          <w:sz w:val="22"/>
        </w:rPr>
        <w:t xml:space="preserve"> (fail versus 137.1 ± 6.2 ms). The latency mismatch was not hidden by adding unsupported conductances.</w:t>
      </w:r>
    </w:p>
    <w:p>
      <w:pPr>
        <w:pStyle w:val="Heading1"/>
      </w:pPr>
      <w:r>
        <w:t>10. Channel evidence</w:t>
      </w:r>
    </w:p>
    <w:p>
      <w:r>
        <w:rPr>
          <w:rFonts w:ascii="Calibri" w:hAnsi="Calibri"/>
          <w:color w:val="111827"/>
          <w:sz w:val="22"/>
        </w:rPr>
        <w:t>Fast Na and delayed-rectifier K currents are mechanistically necessary for AP initiation and repolarization. Their densities are fitted model parameters, not measurements from NMO_109005. Rapid A-current had direct population-level prevalence evidence, while KCa was only a Medlock-supported comparator. HCN, T-type Ca, and a distinct slow A-current were not tested because appropriate audited mechanisms or a validated observable requiring them were absent.</w:t>
      </w:r>
    </w:p>
    <w:p>
      <w:pPr>
        <w:pStyle w:val="Heading1"/>
      </w:pPr>
      <w:r>
        <w:t>11. Channels tested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color w:val="111827"/>
          <w:sz w:val="22"/>
        </w:rPr>
        <w:t xml:space="preserve">Model A: </w:t>
      </w:r>
      <w:r>
        <w:rPr>
          <w:rFonts w:ascii="Consolas" w:hAnsi="Consolas"/>
          <w:color w:val="1F4D78"/>
          <w:sz w:val="19"/>
        </w:rPr>
        <w:t>pas + B_Na + B_DR</w:t>
      </w:r>
      <w:r>
        <w:rPr>
          <w:rFonts w:ascii="Calibri" w:hAnsi="Calibri"/>
          <w:color w:val="111827"/>
          <w:sz w:val="22"/>
        </w:rPr>
        <w:t>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color w:val="111827"/>
          <w:sz w:val="22"/>
        </w:rPr>
        <w:t xml:space="preserve">Model B: Model A plus </w:t>
      </w:r>
      <w:r>
        <w:rPr>
          <w:rFonts w:ascii="Consolas" w:hAnsi="Consolas"/>
          <w:color w:val="1F4D78"/>
          <w:sz w:val="19"/>
        </w:rPr>
        <w:t>B_A</w:t>
      </w:r>
      <w:r>
        <w:rPr>
          <w:rFonts w:ascii="Calibri" w:hAnsi="Calibri"/>
          <w:color w:val="111827"/>
          <w:sz w:val="22"/>
        </w:rPr>
        <w:t xml:space="preserve"> at restrained somatodendritic densities.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color w:val="111827"/>
          <w:sz w:val="22"/>
        </w:rPr>
        <w:t>HH2 basic-spiking comparator.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color w:val="111827"/>
          <w:sz w:val="22"/>
        </w:rPr>
        <w:t xml:space="preserve">Paired </w:t>
      </w:r>
      <w:r>
        <w:rPr>
          <w:rFonts w:ascii="Consolas" w:hAnsi="Consolas"/>
          <w:color w:val="1F4D78"/>
          <w:sz w:val="19"/>
        </w:rPr>
        <w:t>iCaL + CaIntraCellDyn + iKCa</w:t>
      </w:r>
      <w:r>
        <w:rPr>
          <w:rFonts w:ascii="Calibri" w:hAnsi="Calibri"/>
          <w:color w:val="111827"/>
          <w:sz w:val="22"/>
        </w:rPr>
        <w:t xml:space="preserve"> comparator.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color w:val="111827"/>
          <w:sz w:val="22"/>
        </w:rPr>
        <w:t xml:space="preserve">HCN, T-type Ca, and a distinct slow A-current: not tested, with reasons recorded in </w:t>
      </w:r>
      <w:r>
        <w:rPr>
          <w:rFonts w:ascii="Consolas" w:hAnsi="Consolas"/>
          <w:color w:val="1F4D78"/>
          <w:sz w:val="19"/>
        </w:rPr>
        <w:t>active_validation.json</w:t>
      </w:r>
      <w:r>
        <w:rPr>
          <w:rFonts w:ascii="Calibri" w:hAnsi="Calibri"/>
          <w:color w:val="111827"/>
          <w:sz w:val="22"/>
        </w:rPr>
        <w:t>.</w:t>
      </w:r>
    </w:p>
    <w:p>
      <w:pPr>
        <w:pStyle w:val="Heading1"/>
      </w:pPr>
      <w:r>
        <w:t>12. Channels retained</w:t>
      </w:r>
    </w:p>
    <w:p>
      <w:r>
        <w:rPr>
          <w:rFonts w:ascii="Calibri" w:hAnsi="Calibri"/>
          <w:color w:val="111827"/>
          <w:sz w:val="22"/>
        </w:rPr>
        <w:t xml:space="preserve">The final complement is </w:t>
      </w:r>
      <w:r>
        <w:rPr>
          <w:rFonts w:ascii="Consolas" w:hAnsi="Consolas"/>
          <w:color w:val="1F4D78"/>
          <w:sz w:val="19"/>
        </w:rPr>
        <w:t>pas</w:t>
      </w:r>
      <w:r>
        <w:rPr>
          <w:rFonts w:ascii="Calibri" w:hAnsi="Calibri"/>
          <w:color w:val="111827"/>
          <w:sz w:val="22"/>
        </w:rPr>
        <w:t xml:space="preserve">, </w:t>
      </w:r>
      <w:r>
        <w:rPr>
          <w:rFonts w:ascii="Consolas" w:hAnsi="Consolas"/>
          <w:color w:val="1F4D78"/>
          <w:sz w:val="19"/>
        </w:rPr>
        <w:t>B_Na</w:t>
      </w:r>
      <w:r>
        <w:rPr>
          <w:rFonts w:ascii="Calibri" w:hAnsi="Calibri"/>
          <w:color w:val="111827"/>
          <w:sz w:val="22"/>
        </w:rPr>
        <w:t xml:space="preserve">, and </w:t>
      </w:r>
      <w:r>
        <w:rPr>
          <w:rFonts w:ascii="Consolas" w:hAnsi="Consolas"/>
          <w:color w:val="1F4D78"/>
          <w:sz w:val="19"/>
        </w:rPr>
        <w:t>B_DR</w:t>
      </w:r>
      <w:r>
        <w:rPr>
          <w:rFonts w:ascii="Calibri" w:hAnsi="Calibri"/>
          <w:color w:val="111827"/>
          <w:sz w:val="22"/>
        </w:rPr>
        <w:t>. It is the largest channel set justified by both evidence and necessity in this task; additional tested channels did not improve the constrained phenotype.</w:t>
      </w:r>
    </w:p>
    <w:p>
      <w:pPr>
        <w:pStyle w:val="Heading1"/>
      </w:pPr>
      <w:r>
        <w:t>13. Channels rejected</w:t>
      </w:r>
    </w:p>
    <w:p>
      <w:r>
        <w:rPr>
          <w:rFonts w:ascii="Consolas" w:hAnsi="Consolas"/>
          <w:color w:val="1F4D78"/>
          <w:sz w:val="19"/>
        </w:rPr>
        <w:t>B_A</w:t>
      </w:r>
      <w:r>
        <w:rPr>
          <w:rFonts w:ascii="Calibri" w:hAnsi="Calibri"/>
          <w:color w:val="111827"/>
          <w:sz w:val="22"/>
        </w:rPr>
        <w:t xml:space="preserve"> shifted rest negative and raised rheobase at restrained densities, while larger values silenced the model; it did not recover the long latency. HH2 produced tonic firing at useful densities, and high-K apparent single-spike regimes were depolarization block. The Ca/KCa comparator reduced firing but did not produce a necessary stable transient, so its complexity was rejected. </w:t>
      </w:r>
      <w:r>
        <w:rPr>
          <w:rFonts w:ascii="Consolas" w:hAnsi="Consolas"/>
          <w:color w:val="1F4D78"/>
          <w:sz w:val="19"/>
        </w:rPr>
        <w:t>iCaL</w:t>
      </w:r>
      <w:r>
        <w:rPr>
          <w:rFonts w:ascii="Calibri" w:hAnsi="Calibri"/>
          <w:color w:val="111827"/>
          <w:sz w:val="22"/>
        </w:rPr>
        <w:t xml:space="preserve"> is L-type and was never treated as evidence for ICaT.</w:t>
      </w:r>
    </w:p>
    <w:p>
      <w:pPr>
        <w:pStyle w:val="Heading1"/>
      </w:pPr>
      <w:r>
        <w:t>14. Reason for every final channel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onsolas" w:hAnsi="Consolas"/>
          <w:color w:val="1F4D78"/>
          <w:sz w:val="19"/>
        </w:rPr>
        <w:t>pas</w:t>
      </w:r>
      <w:r>
        <w:rPr>
          <w:rFonts w:ascii="Calibri" w:hAnsi="Calibri"/>
          <w:color w:val="111827"/>
          <w:sz w:val="22"/>
        </w:rPr>
        <w:t>: defines the fitted subthreshold membrane response.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onsolas" w:hAnsi="Consolas"/>
          <w:color w:val="1F4D78"/>
          <w:sz w:val="19"/>
        </w:rPr>
        <w:t>B_Na</w:t>
      </w:r>
      <w:r>
        <w:rPr>
          <w:rFonts w:ascii="Calibri" w:hAnsi="Calibri"/>
          <w:color w:val="111827"/>
          <w:sz w:val="22"/>
        </w:rPr>
        <w:t>: required for an overshooting action potential.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onsolas" w:hAnsi="Consolas"/>
          <w:color w:val="1F4D78"/>
          <w:sz w:val="19"/>
        </w:rPr>
        <w:t>B_DR</w:t>
      </w:r>
      <w:r>
        <w:rPr>
          <w:rFonts w:ascii="Calibri" w:hAnsi="Calibri"/>
          <w:color w:val="111827"/>
          <w:sz w:val="22"/>
        </w:rPr>
        <w:t>: required for repolarization, stable late-step voltage, and recovery.</w:t>
      </w:r>
    </w:p>
    <w:p>
      <w:pPr>
        <w:pStyle w:val="Heading1"/>
      </w:pPr>
      <w:r>
        <w:t>15. Final conductance table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72"/>
        <w:gridCol w:w="1872"/>
        <w:gridCol w:w="1872"/>
        <w:gridCol w:w="1872"/>
        <w:gridCol w:w="1872"/>
      </w:tblGrid>
      <w:tr>
        <w:trPr>
          <w:cantSplit/>
        </w:trP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/>
                <w:b/>
                <w:color w:val="111827"/>
                <w:sz w:val="22"/>
              </w:rPr>
              <w:t>Mechanism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/>
                <w:b/>
                <w:color w:val="111827"/>
                <w:sz w:val="22"/>
              </w:rPr>
              <w:t>Soma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/>
                <w:b/>
                <w:color w:val="111827"/>
                <w:sz w:val="22"/>
              </w:rPr>
              <w:t>Model-defined proximal native axon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/>
                <w:b/>
                <w:color w:val="111827"/>
                <w:sz w:val="22"/>
              </w:rPr>
              <w:t>Elsewhere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/>
                <w:b/>
                <w:color w:val="111827"/>
                <w:sz w:val="22"/>
              </w:rPr>
              <w:t>Reversal</w:t>
            </w:r>
          </w:p>
        </w:tc>
      </w:tr>
      <w:tr>
        <w:trPr>
          <w:cantSplit/>
        </w:trP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color w:val="111827"/>
                <w:sz w:val="22"/>
              </w:rPr>
              <w:t>B_Na gnabar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color w:val="111827"/>
                <w:sz w:val="22"/>
              </w:rPr>
              <w:t>0.2 S/cm²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color w:val="111827"/>
                <w:sz w:val="22"/>
              </w:rPr>
              <w:t>0.4 S/cm² at path distance ≤20 µm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color w:val="111827"/>
                <w:sz w:val="22"/>
              </w:rPr>
              <w:t>0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color w:val="111827"/>
                <w:sz w:val="22"/>
              </w:rPr>
              <w:t>ENa = +53 mV</w:t>
            </w:r>
          </w:p>
        </w:tc>
      </w:tr>
      <w:tr>
        <w:trPr>
          <w:cantSplit/>
        </w:trP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color w:val="111827"/>
                <w:sz w:val="22"/>
              </w:rPr>
              <w:t>B_DR gkbar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color w:val="111827"/>
                <w:sz w:val="22"/>
              </w:rPr>
              <w:t>0.6 S/cm²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color w:val="111827"/>
                <w:sz w:val="22"/>
              </w:rPr>
              <w:t>1.2 S/cm² at path distance ≤20 µm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color w:val="111827"/>
                <w:sz w:val="22"/>
              </w:rPr>
              <w:t>0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color w:val="111827"/>
                <w:sz w:val="22"/>
              </w:rPr>
              <w:t>EK = −84 mV</w:t>
            </w:r>
          </w:p>
        </w:tc>
      </w:tr>
    </w:tbl>
    <w:p>
      <w:pPr>
        <w:spacing w:before="80" w:after="80"/>
      </w:pPr>
    </w:p>
    <w:p>
      <w:r>
        <w:rPr>
          <w:rFonts w:ascii="Calibri" w:hAnsi="Calibri"/>
          <w:color w:val="111827"/>
          <w:sz w:val="22"/>
        </w:rPr>
        <w:t xml:space="preserve">The active domain is explicitly </w:t>
      </w:r>
      <w:r>
        <w:rPr>
          <w:rFonts w:ascii="Calibri" w:hAnsi="Calibri"/>
          <w:b/>
          <w:color w:val="111827"/>
          <w:sz w:val="22"/>
        </w:rPr>
        <w:t>MODEL-DEFINED</w:t>
      </w:r>
      <w:r>
        <w:rPr>
          <w:rFonts w:ascii="Calibri" w:hAnsi="Calibri"/>
          <w:color w:val="111827"/>
          <w:sz w:val="22"/>
        </w:rPr>
        <w:t>. It changes channel distribution only; no synthetic AIS or other geometry was added to the native partial axon.</w:t>
      </w:r>
    </w:p>
    <w:p>
      <w:pPr>
        <w:pStyle w:val="Heading1"/>
      </w:pPr>
      <w:r>
        <w:t>16. Representative traces</w:t>
      </w:r>
    </w:p>
    <w:p>
      <w:r>
        <w:rPr>
          <w:rFonts w:ascii="Calibri" w:hAnsi="Calibri"/>
          <w:color w:val="111827"/>
          <w:sz w:val="22"/>
        </w:rPr>
        <w:t>The 17 pA trace is subthreshold. Rheobase, 2× rheobase, and the 50 pA strong condition each produce one onset spike. Every panel includes the later 36 pA recovery pulse.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336668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tive_trac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3666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/>
        <w:jc w:val="center"/>
      </w:pPr>
      <w:r>
        <w:rPr>
          <w:rFonts w:ascii="Calibri" w:hAnsi="Calibri"/>
          <w:i/>
          <w:color w:val="666666"/>
          <w:sz w:val="18"/>
        </w:rPr>
        <w:t>Active traces</w:t>
      </w:r>
    </w:p>
    <w:p>
      <w:pPr>
        <w:pStyle w:val="Heading1"/>
      </w:pPr>
      <w:r>
        <w:t>17. Evidence against depolarization block</w:t>
      </w:r>
    </w:p>
    <w:p>
      <w:r>
        <w:rPr>
          <w:rFonts w:ascii="Calibri" w:hAnsi="Calibri"/>
          <w:color w:val="111827"/>
          <w:sz w:val="22"/>
        </w:rPr>
        <w:t>At rheobase, the late-step Vm was −52.73 mV, the AP peak was +10.18 mV, voltage returned within 3 mV of the pre-step value, and the later test pulse elicited another spike. No current in the 0–50 pA final series met the automatic depolarization-block rule. The single-spike phenotype is therefore a stable cessation of firing, not failed recovery at a strongly depolarized voltage.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355658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ring_validat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5565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/>
        <w:jc w:val="center"/>
      </w:pPr>
      <w:r>
        <w:rPr>
          <w:rFonts w:ascii="Calibri" w:hAnsi="Calibri"/>
          <w:i/>
          <w:color w:val="666666"/>
          <w:sz w:val="18"/>
        </w:rPr>
        <w:t>Firing validation</w:t>
      </w:r>
    </w:p>
    <w:p>
      <w:pPr>
        <w:pStyle w:val="Heading1"/>
      </w:pPr>
      <w:r>
        <w:t>18. Translation to 35°C</w:t>
      </w:r>
    </w:p>
    <w:p>
      <w:r>
        <w:rPr>
          <w:rFonts w:ascii="Consolas" w:hAnsi="Consolas"/>
          <w:color w:val="1F4D78"/>
          <w:sz w:val="19"/>
        </w:rPr>
        <w:t>h.celsius</w:t>
      </w:r>
      <w:r>
        <w:rPr>
          <w:rFonts w:ascii="Calibri" w:hAnsi="Calibri"/>
          <w:color w:val="111827"/>
          <w:sz w:val="22"/>
        </w:rPr>
        <w:t xml:space="preserve"> is set to 35 before initialization. Source audit found that </w:t>
      </w:r>
      <w:r>
        <w:rPr>
          <w:rFonts w:ascii="Consolas" w:hAnsi="Consolas"/>
          <w:color w:val="1F4D78"/>
          <w:sz w:val="19"/>
        </w:rPr>
        <w:t>B_Na</w:t>
      </w:r>
      <w:r>
        <w:rPr>
          <w:rFonts w:ascii="Calibri" w:hAnsi="Calibri"/>
          <w:color w:val="111827"/>
          <w:sz w:val="22"/>
        </w:rPr>
        <w:t xml:space="preserve"> computes a Q10=3 </w:t>
      </w:r>
      <w:r>
        <w:rPr>
          <w:rFonts w:ascii="Consolas" w:hAnsi="Consolas"/>
          <w:color w:val="1F4D78"/>
          <w:sz w:val="19"/>
        </w:rPr>
        <w:t>tadj</w:t>
      </w:r>
      <w:r>
        <w:rPr>
          <w:rFonts w:ascii="Calibri" w:hAnsi="Calibri"/>
          <w:color w:val="111827"/>
          <w:sz w:val="22"/>
        </w:rPr>
        <w:t xml:space="preserve"> relative to 23°C but uses </w:t>
      </w:r>
      <w:r>
        <w:rPr>
          <w:rFonts w:ascii="Consolas" w:hAnsi="Consolas"/>
          <w:color w:val="1F4D78"/>
          <w:sz w:val="19"/>
        </w:rPr>
        <w:t>tau_factor</w:t>
      </w:r>
      <w:r>
        <w:rPr>
          <w:rFonts w:ascii="Calibri" w:hAnsi="Calibri"/>
          <w:color w:val="111827"/>
          <w:sz w:val="22"/>
        </w:rPr>
        <w:t xml:space="preserve">, not </w:t>
      </w:r>
      <w:r>
        <w:rPr>
          <w:rFonts w:ascii="Consolas" w:hAnsi="Consolas"/>
          <w:color w:val="1F4D78"/>
          <w:sz w:val="19"/>
        </w:rPr>
        <w:t>tadj</w:t>
      </w:r>
      <w:r>
        <w:rPr>
          <w:rFonts w:ascii="Calibri" w:hAnsi="Calibri"/>
          <w:color w:val="111827"/>
          <w:sz w:val="22"/>
        </w:rPr>
        <w:t xml:space="preserve">, in gate tau; </w:t>
      </w:r>
      <w:r>
        <w:rPr>
          <w:rFonts w:ascii="Consolas" w:hAnsi="Consolas"/>
          <w:color w:val="1F4D78"/>
          <w:sz w:val="19"/>
        </w:rPr>
        <w:t>B_DR</w:t>
      </w:r>
      <w:r>
        <w:rPr>
          <w:rFonts w:ascii="Calibri" w:hAnsi="Calibri"/>
          <w:color w:val="111827"/>
          <w:sz w:val="22"/>
        </w:rPr>
        <w:t xml:space="preserve"> computes </w:t>
      </w:r>
      <w:r>
        <w:rPr>
          <w:rFonts w:ascii="Consolas" w:hAnsi="Consolas"/>
          <w:color w:val="1F4D78"/>
          <w:sz w:val="19"/>
        </w:rPr>
        <w:t>tadj</w:t>
      </w:r>
      <w:r>
        <w:rPr>
          <w:rFonts w:ascii="Calibri" w:hAnsi="Calibri"/>
          <w:color w:val="111827"/>
          <w:sz w:val="22"/>
        </w:rPr>
        <w:t xml:space="preserve"> and never applies it. With tables disabled, 23°C and 35°C traces are numerically identical. The accurate statement is therefore: </w:t>
      </w:r>
      <w:r>
        <w:rPr>
          <w:rFonts w:ascii="Calibri" w:hAnsi="Calibri"/>
          <w:b/>
          <w:color w:val="111827"/>
          <w:sz w:val="22"/>
        </w:rPr>
        <w:t>35°C project-condition model constrained by room-temperature GRP population data, with retained channel kinetics effectively temperature-independent</w:t>
      </w:r>
      <w:r>
        <w:rPr>
          <w:rFonts w:ascii="Calibri" w:hAnsi="Calibri"/>
          <w:color w:val="111827"/>
          <w:sz w:val="22"/>
        </w:rPr>
        <w:t>. This is a material limitation, not evidence of a validated physiological temperature translation.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443875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erature_channel_comparis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4387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/>
        <w:jc w:val="center"/>
      </w:pPr>
      <w:r>
        <w:rPr>
          <w:rFonts w:ascii="Calibri" w:hAnsi="Calibri"/>
          <w:i/>
          <w:color w:val="666666"/>
          <w:sz w:val="18"/>
        </w:rPr>
        <w:t>Temperature audit</w:t>
      </w:r>
    </w:p>
    <w:p>
      <w:pPr>
        <w:pStyle w:val="Heading1"/>
      </w:pPr>
      <w:r>
        <w:t>19. Numerical robustness</w:t>
      </w:r>
    </w:p>
    <w:p>
      <w:r>
        <w:rPr>
          <w:rFonts w:ascii="Calibri" w:hAnsi="Calibri"/>
          <w:color w:val="111827"/>
          <w:sz w:val="22"/>
        </w:rPr>
        <w:t xml:space="preserve">Halving dt from 0.025 to 0.0125 ms and tightening d-lambda from 0.1 to 0.05 left rheobase at 18 pA, the single-spike phenotype intact, and metrics nearly unchanged. Independent ±10% channel tests preserved a non-blocking single-spike/transient-compatible rheobase response and recovery. Rheobase ranged from 16 to 22 pA; Na −10% moved it 4 pA above baseline, so robustness is </w:t>
      </w:r>
      <w:r>
        <w:rPr>
          <w:rFonts w:ascii="Calibri" w:hAnsi="Calibri"/>
          <w:b/>
          <w:color w:val="111827"/>
          <w:sz w:val="22"/>
        </w:rPr>
        <w:t>PARTIAL</w:t>
      </w:r>
      <w:r>
        <w:rPr>
          <w:rFonts w:ascii="Calibri" w:hAnsi="Calibri"/>
          <w:color w:val="111827"/>
          <w:sz w:val="22"/>
        </w:rPr>
        <w:t>, not PASS.</w:t>
      </w:r>
    </w:p>
    <w:p>
      <w:pPr>
        <w:pStyle w:val="Heading1"/>
      </w:pPr>
      <w:r>
        <w:t>20. Known limitations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color w:val="111827"/>
          <w:sz w:val="22"/>
        </w:rPr>
        <w:t>No same-cell physiology is linked to NMO_109005.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color w:val="111827"/>
          <w:sz w:val="22"/>
        </w:rPr>
        <w:t>GRP identity does not uniquely establish eTrC membership.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color w:val="111827"/>
          <w:sz w:val="22"/>
        </w:rPr>
        <w:t>Whole-cell capacitance is incompatible with the full reconstructed area under plausible cm.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color w:val="111827"/>
          <w:sz w:val="22"/>
        </w:rPr>
        <w:t>The final active model has natural RMP −55.67 mV and Rin 464.24 MΩ; active Rin fails the GRP population target and active RMP falls outside mean ±2 SEM.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color w:val="111827"/>
          <w:sz w:val="22"/>
        </w:rPr>
        <w:t>First-spike latency is much too short.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color w:val="111827"/>
          <w:sz w:val="22"/>
        </w:rPr>
        <w:t>The 20 µm active domain is model-defined rather than reconstructed AIS anatomy.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color w:val="111827"/>
          <w:sz w:val="22"/>
        </w:rPr>
        <w:t>Retained B_Na/B_DR kinetics are effectively temperature-independent.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color w:val="111827"/>
          <w:sz w:val="22"/>
        </w:rPr>
        <w:t>Synapses and network behavior were not tested; the mandated build order stops at failed single-cell gates.</w:t>
      </w:r>
    </w:p>
    <w:p>
      <w:pPr>
        <w:pStyle w:val="Heading1"/>
      </w:pPr>
      <w:r>
        <w:t>21. Final readiness decision</w:t>
      </w:r>
    </w:p>
    <w:p>
      <w:r>
        <w:rPr>
          <w:rFonts w:ascii="Calibri" w:hAnsi="Calibri"/>
          <w:b/>
          <w:color w:val="111827"/>
          <w:sz w:val="22"/>
        </w:rPr>
        <w:t>ENGINEERING READY / BIOLOGICALLY PROVISIONAL.</w:t>
      </w:r>
      <w:r>
        <w:rPr>
          <w:rFonts w:ascii="Calibri" w:hAnsi="Calibri"/>
          <w:color w:val="111827"/>
          <w:sz w:val="22"/>
        </w:rPr>
        <w:t xml:space="preserve"> The package is reproducible, self-contained, numerically stable, morphology-constrained, and honest about failures. It is </w:t>
      </w:r>
      <w:r>
        <w:rPr>
          <w:rFonts w:ascii="Calibri" w:hAnsi="Calibri"/>
          <w:b/>
          <w:color w:val="111827"/>
          <w:sz w:val="22"/>
        </w:rPr>
        <w:t>not ready for network integration</w:t>
      </w:r>
      <w:r>
        <w:rPr>
          <w:rFonts w:ascii="Calibri" w:hAnsi="Calibri"/>
          <w:color w:val="111827"/>
          <w:sz w:val="22"/>
        </w:rPr>
        <w:t xml:space="preserve"> because active-model Rin and latency remain failed single-cell gates. Synapse unit tests and scaled-population tests should wait until those biological gaps are resolved with better-supported mechanisms or same-cell/closer-class data.</w:t>
      </w:r>
    </w:p>
    <w:p>
      <w:pPr>
        <w:pStyle w:val="Heading1"/>
      </w:pPr>
      <w:r>
        <w:t>22. Exact reproduction command</w:t>
      </w:r>
    </w:p>
    <w:p>
      <w:r>
        <w:rPr>
          <w:rFonts w:ascii="Calibri" w:hAnsi="Calibri"/>
          <w:color w:val="111827"/>
          <w:sz w:val="22"/>
        </w:rPr>
        <w:t>From either target repository root in a Linux NEURON environment:</w:t>
      </w:r>
    </w:p>
    <w:p>
      <w:pPr>
        <w:spacing w:before="80" w:after="160"/>
        <w:ind w:left="360" w:right="360"/>
        <w:shd w:fill="F2F4F7"/>
      </w:pPr>
      <w:r>
        <w:rPr>
          <w:rFonts w:ascii="Consolas" w:hAnsi="Consolas"/>
          <w:color w:val="1F4D78"/>
          <w:sz w:val="19"/>
        </w:rPr>
        <w:t>python cells/eTrc/scripts/run_eTrC_final.py</w:t>
      </w:r>
    </w:p>
    <w:p>
      <w:r>
        <w:rPr>
          <w:rFonts w:ascii="Calibri" w:hAnsi="Calibri"/>
          <w:color w:val="111827"/>
          <w:sz w:val="22"/>
        </w:rPr>
        <w:t>For the full staged audit and robustness set:</w:t>
      </w:r>
    </w:p>
    <w:p>
      <w:pPr>
        <w:spacing w:before="80" w:after="160"/>
        <w:ind w:left="360" w:right="360"/>
        <w:shd w:fill="F2F4F7"/>
      </w:pPr>
      <w:r>
        <w:rPr>
          <w:rFonts w:ascii="Consolas" w:hAnsi="Consolas"/>
          <w:color w:val="1F4D78"/>
          <w:sz w:val="19"/>
        </w:rPr>
        <w:t>python cells/eTrc/scripts/fit_active.py</w:t>
      </w:r>
    </w:p>
    <w:p>
      <w:pPr>
        <w:pStyle w:val="Heading1"/>
      </w:pPr>
      <w:r>
        <w:t>References</w:t>
      </w:r>
    </w:p>
    <w:p>
      <w:r>
        <w:rPr>
          <w:rFonts w:ascii="Calibri" w:hAnsi="Calibri"/>
          <w:color w:val="111827"/>
          <w:sz w:val="22"/>
        </w:rPr>
        <w:t xml:space="preserve">1. Dickie AC et al. Morphological and functional properties distinguish the substance P and gastrin-releasing peptide subsets of excitatory interneuron in the spinal cord dorsal horn. *PAIN*. 2019;160:442–462. </w:t>
      </w:r>
      <w:hyperlink r:id="rId16">
        <w:r>
          <w:rPr>
            <w:color w:val="2E74B5"/>
            <w:u w:val="single"/>
          </w:rPr>
          <w:t>DOI 10.1097/j.pain.0000000000001406</w:t>
        </w:r>
      </w:hyperlink>
      <w:r>
        <w:rPr>
          <w:rFonts w:ascii="Calibri" w:hAnsi="Calibri"/>
          <w:color w:val="111827"/>
          <w:sz w:val="22"/>
        </w:rPr>
        <w:t xml:space="preserve">; </w:t>
      </w:r>
      <w:hyperlink r:id="rId17">
        <w:r>
          <w:rPr>
            <w:color w:val="2E74B5"/>
            <w:u w:val="single"/>
          </w:rPr>
          <w:t>PMCID PMC6330098</w:t>
        </w:r>
      </w:hyperlink>
      <w:r>
        <w:rPr>
          <w:rFonts w:ascii="Calibri" w:hAnsi="Calibri"/>
          <w:color w:val="111827"/>
          <w:sz w:val="22"/>
        </w:rPr>
        <w:t xml:space="preserve">. 2. NeuroMorpho.Org. </w:t>
      </w:r>
      <w:hyperlink r:id="rId18">
        <w:r>
          <w:rPr>
            <w:color w:val="2E74B5"/>
            <w:u w:val="single"/>
          </w:rPr>
          <w:t>26-11-14-A-A6 / NMO_109005</w:t>
        </w:r>
      </w:hyperlink>
      <w:r>
        <w:rPr>
          <w:rFonts w:ascii="Calibri" w:hAnsi="Calibri"/>
          <w:color w:val="111827"/>
          <w:sz w:val="22"/>
        </w:rPr>
        <w:t xml:space="preserve">. 3. ModelDB 267056. </w:t>
      </w:r>
      <w:hyperlink r:id="rId19">
        <w:r>
          <w:rPr>
            <w:color w:val="2E74B5"/>
            <w:u w:val="single"/>
          </w:rPr>
          <w:t>Medlock dorsal-horn model mechanism source</w:t>
        </w:r>
      </w:hyperlink>
      <w:r>
        <w:rPr>
          <w:rFonts w:ascii="Calibri" w:hAnsi="Calibri"/>
          <w:color w:val="111827"/>
          <w:sz w:val="22"/>
        </w:rPr>
        <w:t>.</w:t>
      </w:r>
    </w:p>
    <w:p>
      <w:r>
        <w:rPr>
          <w:rFonts w:ascii="Calibri" w:hAnsi="Calibri"/>
          <w:color w:val="111827"/>
          <w:sz w:val="22"/>
        </w:rPr>
        <w:t xml:space="preserve">The machine-readable evidence matrix is </w:t>
      </w:r>
      <w:r>
        <w:rPr>
          <w:rFonts w:ascii="Consolas" w:hAnsi="Consolas"/>
          <w:color w:val="1F4D78"/>
          <w:sz w:val="19"/>
        </w:rPr>
        <w:t>../evidence/evidence_matrix.csv</w:t>
      </w:r>
      <w:r>
        <w:rPr>
          <w:rFonts w:ascii="Calibri" w:hAnsi="Calibri"/>
          <w:color w:val="111827"/>
          <w:sz w:val="22"/>
        </w:rPr>
        <w:t xml:space="preserve">; detailed protocol metrics are in </w:t>
      </w:r>
      <w:r>
        <w:rPr>
          <w:rFonts w:ascii="Consolas" w:hAnsi="Consolas"/>
          <w:color w:val="1F4D78"/>
          <w:sz w:val="19"/>
        </w:rPr>
        <w:t>../results/</w:t>
      </w:r>
      <w:r>
        <w:rPr>
          <w:rFonts w:ascii="Calibri" w:hAnsi="Calibri"/>
          <w:color w:val="111827"/>
          <w:sz w:val="22"/>
        </w:rPr>
        <w:t>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666666"/>
        <w:sz w:val="18"/>
      </w:rP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dxa" w:w="9360"/>
      <w:jc w:val="left"/>
      <w:tblLayout w:type="fixed"/>
      <w:tblLook w:firstColumn="1" w:firstRow="1" w:lastColumn="0" w:lastRow="0" w:noHBand="0" w:noVBand="1" w:val="04A0"/>
      <w:tblInd w:w="120" w:type="dxa"/>
    </w:tblPr>
    <w:tblGrid>
      <w:gridCol w:w="4680"/>
      <w:gridCol w:w="4680"/>
    </w:tblGrid>
    <w:tr>
      <w:trPr>
        <w:cantSplit/>
      </w:trPr>
      <w:tc>
        <w:tcPr>
          <w:tcW w:type="dxa" w:w="4680"/>
          <w:tcMar>
            <w:top w:w="80" w:type="dxa"/>
            <w:start w:w="120" w:type="dxa"/>
            <w:bottom w:w="80" w:type="dxa"/>
            <w:end w:w="120" w:type="dxa"/>
          </w:tcMar>
          <w:vAlign w:val="center"/>
          <w:tcBorders/>
        </w:tcPr>
        <w:p>
          <w:pPr>
            <w:jc w:val="left"/>
          </w:pPr>
          <w:r>
            <w:rPr>
              <w:rFonts w:ascii="Calibri" w:hAnsi="Calibri"/>
              <w:b/>
              <w:color w:val="666666"/>
              <w:sz w:val="17"/>
            </w:rPr>
            <w:t>NMO_109005 | Complete Model Report</w:t>
          </w:r>
        </w:p>
      </w:tc>
      <w:tc>
        <w:tcPr>
          <w:tcW w:type="dxa" w:w="4680"/>
          <w:tcMar>
            <w:top w:w="80" w:type="dxa"/>
            <w:start w:w="120" w:type="dxa"/>
            <w:bottom w:w="80" w:type="dxa"/>
            <w:end w:w="120" w:type="dxa"/>
          </w:tcMar>
          <w:vAlign w:val="center"/>
          <w:tcBorders/>
        </w:tcPr>
        <w:p>
          <w:pPr>
            <w:jc w:val="right"/>
          </w:pPr>
          <w:r>
            <w:rPr>
              <w:rFonts w:ascii="Calibri" w:hAnsi="Calibri"/>
              <w:color w:val="666666"/>
              <w:sz w:val="17"/>
            </w:rPr>
            <w:t>eTrC-like model • 35°C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color w:val="1118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hyperlink" Target="https://doi.org/10.1097/j.pain.0000000000001406" TargetMode="External"/><Relationship Id="rId17" Type="http://schemas.openxmlformats.org/officeDocument/2006/relationships/hyperlink" Target="https://pmc.ncbi.nlm.nih.gov/articles/PMC6330098/" TargetMode="External"/><Relationship Id="rId18" Type="http://schemas.openxmlformats.org/officeDocument/2006/relationships/hyperlink" Target="https://neuromorpho.org/neuron_info.jsp?neuron_name=26-11-14-A-A6" TargetMode="External"/><Relationship Id="rId19" Type="http://schemas.openxmlformats.org/officeDocument/2006/relationships/hyperlink" Target="https://modeldb.science/26705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NMO_109005 GRP eTrC-like model — Complete Report</dc:title>
  <dc:subject>Morphology-constrained NEURON model validation at 35°C</dc:subject>
  <dc:creator>NeuropathicPain_Model project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