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6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A3</w:t>
            </w:r>
          </w:p>
        </w:tc>
      </w:tr>
      <w:tr>
        <w:trPr>
          <w:trHeight w:val="360" w:hRule="auto"/>
          <w:tblHeader/>
        </w:trPr>
        header2
        <w:tc>
          <w:tcPr>
            <w:gridSpan w:val="6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 Interaction Linear Mixed Model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unstB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[-0.45, 0.01]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[-0.43, -0.31]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trial_block1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[0.27, 0.43]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trial_block2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[0.25, 0.40]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[0.40, 0.69]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Evaluation1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.003**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[-0.29, -0.06]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.001. CL = Cognitive Load; CI = Confidence Interval.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2024-08-16T08:58:59Z</dcterms:modified>
  <cp:category/>
</cp:coreProperties>
</file>