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Group 10: Jennifer Liang, Ruochen Ji, Harsh Dedhiya, Nikita Pandya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Prof. Donham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CS411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September 27, 2017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Proposal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Moodvie: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What is Moodvie? When it is movie night and you don’t know what to watch… snap a selfie and let your mood decide! Upload your selfie to our website and using Microsoft’s Emotion API and the Netflix API, we will recommend the perfect movie or TV show to go with your mood, like a comedy when you’re happy or an action movie when you’re angry.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All-In-One Travel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What is All-In-One Travel? Sometimes, people want to go on a trip but don’t want to spend hours on making a travel plan. They would need to consider many factors such as plane fares, hotel prices, local entertainment, and food. It would be convenient to have someone else help you plan everything out in one place. All-In-One travel will be a web application that would make planning trips easy by creating an itinerary for you. It would also be great for people who want to be spontaneous with their travel plan, because the application will allow the user the option to let the algorithm decide the destination of their next vacation. The user simply enters a budget, duration, and destination (optional) of their desired vacation, and the website will return possible destinations, with flights, hotels, and places to eat and see using the TripAdvisor and Expedia APIs.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