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3E504" w14:textId="4FE3BA1E" w:rsidR="0068330C" w:rsidRDefault="0068330C" w:rsidP="0068330C">
      <w:r w:rsidRPr="0068330C">
        <w:t>Break Free from the '</w:t>
      </w:r>
      <w:proofErr w:type="spellStart"/>
      <w:r w:rsidRPr="0068330C">
        <w:t>any'thing</w:t>
      </w:r>
      <w:proofErr w:type="spellEnd"/>
      <w:r w:rsidRPr="0068330C">
        <w:t xml:space="preserve"> Goes Mentalit</w:t>
      </w:r>
      <w:r>
        <w:t>y</w:t>
      </w:r>
      <w:r w:rsidR="00153973">
        <w:t>, adopt INTERFACES</w:t>
      </w:r>
      <w:r>
        <w:t xml:space="preserve"> </w:t>
      </w:r>
    </w:p>
    <w:p w14:paraId="1257B86E" w14:textId="185088FC" w:rsidR="0068330C" w:rsidRPr="0068330C" w:rsidRDefault="0068330C" w:rsidP="0068330C">
      <w:r w:rsidRPr="0068330C">
        <w:t xml:space="preserve">Interfaces play a crucial role in defining custom types and ensuring that objects adhere to a specific structure. They provide a blueprint for classes and objects, making code more maintainable and less </w:t>
      </w:r>
      <w:proofErr w:type="gramStart"/>
      <w:r w:rsidRPr="0068330C">
        <w:t>error-prone</w:t>
      </w:r>
      <w:proofErr w:type="gramEnd"/>
      <w:r w:rsidRPr="0068330C">
        <w:t>.</w:t>
      </w:r>
    </w:p>
    <w:p w14:paraId="6D583FAE" w14:textId="17647966" w:rsidR="00C0546E" w:rsidRDefault="0068330C">
      <w:r>
        <w:t xml:space="preserve">BASIC Interface: </w:t>
      </w:r>
    </w:p>
    <w:p w14:paraId="0491FF3F" w14:textId="314B7136" w:rsidR="0068330C" w:rsidRDefault="0068330C">
      <w:r>
        <w:rPr>
          <w:noProof/>
        </w:rPr>
        <w:drawing>
          <wp:inline distT="0" distB="0" distL="0" distR="0" wp14:anchorId="4C4EAFF5" wp14:editId="4D0E1BC0">
            <wp:extent cx="3733800" cy="3450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36031" cy="3452281"/>
                    </a:xfrm>
                    <a:prstGeom prst="rect">
                      <a:avLst/>
                    </a:prstGeom>
                  </pic:spPr>
                </pic:pic>
              </a:graphicData>
            </a:graphic>
          </wp:inline>
        </w:drawing>
      </w:r>
    </w:p>
    <w:p w14:paraId="36430400" w14:textId="545AC0F6" w:rsidR="0068330C" w:rsidRDefault="0068330C">
      <w:r w:rsidRPr="0068330C">
        <w:t>Here, the Person interface defines the structure of an object with name and age properties. The greet function takes an argument of type Person, ensuring that the object passed to it conforms to the specified structure.</w:t>
      </w:r>
    </w:p>
    <w:p w14:paraId="1FD73F7A" w14:textId="77777777" w:rsidR="0068330C" w:rsidRDefault="0068330C"/>
    <w:p w14:paraId="38A985AB" w14:textId="1FAAFE7E" w:rsidR="0068330C" w:rsidRDefault="0068330C">
      <w:r>
        <w:t>EXTENDED Interface:</w:t>
      </w:r>
    </w:p>
    <w:p w14:paraId="7DF1F313" w14:textId="388EDBBF" w:rsidR="0068330C" w:rsidRDefault="0068330C">
      <w:r>
        <w:rPr>
          <w:noProof/>
        </w:rPr>
        <w:drawing>
          <wp:inline distT="0" distB="0" distL="0" distR="0" wp14:anchorId="6E2C622E" wp14:editId="17FE1204">
            <wp:extent cx="5943600" cy="1165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65225"/>
                    </a:xfrm>
                    <a:prstGeom prst="rect">
                      <a:avLst/>
                    </a:prstGeom>
                  </pic:spPr>
                </pic:pic>
              </a:graphicData>
            </a:graphic>
          </wp:inline>
        </w:drawing>
      </w:r>
    </w:p>
    <w:p w14:paraId="5B90FC29" w14:textId="5880BEBD" w:rsidR="00153973" w:rsidRDefault="00153973">
      <w:r w:rsidRPr="00153973">
        <w:t xml:space="preserve">The Employee interface extends the Person interface, inheriting its properties while adding the </w:t>
      </w:r>
      <w:proofErr w:type="spellStart"/>
      <w:r w:rsidRPr="00153973">
        <w:t>employeeId</w:t>
      </w:r>
      <w:proofErr w:type="spellEnd"/>
      <w:r w:rsidRPr="00153973">
        <w:t xml:space="preserve"> property. This promotes code reusability and maintains a clear structure.</w:t>
      </w:r>
    </w:p>
    <w:p w14:paraId="5E224E5F" w14:textId="4EB0C387" w:rsidR="00153973" w:rsidRDefault="00153973"/>
    <w:p w14:paraId="6E49FE76" w14:textId="0BE25AFB" w:rsidR="00153973" w:rsidRDefault="00153973">
      <w:r>
        <w:lastRenderedPageBreak/>
        <w:t xml:space="preserve">BASIC rules - why not to use ANY: </w:t>
      </w:r>
    </w:p>
    <w:p w14:paraId="696BF683" w14:textId="111BDA23" w:rsidR="00153973" w:rsidRDefault="00153973" w:rsidP="00153973">
      <w:r>
        <w:t xml:space="preserve">1. </w:t>
      </w:r>
      <w:r w:rsidRPr="00153973">
        <w:rPr>
          <w:b/>
          <w:bCs/>
        </w:rPr>
        <w:t>Type Safety</w:t>
      </w:r>
      <w:r>
        <w:t xml:space="preserve"> net</w:t>
      </w:r>
      <w:r>
        <w:t>:</w:t>
      </w:r>
    </w:p>
    <w:p w14:paraId="6DDCE62A" w14:textId="77777777" w:rsidR="00153973" w:rsidRDefault="00153973" w:rsidP="00153973">
      <w:r>
        <w:t>TypeScript's primary goal is to provide a statically typed environment for JavaScript. Using 'any' undermines this goal, as it essentially opts out of type checking. Avoiding 'any' promotes stronger type safety and helps catch potential issues during development.</w:t>
      </w:r>
    </w:p>
    <w:p w14:paraId="4E76CCA6" w14:textId="77777777" w:rsidR="00153973" w:rsidRDefault="00153973" w:rsidP="00153973"/>
    <w:p w14:paraId="3E95CBA7" w14:textId="0F021AF7" w:rsidR="00153973" w:rsidRDefault="00153973" w:rsidP="00153973">
      <w:r>
        <w:t xml:space="preserve">2. </w:t>
      </w:r>
      <w:r>
        <w:t xml:space="preserve">Work in Harmony - </w:t>
      </w:r>
      <w:r w:rsidRPr="00153973">
        <w:rPr>
          <w:b/>
          <w:bCs/>
        </w:rPr>
        <w:t>Interface Consistency</w:t>
      </w:r>
      <w:r>
        <w:t>:</w:t>
      </w:r>
    </w:p>
    <w:p w14:paraId="13B2AD39" w14:textId="77777777" w:rsidR="00153973" w:rsidRDefault="00153973" w:rsidP="00153973">
      <w:r>
        <w:t>Interfaces encourage code consistency and contract adherence. By defining clear interfaces, you ensure that your functions and objects follow a standardized structure, making your codebase more readable and maintainable.</w:t>
      </w:r>
    </w:p>
    <w:p w14:paraId="48AC183B" w14:textId="77777777" w:rsidR="00153973" w:rsidRDefault="00153973" w:rsidP="00153973"/>
    <w:p w14:paraId="0D2A75F0" w14:textId="2909E0D8" w:rsidR="00153973" w:rsidRDefault="00153973" w:rsidP="00153973">
      <w:r>
        <w:t xml:space="preserve">3. </w:t>
      </w:r>
      <w:r>
        <w:t xml:space="preserve">keep it tidy - </w:t>
      </w:r>
      <w:r w:rsidRPr="00153973">
        <w:rPr>
          <w:b/>
          <w:bCs/>
        </w:rPr>
        <w:t>Maintainability</w:t>
      </w:r>
      <w:r>
        <w:t>:</w:t>
      </w:r>
    </w:p>
    <w:p w14:paraId="05C902E3" w14:textId="0953889C" w:rsidR="00153973" w:rsidRDefault="00153973" w:rsidP="00153973">
      <w:r>
        <w:t>Using 'any' can lead to code that is difficult to maintain. As your codebase grows, the lack of type information makes it challenging to understand the expected shapes of variables and objects, increasing the likelihood of bugs.</w:t>
      </w:r>
    </w:p>
    <w:p w14:paraId="64AC7F11" w14:textId="4893AA6F" w:rsidR="00153973" w:rsidRDefault="00153973" w:rsidP="00153973"/>
    <w:p w14:paraId="5C2294AC" w14:textId="30E5659E" w:rsidR="00153973" w:rsidRPr="00153973" w:rsidRDefault="00153973" w:rsidP="00153973">
      <w:pPr>
        <w:rPr>
          <w:b/>
          <w:bCs/>
          <w:i/>
          <w:iCs/>
        </w:rPr>
      </w:pPr>
      <w:r w:rsidRPr="00153973">
        <w:rPr>
          <w:b/>
          <w:bCs/>
          <w:i/>
          <w:iCs/>
        </w:rPr>
        <w:t xml:space="preserve">Para </w:t>
      </w:r>
      <w:proofErr w:type="spellStart"/>
      <w:r w:rsidRPr="00153973">
        <w:rPr>
          <w:b/>
          <w:bCs/>
          <w:i/>
          <w:iCs/>
        </w:rPr>
        <w:t>concluir</w:t>
      </w:r>
      <w:proofErr w:type="spellEnd"/>
      <w:r>
        <w:t>, b</w:t>
      </w:r>
      <w:r>
        <w:t>y adhering to best practices and avoiding the use of 'any,' developers can leverage the full potential of TypeScript's static typing capabilities, catching errors early in the development process and fostering a more reliable and scalable codebase.</w:t>
      </w:r>
    </w:p>
    <w:p w14:paraId="35AE7363" w14:textId="77777777" w:rsidR="00153973" w:rsidRDefault="00153973" w:rsidP="00153973"/>
    <w:p w14:paraId="008D5BD5" w14:textId="77777777" w:rsidR="00153973" w:rsidRDefault="00153973" w:rsidP="00153973"/>
    <w:p w14:paraId="4A08BD11" w14:textId="77777777" w:rsidR="00153973" w:rsidRDefault="00153973" w:rsidP="00153973"/>
    <w:p w14:paraId="4C4A01FA" w14:textId="77777777" w:rsidR="00153973" w:rsidRDefault="00153973" w:rsidP="00153973"/>
    <w:p w14:paraId="2CD91ED1" w14:textId="77777777" w:rsidR="00153973" w:rsidRDefault="00153973" w:rsidP="00153973"/>
    <w:sectPr w:rsidR="001539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63476" w14:textId="77777777" w:rsidR="0030642A" w:rsidRDefault="0030642A" w:rsidP="00153973">
      <w:pPr>
        <w:spacing w:after="0" w:line="240" w:lineRule="auto"/>
      </w:pPr>
      <w:r>
        <w:separator/>
      </w:r>
    </w:p>
  </w:endnote>
  <w:endnote w:type="continuationSeparator" w:id="0">
    <w:p w14:paraId="7FACC907" w14:textId="77777777" w:rsidR="0030642A" w:rsidRDefault="0030642A" w:rsidP="00153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533E1" w14:textId="77777777" w:rsidR="0030642A" w:rsidRDefault="0030642A" w:rsidP="00153973">
      <w:pPr>
        <w:spacing w:after="0" w:line="240" w:lineRule="auto"/>
      </w:pPr>
      <w:r>
        <w:separator/>
      </w:r>
    </w:p>
  </w:footnote>
  <w:footnote w:type="continuationSeparator" w:id="0">
    <w:p w14:paraId="39F2F8BB" w14:textId="77777777" w:rsidR="0030642A" w:rsidRDefault="0030642A" w:rsidP="001539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506"/>
    <w:rsid w:val="000A7996"/>
    <w:rsid w:val="00153973"/>
    <w:rsid w:val="00177419"/>
    <w:rsid w:val="00236C52"/>
    <w:rsid w:val="0030642A"/>
    <w:rsid w:val="0068330C"/>
    <w:rsid w:val="008F4506"/>
    <w:rsid w:val="00C054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9391E3"/>
  <w15:chartTrackingRefBased/>
  <w15:docId w15:val="{E0041F1C-51E5-4363-B3B2-925A54232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99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094852">
      <w:bodyDiv w:val="1"/>
      <w:marLeft w:val="0"/>
      <w:marRight w:val="0"/>
      <w:marTop w:val="0"/>
      <w:marBottom w:val="0"/>
      <w:divBdr>
        <w:top w:val="none" w:sz="0" w:space="0" w:color="auto"/>
        <w:left w:val="none" w:sz="0" w:space="0" w:color="auto"/>
        <w:bottom w:val="none" w:sz="0" w:space="0" w:color="auto"/>
        <w:right w:val="none" w:sz="0" w:space="0" w:color="auto"/>
      </w:divBdr>
    </w:div>
    <w:div w:id="1047409796">
      <w:bodyDiv w:val="1"/>
      <w:marLeft w:val="0"/>
      <w:marRight w:val="0"/>
      <w:marTop w:val="0"/>
      <w:marBottom w:val="0"/>
      <w:divBdr>
        <w:top w:val="none" w:sz="0" w:space="0" w:color="auto"/>
        <w:left w:val="none" w:sz="0" w:space="0" w:color="auto"/>
        <w:bottom w:val="none" w:sz="0" w:space="0" w:color="auto"/>
        <w:right w:val="none" w:sz="0" w:space="0" w:color="auto"/>
      </w:divBdr>
    </w:div>
    <w:div w:id="1299458230">
      <w:bodyDiv w:val="1"/>
      <w:marLeft w:val="0"/>
      <w:marRight w:val="0"/>
      <w:marTop w:val="0"/>
      <w:marBottom w:val="0"/>
      <w:divBdr>
        <w:top w:val="none" w:sz="0" w:space="0" w:color="auto"/>
        <w:left w:val="none" w:sz="0" w:space="0" w:color="auto"/>
        <w:bottom w:val="none" w:sz="0" w:space="0" w:color="auto"/>
        <w:right w:val="none" w:sz="0" w:space="0" w:color="auto"/>
      </w:divBdr>
      <w:divsChild>
        <w:div w:id="590312239">
          <w:marLeft w:val="0"/>
          <w:marRight w:val="0"/>
          <w:marTop w:val="0"/>
          <w:marBottom w:val="0"/>
          <w:divBdr>
            <w:top w:val="single" w:sz="2" w:space="0" w:color="D9D9E3"/>
            <w:left w:val="single" w:sz="2" w:space="0" w:color="D9D9E3"/>
            <w:bottom w:val="single" w:sz="2" w:space="0" w:color="D9D9E3"/>
            <w:right w:val="single" w:sz="2" w:space="0" w:color="D9D9E3"/>
          </w:divBdr>
          <w:divsChild>
            <w:div w:id="2127773144">
              <w:marLeft w:val="0"/>
              <w:marRight w:val="0"/>
              <w:marTop w:val="100"/>
              <w:marBottom w:val="100"/>
              <w:divBdr>
                <w:top w:val="single" w:sz="2" w:space="0" w:color="D9D9E3"/>
                <w:left w:val="single" w:sz="2" w:space="0" w:color="D9D9E3"/>
                <w:bottom w:val="single" w:sz="2" w:space="0" w:color="D9D9E3"/>
                <w:right w:val="single" w:sz="2" w:space="0" w:color="D9D9E3"/>
              </w:divBdr>
              <w:divsChild>
                <w:div w:id="1885408020">
                  <w:marLeft w:val="0"/>
                  <w:marRight w:val="0"/>
                  <w:marTop w:val="0"/>
                  <w:marBottom w:val="0"/>
                  <w:divBdr>
                    <w:top w:val="single" w:sz="2" w:space="0" w:color="D9D9E3"/>
                    <w:left w:val="single" w:sz="2" w:space="0" w:color="D9D9E3"/>
                    <w:bottom w:val="single" w:sz="2" w:space="0" w:color="D9D9E3"/>
                    <w:right w:val="single" w:sz="2" w:space="0" w:color="D9D9E3"/>
                  </w:divBdr>
                  <w:divsChild>
                    <w:div w:id="600335587">
                      <w:marLeft w:val="0"/>
                      <w:marRight w:val="0"/>
                      <w:marTop w:val="0"/>
                      <w:marBottom w:val="0"/>
                      <w:divBdr>
                        <w:top w:val="single" w:sz="2" w:space="0" w:color="D9D9E3"/>
                        <w:left w:val="single" w:sz="2" w:space="0" w:color="D9D9E3"/>
                        <w:bottom w:val="single" w:sz="2" w:space="0" w:color="D9D9E3"/>
                        <w:right w:val="single" w:sz="2" w:space="0" w:color="D9D9E3"/>
                      </w:divBdr>
                      <w:divsChild>
                        <w:div w:id="453836994">
                          <w:marLeft w:val="0"/>
                          <w:marRight w:val="0"/>
                          <w:marTop w:val="0"/>
                          <w:marBottom w:val="0"/>
                          <w:divBdr>
                            <w:top w:val="single" w:sz="2" w:space="0" w:color="D9D9E3"/>
                            <w:left w:val="single" w:sz="2" w:space="0" w:color="D9D9E3"/>
                            <w:bottom w:val="single" w:sz="2" w:space="0" w:color="D9D9E3"/>
                            <w:right w:val="single" w:sz="2" w:space="0" w:color="D9D9E3"/>
                          </w:divBdr>
                          <w:divsChild>
                            <w:div w:id="599488037">
                              <w:marLeft w:val="0"/>
                              <w:marRight w:val="0"/>
                              <w:marTop w:val="0"/>
                              <w:marBottom w:val="0"/>
                              <w:divBdr>
                                <w:top w:val="single" w:sz="2" w:space="0" w:color="D9D9E3"/>
                                <w:left w:val="single" w:sz="2" w:space="0" w:color="D9D9E3"/>
                                <w:bottom w:val="single" w:sz="2" w:space="0" w:color="D9D9E3"/>
                                <w:right w:val="single" w:sz="2" w:space="0" w:color="D9D9E3"/>
                              </w:divBdr>
                              <w:divsChild>
                                <w:div w:id="1294407679">
                                  <w:marLeft w:val="0"/>
                                  <w:marRight w:val="0"/>
                                  <w:marTop w:val="0"/>
                                  <w:marBottom w:val="0"/>
                                  <w:divBdr>
                                    <w:top w:val="single" w:sz="2" w:space="0" w:color="D9D9E3"/>
                                    <w:left w:val="single" w:sz="2" w:space="0" w:color="D9D9E3"/>
                                    <w:bottom w:val="single" w:sz="2" w:space="0" w:color="D9D9E3"/>
                                    <w:right w:val="single" w:sz="2" w:space="0" w:color="D9D9E3"/>
                                  </w:divBdr>
                                  <w:divsChild>
                                    <w:div w:id="1575973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593316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Deloitte_US_Letter_Print Theme">
  <a:themeElements>
    <a:clrScheme name="Deloitte colour theme">
      <a:dk1>
        <a:sysClr val="windowText" lastClr="000000"/>
      </a:dk1>
      <a:lt1>
        <a:sysClr val="window" lastClr="FFFFFF"/>
      </a:lt1>
      <a:dk2>
        <a:srgbClr val="44546A"/>
      </a:dk2>
      <a:lt2>
        <a:srgbClr val="E7E6E6"/>
      </a:lt2>
      <a:accent1>
        <a:srgbClr val="86BC25"/>
      </a:accent1>
      <a:accent2>
        <a:srgbClr val="2C5234"/>
      </a:accent2>
      <a:accent3>
        <a:srgbClr val="00A3E0"/>
      </a:accent3>
      <a:accent4>
        <a:srgbClr val="012169"/>
      </a:accent4>
      <a:accent5>
        <a:srgbClr val="0097A9"/>
      </a:accent5>
      <a:accent6>
        <a:srgbClr val="75787B"/>
      </a:accent6>
      <a:hlink>
        <a:srgbClr val="00A3E0"/>
      </a:hlink>
      <a:folHlink>
        <a:srgbClr val="954F72"/>
      </a:folHlink>
    </a:clrScheme>
    <a:fontScheme name="Deloitte Powerpoint fon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gray">
        <a:solidFill>
          <a:schemeClr val="accent3"/>
        </a:solidFill>
        <a:ln w="19050" algn="ctr">
          <a:noFill/>
          <a:miter lim="800000"/>
          <a:headEnd/>
          <a:tailEnd/>
        </a:ln>
      </a:spPr>
      <a:bodyPr wrap="square" lIns="88900" tIns="88900" rIns="88900" bIns="88900" rtlCol="0" anchor="ctr"/>
      <a:lstStyle>
        <a:defPPr>
          <a:lnSpc>
            <a:spcPct val="106000"/>
          </a:lnSpc>
          <a:buFont typeface="Wingdings 2" pitchFamily="18" charset="2"/>
          <a:buNone/>
          <a:defRPr sz="1600" b="1" dirty="0" smtClean="0">
            <a:solidFill>
              <a:schemeClr val="bg1"/>
            </a:solidFill>
          </a:defRPr>
        </a:defPPr>
      </a:lstStyle>
    </a:spDef>
    <a:lnDef>
      <a:spPr>
        <a:ln>
          <a:solidFill>
            <a:schemeClr val="tx2"/>
          </a:solidFill>
        </a:ln>
      </a:spPr>
      <a:bodyPr/>
      <a:lstStyle/>
      <a:style>
        <a:lnRef idx="1">
          <a:schemeClr val="accent1"/>
        </a:lnRef>
        <a:fillRef idx="0">
          <a:schemeClr val="accent1"/>
        </a:fillRef>
        <a:effectRef idx="0">
          <a:schemeClr val="accent1"/>
        </a:effectRef>
        <a:fontRef idx="minor">
          <a:schemeClr val="tx1"/>
        </a:fontRef>
      </a:style>
    </a:lnDef>
    <a:txDef>
      <a:spPr>
        <a:noFill/>
      </a:spPr>
      <a:bodyPr wrap="square" lIns="0" tIns="0" rIns="0" bIns="0" rtlCol="0">
        <a:spAutoFit/>
      </a:bodyPr>
      <a:lstStyle>
        <a:defPPr marL="203200" indent="-203200">
          <a:spcBef>
            <a:spcPts val="600"/>
          </a:spcBef>
          <a:buSzPct val="100000"/>
          <a:buFont typeface="Arial"/>
          <a:buChar char="•"/>
          <a:defRPr dirty="0" smtClean="0">
            <a:solidFill>
              <a:srgbClr val="313131"/>
            </a:solidFill>
          </a:defRPr>
        </a:defPPr>
      </a:lstStyle>
    </a:txDef>
  </a:objectDefaults>
  <a:extraClrSchemeLst/>
  <a:custClrLst>
    <a:custClr name="Green 7">
      <a:srgbClr val="2C5234"/>
    </a:custClr>
    <a:custClr name="Green 6">
      <a:srgbClr val="046A38"/>
    </a:custClr>
    <a:custClr name="Green 5">
      <a:srgbClr val="009A44"/>
    </a:custClr>
    <a:custClr name="Green 4">
      <a:srgbClr val="43B02A"/>
    </a:custClr>
    <a:custClr name="Deloitte Green">
      <a:srgbClr val="86BC25"/>
    </a:custClr>
    <a:custClr name="Green 2">
      <a:srgbClr val="C4D600"/>
    </a:custClr>
    <a:custClr name="Green 1">
      <a:srgbClr val="E3E48D"/>
    </a:custClr>
    <a:custClr name="Teal 7">
      <a:srgbClr val="004F59"/>
    </a:custClr>
    <a:custClr name="Teal 6">
      <a:srgbClr val="007680"/>
    </a:custClr>
    <a:custClr name="Teal 5">
      <a:srgbClr val="0097A9"/>
    </a:custClr>
    <a:custClr name="Teal 4">
      <a:srgbClr val="00ABAB"/>
    </a:custClr>
    <a:custClr name="Teal 3">
      <a:srgbClr val="6FC2B4"/>
    </a:custClr>
    <a:custClr name="Teal 2">
      <a:srgbClr val="9DD4CF"/>
    </a:custClr>
    <a:custClr name="Teal 1">
      <a:srgbClr val="DDEFE8"/>
    </a:custClr>
    <a:custClr name="Blue 7">
      <a:srgbClr val="041E42"/>
    </a:custClr>
    <a:custClr name="Blue 6">
      <a:srgbClr val="012169"/>
    </a:custClr>
    <a:custClr name="Blue 5">
      <a:srgbClr val="005587"/>
    </a:custClr>
    <a:custClr name="Blue 4">
      <a:srgbClr val="0076A8"/>
    </a:custClr>
    <a:custClr name="Blue 3">
      <a:srgbClr val="00A3E0"/>
    </a:custClr>
    <a:custClr name="Blue 2">
      <a:srgbClr val="62B5E5"/>
    </a:custClr>
    <a:custClr name="Blue 1">
      <a:srgbClr val="A0DCFF"/>
    </a:custClr>
    <a:custClr name="Cool Gray 11">
      <a:srgbClr val="53565A"/>
    </a:custClr>
    <a:custClr name="Cool Gray 10">
      <a:srgbClr val="63666A"/>
    </a:custClr>
    <a:custClr name="Cool Gray 9">
      <a:srgbClr val="75787B"/>
    </a:custClr>
    <a:custClr name="Cool Gray 7">
      <a:srgbClr val="97999B"/>
    </a:custClr>
    <a:custClr name="Cool Gray 6">
      <a:srgbClr val="A7A8AA"/>
    </a:custClr>
    <a:custClr name="Cool Gray 4">
      <a:srgbClr val="BBBCBC"/>
    </a:custClr>
    <a:custClr name="Cool Gray 2">
      <a:srgbClr val="D0D0CE"/>
    </a:custClr>
    <a:custClr name="White">
      <a:srgbClr val="FFFFFF"/>
    </a:custClr>
    <a:custClr name="Black">
      <a:srgbClr val="000000"/>
    </a:custClr>
    <a:custClr name="Red">
      <a:srgbClr val="DA291C"/>
    </a:custClr>
    <a:custClr name="Orange">
      <a:srgbClr val="ED8B00"/>
    </a:custClr>
    <a:custClr name="Yellow">
      <a:srgbClr val="FFCD00"/>
    </a:custClr>
  </a:custClrLst>
  <a:extLst>
    <a:ext uri="{05A4C25C-085E-4340-85A3-A5531E510DB2}">
      <thm15:themeFamily xmlns:thm15="http://schemas.microsoft.com/office/thememl/2012/main" name="Deloitte_US_Letter_Print Theme" id="{5B1C474F-3B6E-4C4C-B8B8-04058258F10F}" vid="{EE8175AA-1F22-47D3-9D7F-F1884DC9EC3E}"/>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276</Words>
  <Characters>1571</Characters>
  <Application>Microsoft Office Word</Application>
  <DocSecurity>0</DocSecurity>
  <Lines>42</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Poyrekar, Nikita</dc:creator>
  <cp:keywords/>
  <dc:description/>
  <cp:lastModifiedBy>Poyrekar, Nikita</cp:lastModifiedBy>
  <cp:revision>2</cp:revision>
  <dcterms:created xsi:type="dcterms:W3CDTF">2024-01-04T06:17:00Z</dcterms:created>
  <dcterms:modified xsi:type="dcterms:W3CDTF">2024-01-04T06:35:00Z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de7392862ad69381d9969ea89c41e07b4a33bc6f57079815baa40f988fb36c86</vt:lpwstr>
  </property>
  <property fmtid="{D5CDD505-2E9C-101B-9397-08002B2CF9AE}" pid="3" name="MSIP_Label_ea60d57e-af5b-4752-ac57-3e4f28ca11dc_Enabled">
    <vt:lpwstr>true</vt:lpwstr>
  </property>
  <property fmtid="{D5CDD505-2E9C-101B-9397-08002B2CF9AE}" pid="4" name="MSIP_Label_ea60d57e-af5b-4752-ac57-3e4f28ca11dc_SetDate">
    <vt:lpwstr>2024-01-04T06:17:39Z</vt:lpwstr>
  </property>
  <property fmtid="{D5CDD505-2E9C-101B-9397-08002B2CF9AE}" pid="5" name="MSIP_Label_ea60d57e-af5b-4752-ac57-3e4f28ca11dc_Method">
    <vt:lpwstr>Standard</vt:lpwstr>
  </property>
  <property fmtid="{D5CDD505-2E9C-101B-9397-08002B2CF9AE}" pid="6" name="MSIP_Label_ea60d57e-af5b-4752-ac57-3e4f28ca11dc_Name">
    <vt:lpwstr>ea60d57e-af5b-4752-ac57-3e4f28ca11dc</vt:lpwstr>
  </property>
  <property fmtid="{D5CDD505-2E9C-101B-9397-08002B2CF9AE}" pid="7" name="MSIP_Label_ea60d57e-af5b-4752-ac57-3e4f28ca11dc_SiteId">
    <vt:lpwstr>36da45f1-dd2c-4d1f-af13-5abe46b99921</vt:lpwstr>
  </property>
  <property fmtid="{D5CDD505-2E9C-101B-9397-08002B2CF9AE}" pid="8" name="MSIP_Label_ea60d57e-af5b-4752-ac57-3e4f28ca11dc_ActionId">
    <vt:lpwstr>fcfc7b6d-5540-4911-a468-db43b47f45b3</vt:lpwstr>
  </property>
  <property fmtid="{D5CDD505-2E9C-101B-9397-08002B2CF9AE}" pid="9" name="MSIP_Label_ea60d57e-af5b-4752-ac57-3e4f28ca11dc_ContentBits">
    <vt:lpwstr>0</vt:lpwstr>
  </property>
</Properties>
</file>