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Экономическая структура муниципалитетов Республики Башкортостан: кластеризация атрибутированных сетей (econtypes v5)</w:t>
      </w:r>
    </w:p>
    <w:p>
      <w:r>
        <w:t xml:space="preserve">Конкурс СберИндекса, задача 1. Региональный кейс: 63 муниципальных образования Республики Башкортостан; основная типология — 62 МО (ЗАТО Межгорье без данных СберИндекса рассмотрено отдельно). Результат не является общероссийским. Прогон </w:t>
      </w:r>
      <w:r>
        <w:rPr>
          <w:rFonts w:ascii="Consolas" w:hAnsi="Consolas"/>
          <w:sz w:val="18"/>
        </w:rPr>
        <w:t>v5-20261009T142841Z-d833d0</w:t>
      </w:r>
      <w:r>
        <w:t xml:space="preserve"> (seed 20261009, config </w:t>
      </w:r>
      <w:r>
        <w:rPr>
          <w:rFonts w:ascii="Consolas" w:hAnsi="Consolas"/>
          <w:sz w:val="18"/>
        </w:rPr>
        <w:t>d833d01329f4019a</w:t>
      </w:r>
      <w:r>
        <w:t xml:space="preserve">, code </w:t>
      </w:r>
      <w:r>
        <w:rPr>
          <w:rFonts w:ascii="Consolas" w:hAnsi="Consolas"/>
          <w:sz w:val="18"/>
        </w:rPr>
        <w:t>eb402d7943388054</w:t>
      </w:r>
      <w:r>
        <w:t xml:space="preserve">, data </w:t>
      </w:r>
      <w:r>
        <w:rPr>
          <w:rFonts w:ascii="Consolas" w:hAnsi="Consolas"/>
          <w:sz w:val="18"/>
        </w:rPr>
        <w:t>24f5b250a5cc5492</w:t>
      </w:r>
      <w:r>
        <w:t xml:space="preserve">). Все числа ниже взяты из файлов этого прогона скриптом </w:t>
      </w:r>
      <w:r>
        <w:rPr>
          <w:rFonts w:ascii="Consolas" w:hAnsi="Consolas"/>
          <w:sz w:val="18"/>
        </w:rPr>
        <w:t>scripts/make_report.py</w:t>
      </w:r>
      <w:r>
        <w:t>.</w:t>
      </w:r>
    </w:p>
    <w:p>
      <w:pPr>
        <w:pStyle w:val="Heading2"/>
      </w:pPr>
      <w:r>
        <w:t>1. Главное</w:t>
      </w:r>
    </w:p>
    <w:p>
      <w:pPr>
        <w:pStyle w:val="ListBullet"/>
      </w:pPr>
      <w:r>
        <w:rPr>
          <w:b/>
        </w:rPr>
        <w:t>Макроуровень — 3 типа</w:t>
      </w:r>
      <w:r>
        <w:t xml:space="preserve"> (spectral, постановка C4_v5features_v5graph). K не задавался: выбран правилом «Pareto по z-оценкам ICVI → минимальный размер ≥ 3 → медиана бутстреп-ARI ≥ 0,5 → средний ранг z». Устойчивость: медиана ARI 0,89 при подвыборке узлов, 0,82 при блочном бутстрепе месяцев, 0,91 при пересборке признаков и сети.</w:t>
      </w:r>
    </w:p>
    <w:p>
      <w:pPr>
        <w:pStyle w:val="ListBullet"/>
      </w:pPr>
      <w:r>
        <w:rPr>
          <w:b/>
        </w:rPr>
        <w:t>Детальный уровень — 5 типов</w:t>
      </w:r>
      <w:r>
        <w:t xml:space="preserve"> (spectral, то же правило при K ≥ 5): медиана бутстреп-ARI 0,74 — устойчив лишь частично; используется как уточнение, а не как самостоятельный вывод.</w:t>
      </w:r>
    </w:p>
    <w:p>
      <w:pPr>
        <w:pStyle w:val="ListBullet"/>
      </w:pPr>
      <w:r>
        <w:rPr>
          <w:b/>
        </w:rPr>
        <w:t>Типология v4 (K = 7) не воспроизводится</w:t>
      </w:r>
      <w:r>
        <w:t>: ARI между v5 и v4 = 0,29. После исправления AVU та же постановка v4 (признаки и граф v4) выбирает K = 6, а не 7. Численные выводы v4 в v5 не переносятся.</w:t>
      </w:r>
    </w:p>
    <w:p>
      <w:pPr>
        <w:pStyle w:val="ListBullet"/>
      </w:pPr>
      <w:r>
        <w:rPr>
          <w:b/>
        </w:rPr>
        <w:t>Опубликованный AVU</w:t>
      </w:r>
      <w:r>
        <w:t xml:space="preserve"> на расчётной сети v4 с метками v4 = 0,5357 (в v4 под именем AVU максимизировалась доля внутренних связей). AVU не лучше перестановочного нуля у 136 из 144 разбиений сетки (p ≥ 0,05), а у 118 — хуже случайного (z &lt; 0), тогда как модулярность значимо выше нуля (медиана z MQ_newman 19,2): внутри типов связи плотнее, но межтиповые связи сосредоточены между соседними типами — экономическое пространство региона скорее непрерывно, чем распадается на изолированные блоки.</w:t>
      </w:r>
    </w:p>
    <w:p>
      <w:pPr>
        <w:pStyle w:val="ListBullet"/>
      </w:pPr>
      <w:r>
        <w:rPr>
          <w:b/>
        </w:rPr>
        <w:t>Внешняя проверка</w:t>
      </w:r>
      <w:r>
        <w:t xml:space="preserve"> признаками, не входившими в обучение (ВПН-2020: источники средств к существованию, образование; МСП): 24 из 29 показателей значимо различаются между типами после BH; 22 — и против пространственного нуля (MSR).</w:t>
      </w:r>
    </w:p>
    <w:p>
      <w:pPr>
        <w:pStyle w:val="ListBullet"/>
      </w:pPr>
      <w:r>
        <w:rPr>
          <w:b/>
        </w:rPr>
        <w:t>Корреляции</w:t>
      </w:r>
      <w:r>
        <w:t>: 1060 тестов; 311 проходят BY (q &lt; 0,05), 269 помечены «устойчивыми» (BY + пространственный нуль + знак без Уфы + частная по log населения).</w:t>
      </w:r>
    </w:p>
    <w:p>
      <w:pPr>
        <w:pStyle w:val="ListBullet"/>
      </w:pPr>
      <w:r>
        <w:rPr>
          <w:b/>
        </w:rPr>
        <w:t>Динамика</w:t>
      </w:r>
      <w:r>
        <w:t xml:space="preserve"> (2023Q1–2024Q4, режим мониторинга без информации из будущего): тест утечки — PASS.</w:t>
      </w:r>
    </w:p>
    <w:p>
      <w:pPr>
        <w:pStyle w:val="Heading2"/>
      </w:pPr>
      <w:r>
        <w:t>2. Данные и источники</w:t>
      </w:r>
    </w:p>
    <w:p>
      <w:r>
        <w:t xml:space="preserve">Новая база </w:t>
      </w:r>
      <w:r>
        <w:rPr>
          <w:rFonts w:ascii="Consolas" w:hAnsi="Consolas"/>
          <w:sz w:val="18"/>
        </w:rPr>
        <w:t>data/econtypes_v5.sqlite</w:t>
      </w:r>
      <w:r>
        <w:t xml:space="preserve"> (слои L0 сырьё → L1 нормализация → L2 атрибуты МО × период → L3 результаты прогонов), миграции, идемпотентный ingest, экспорт Parquet. Исходные файлы и папки не изменялись. Реестр источников — </w:t>
      </w:r>
      <w:r>
        <w:rPr>
          <w:rFonts w:ascii="Consolas" w:hAnsi="Consolas"/>
          <w:sz w:val="18"/>
        </w:rPr>
        <w:t>docs/SOURCE_REGISTRY.csv</w:t>
      </w:r>
      <w:r>
        <w:t xml:space="preserve">, пробелы — </w:t>
      </w:r>
      <w:r>
        <w:rPr>
          <w:rFonts w:ascii="Consolas" w:hAnsi="Consolas"/>
          <w:sz w:val="18"/>
        </w:rPr>
        <w:t>docs/DATA_GAPS.md</w:t>
      </w:r>
      <w:r>
        <w:t>.</w:t>
      </w:r>
    </w:p>
    <w:p>
      <w:pPr>
        <w:pStyle w:val="ListBullet"/>
      </w:pPr>
      <w:r>
        <w:t>Госзаказ 44-ФЗ и 223-ФЗ: 359 615 записей (8 canonical CSV); независимый пересчёт DuckDB совпал с базой до копейки (1 263 174 213 398,89 руб. с известной суммой в рублях). Признаки госзаказа строятся по 44-ФЗ; 223-ФЗ — отдельный показатель на жителя.</w:t>
      </w:r>
    </w:p>
    <w:p>
      <w:pPr>
        <w:pStyle w:val="ListBullet"/>
      </w:pPr>
      <w:r>
        <w:t>Привязка заказчиков к МО: явное МО в названии (2 038 организаций) и код налогового органа КПП; точность кода КПП по исключению по одному — 99,2% на 2 034 организациях. Первые цифры ИНН — только анализ чувствительности.</w:t>
      </w:r>
    </w:p>
    <w:p>
      <w:pPr>
        <w:pStyle w:val="ListBullet"/>
      </w:pPr>
      <w:r>
        <w:t>Реестр МСП (снимок 10.09.2026): 150 234 субъектов; используется только как внешний показатель специализации (сглаженный LQ).</w:t>
      </w:r>
    </w:p>
    <w:p>
      <w:pPr>
        <w:pStyle w:val="ListBullet"/>
      </w:pPr>
      <w:r>
        <w:t>СберИндекс: помесячные безналичные траты на жителя и их структура по 6 категориям 2023–2024 — архивные производные v4 (сырых parquet нет).</w:t>
      </w:r>
    </w:p>
    <w:p>
      <w:pPr>
        <w:pStyle w:val="ListBullet"/>
      </w:pPr>
      <w:r>
        <w:t xml:space="preserve">Росстат (с Google Drive пользователя, SHA-256 в </w:t>
      </w:r>
      <w:r>
        <w:rPr>
          <w:rFonts w:ascii="Consolas" w:hAnsi="Consolas"/>
          <w:sz w:val="18"/>
        </w:rPr>
        <w:t>external/rosstat_drive/DRIVE_DOWNLOADS.jsonl</w:t>
      </w:r>
      <w:r>
        <w:t>): численность на 1 января 2022–2025, естественное движение 2023–2024, коэффициенты миграции 2018–2024, ВПН-2020 (возраст, образование, источники средств).</w:t>
      </w:r>
    </w:p>
    <w:p>
      <w:pPr>
        <w:pStyle w:val="ListBullet"/>
      </w:pPr>
      <w:r>
        <w:t>Контроль баланса населения ΔN = рождения − смерти + миграция: максимальный остаток 0,056% населения.</w:t>
      </w:r>
    </w:p>
    <w:p>
      <w:pPr>
        <w:pStyle w:val="Heading2"/>
      </w:pPr>
      <w:r>
        <w:t>3. Методология</w:t>
      </w:r>
    </w:p>
    <w:p>
      <w:r>
        <w:rPr>
          <w:b/>
        </w:rPr>
        <w:t>Узлы</w:t>
      </w:r>
      <w:r>
        <w:t xml:space="preserve"> — МО. </w:t>
      </w:r>
      <w:r>
        <w:rPr>
          <w:b/>
        </w:rPr>
        <w:t>Атрибуты</w:t>
      </w:r>
      <w:r>
        <w:t xml:space="preserve"> (18 после преобразований, без импутации): уровень и относительный тренд трат СберИндекса; структура трат в ILR-координатах (Aitchison); госзаказ 44-ФЗ и 223-ФЗ на жителя; доля муниципальных заказчиков; HHI поставщиков; география поставщиков (ILR: своё МО / другие МО РБ / вне РБ); рост населения, естественный и миграционный прирост; возрастная структура (ILR). Стандартизация — робастные z (медиана/IQR), вес блока λ_b = 1/p_b.</w:t>
      </w:r>
    </w:p>
    <w:p>
      <w:r>
        <w:rPr>
          <w:b/>
        </w:rPr>
        <w:t>Рёбра</w:t>
      </w:r>
      <w:r>
        <w:t>: self-tuning kNN (k = 8, локальный масштаб — 7-й сосед) по блочному расстоянию атрибутов, объединённый с нормированными структурными слоями (совместное движение трат, опережение-запаздывание, DTW — только по месяцам окна; потоки закупок между МО), α = 0,5. Расчётная матрица W хранится отдельно от визуальной проекции: 1 079 рёбер против 164 в проекции union-kNN k = 4; сетевые ICVI считаются только по W.</w:t>
      </w:r>
    </w:p>
    <w:p>
      <w:r>
        <w:rPr>
          <w:b/>
        </w:rPr>
        <w:t>Кластеризация и выбор</w:t>
      </w:r>
      <w:r>
        <w:t>: spectral (cluster_qr) и Leiden (RB-модулярность с подбором разрешения под K), контроль — k-means и Ward; K = 2…10. Для каждого разбиения: SW, CH, DB, S_Dbw (явные соглашения о неопределённых слагаемых), опубликованные AVI/AVU, MQ_newman (γ = 1) и MQ_mancoridis; z-оценки против перестановочного нуля, p = (b+1)/(B+1). Правило выбора зафиксировано в коде (</w:t>
      </w:r>
      <w:r>
        <w:rPr>
          <w:rFonts w:ascii="Consolas" w:hAnsi="Consolas"/>
          <w:sz w:val="18"/>
        </w:rPr>
        <w:t>experiments.select</w:t>
      </w:r>
      <w:r>
        <w:t>) до просмотра типов.</w:t>
      </w:r>
    </w:p>
    <w:p>
      <w:r>
        <w:rPr>
          <w:b/>
        </w:rPr>
        <w:t>Динамика</w:t>
      </w:r>
      <w:r>
        <w:t xml:space="preserve">: квартальные снимки с эволюционным сглаживанием (W_t ← (1−β)W_t + βW_{t−1}, β ∈ {0; 0,3; 0,5; 0,7; 0,9}), венгерское выравнивание меток, таблицы переходов, Жаккар, события split/merge/birth/death. Два режима: </w:t>
      </w:r>
      <w:r>
        <w:rPr>
          <w:b/>
        </w:rPr>
        <w:t>мониторинг</w:t>
      </w:r>
      <w:r>
        <w:t xml:space="preserve"> (только данные, опубликованные к концу квартала, с лагами) и </w:t>
      </w:r>
      <w:r>
        <w:rPr>
          <w:b/>
        </w:rPr>
        <w:t>реконструкция</w:t>
      </w:r>
      <w:r>
        <w:t xml:space="preserve"> (ретроспективно, со структурой трат за весь период).</w:t>
      </w:r>
    </w:p>
    <w:p>
      <w:r>
        <w:rPr>
          <w:b/>
        </w:rPr>
        <w:t>Неопределённость</w:t>
      </w:r>
      <w:r>
        <w:t xml:space="preserve">: co-assignment по трём схемам (подвыборка узлов, блочный бутстреп месяцев, пересборка признаков и сети). </w:t>
      </w:r>
      <w:r>
        <w:rPr>
          <w:b/>
        </w:rPr>
        <w:t>Корреляции</w:t>
      </w:r>
      <w:r>
        <w:t>: Pearson и Spearman с перестановочными p (B = 9 999), BH/BY, e-BH, пространственный нуль Moran spectral randomization по смежности полигонов, частные по log населения, разложение панели на межмуниципальную и внутримуниципальную части.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09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sel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0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Рис. 1. Выбор K и метода в постановке C4.</w:t>
      </w:r>
    </w:p>
    <w:p>
      <w:r>
        <w:rPr>
          <w:i/>
        </w:rPr>
        <w:t>Таблица 1. Выбранные разбиения по постановкам (C1 — признаки и граф v4; C4 — признаки и граф v5).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>
              <w:rPr>
                <w:sz w:val="16"/>
              </w:rPr>
              <w:t>постановка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метод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бутстреп-ARI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ранг z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SW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CH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S_Dbw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AVI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AVU ↓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MQ_newman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C1_v4features_v4graph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spectral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0,57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3,67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0,07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6,3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0,78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0,40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0,55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0,24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C2_v5features_v4graph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leiden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0,76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6,17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0,16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13,5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0,76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0,67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0,67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0,33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C3_v4features_v5graph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spectral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0,55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4,00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4,2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0,66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0,25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0,51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0,16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C4_v5features_v5graph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spectral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0,89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7,17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0,15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12,7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0,77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0,61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0,67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0,28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C4_v5features_v5graph [детальный уровень K≥5]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spectral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0,75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5,50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0,06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8,8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0,66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0,43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0,57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0,24</w:t>
            </w:r>
          </w:p>
        </w:tc>
      </w:tr>
    </w:tbl>
    <w:p>
      <w:pPr>
        <w:pStyle w:val="Heading2"/>
      </w:pPr>
      <w:r>
        <w:t>4. Типы муниципалитетов (макроуровень)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334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mac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3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Рис. 2. Макротипы v5 на карте Республики Башкортостан.</w:t>
      </w:r>
    </w:p>
    <w:p>
      <w:pPr>
        <w:pStyle w:val="Heading3"/>
      </w:pPr>
      <w:r>
        <w:t>Тип 1: отставание роста трат; сильная естественная убыль</w:t>
      </w:r>
    </w:p>
    <w:p>
      <w:r>
        <w:t>27 МО, население на 1.01.2024 — 649 351 чел. Отличительные признаки (разность медиан робастных z с остальными МО): отставание роста трат; сильная естественная убыль; низкие безналичные траты на жителя [sber_rel_trend (-1.38 IQR-z); natinc_rate (-1.36); sber_spend_pc_log (-1.26)].</w:t>
      </w:r>
    </w:p>
    <w:p>
      <w:pPr>
        <w:pStyle w:val="ListBullet"/>
      </w:pPr>
      <w:r>
        <w:t>Медианы: безналичные траты 19 509 руб./жителя/мес.; госзаказ 44-ФЗ 13 371 руб./жителя/год; изменение населения за 2023 г. -1,9%; естественный прирост -9,9‰; миграционный -8,0‰ (в таблицах Росстата — на 10 000 жителей: -79,8); доля 65+ 17,3%.</w:t>
      </w:r>
    </w:p>
    <w:p>
      <w:pPr>
        <w:pStyle w:val="ListBullet"/>
      </w:pPr>
      <w:r>
        <w:t>Внешние показатели (не входили в обучение): доля населения с заработком как основным источником средств 37,0%, с пенсией/пособием — 33,7%, с высшим образованием 11,9%; наибольшая специализация МСП — сельское хозяйство (LQ 2,97) (LQ сельского хозяйства 2,97, промышленности 0,99, деловых услуг 0,64).</w:t>
      </w:r>
    </w:p>
    <w:p>
      <w:pPr>
        <w:pStyle w:val="ListBullet"/>
      </w:pPr>
      <w:r>
        <w:t>Медиана устойчивости членства (подвыборка узлов) 0,96; типичные МО: МР Буздякский, МР Ермекеевский, МР Федоровский; пограничных МО нет.</w:t>
      </w:r>
    </w:p>
    <w:p>
      <w:pPr>
        <w:pStyle w:val="ListBullet"/>
      </w:pPr>
      <w:r>
        <w:t>Состав: ГО Агидель, МР Альшеевский, МР Архангельский, МР Аургазинский, МР Бакалинский, МР Балтачевский, МР Бижбулякский, МР Благоварский, МР Буздякский, МР Бураевский, МР Гафурийский, МР Давлекановский, МР Ермекеевский, МР Илишевский, МР Калтасинский, МР Караидельский, МР Кармаскалинский, МР Краснокамский, МР Кушнаренковский, МР Куюргазинский, МР Мишкинский, МР Миякинский, МР Нуримановский, МР Стерлибашевский, МР Федоровский, МР Чекмагушевский, МР Шаранский.</w:t>
      </w:r>
    </w:p>
    <w:p>
      <w:pPr>
        <w:pStyle w:val="Heading3"/>
      </w:pPr>
      <w:r>
        <w:t>Тип 2: высокие безналичные траты на жителя; выше доля общепита</w:t>
      </w:r>
    </w:p>
    <w:p>
      <w:r>
        <w:t>20 МО, население на 1.01.2024 — 2 987 704 чел. Отличительные признаки (разность медиан робастных z с остальными МО): высокие безналичные траты на жителя; выше доля общепита; меньший миграционный отток [sber_spend_pc_log (+1.49 IQR-z); sber_ilr2 (-1.43); migr_rate (+1.35)].</w:t>
      </w:r>
    </w:p>
    <w:p>
      <w:pPr>
        <w:pStyle w:val="ListBullet"/>
      </w:pPr>
      <w:r>
        <w:t>Медианы: безналичные траты 27 782 руб./жителя/мес.; госзаказ 44-ФЗ 16 783 руб./жителя/год; изменение населения за 2023 г. -0,9%; естественный прирост -5,5‰; миграционный -2,6‰ (в таблицах Росстата — на 10 000 жителей: -25,6); доля 65+ 15,1%.</w:t>
      </w:r>
    </w:p>
    <w:p>
      <w:pPr>
        <w:pStyle w:val="ListBullet"/>
      </w:pPr>
      <w:r>
        <w:t>Внешние показатели (не входили в обучение): доля населения с заработком как основным источником средств 43,6%, с пенсией/пособием — 28,3%, с высшим образованием 15,3%; наибольшая специализация МСП — общепит, досуг, бытовые услуги (LQ 1,12) (LQ сельского хозяйства 1,02, промышленности 1,06, деловых услуг 0,83).</w:t>
      </w:r>
    </w:p>
    <w:p>
      <w:pPr>
        <w:pStyle w:val="ListBullet"/>
      </w:pPr>
      <w:r>
        <w:t>Медиана устойчивости членства (подвыборка узлов) 0,95; типичные МО: МР Бирский, МР Мелеузовский, МР Стерлитамакский; пограничных МО нет.</w:t>
      </w:r>
    </w:p>
    <w:p>
      <w:pPr>
        <w:pStyle w:val="ListBullet"/>
      </w:pPr>
      <w:r>
        <w:t>Состав: ГО Кумертау, ГО Нефтекамск, ГО Октябрьский, ГО Салават, ГО Стерлитамак, ГО Уфа, МР Белебеевский, МР Белорецкий, МР Бирский, МР Благовещенский, МР Дюртюлинский, МР Иглинский, МР Ишимбайский, МР Мелеузовский, МР Стерлитамакский, МР Туймазинский, МР Уфимский, МР Учалинский, МР Чишминский, МР Янаульский.</w:t>
      </w:r>
    </w:p>
    <w:p>
      <w:pPr>
        <w:pStyle w:val="Heading3"/>
      </w:pPr>
      <w:r>
        <w:t>Тип 3: молодое население; много детей</w:t>
      </w:r>
    </w:p>
    <w:p>
      <w:r>
        <w:t>15 МО, население на 1.01.2024 — 411 830 чел. Отличительные признаки (разность медиан робастных z с остальными МО): молодое население; много детей; выше доля транспорта в тратах [age_ilr2 (+1.58 IQR-z); age_ilr1 (+1.33); sber_ilr4 (-1.32)].</w:t>
      </w:r>
    </w:p>
    <w:p>
      <w:pPr>
        <w:pStyle w:val="ListBullet"/>
      </w:pPr>
      <w:r>
        <w:t>Медианы: безналичные траты 20 451 руб./жителя/мес.; госзаказ 44-ФЗ 14 443 руб./жителя/год; изменение населения за 2023 г. -1,8%; естественный прирост -5,8‰; миграционный -10,4‰ (в таблицах Росстата — на 10 000 жителей: -104,0); доля 65+ 13,7%.</w:t>
      </w:r>
    </w:p>
    <w:p>
      <w:pPr>
        <w:pStyle w:val="ListBullet"/>
      </w:pPr>
      <w:r>
        <w:t>Внешние показатели (не входили в обучение): доля населения с заработком как основным источником средств 36,7%, с пенсией/пособием — 30,8%, с высшим образованием 12,6%; наибольшая специализация МСП — сельское хозяйство (LQ 3,72) (LQ сельского хозяйства 3,72, промышленности 1,05, деловых услуг 0,63).</w:t>
      </w:r>
    </w:p>
    <w:p>
      <w:pPr>
        <w:pStyle w:val="ListBullet"/>
      </w:pPr>
      <w:r>
        <w:t>Медиана устойчивости членства (подвыборка узлов) 0,94; типичные МО: МР Зилаирский, МР Салаватский, МР Зианчуринский; пограничных МО нет.</w:t>
      </w:r>
    </w:p>
    <w:p>
      <w:pPr>
        <w:pStyle w:val="ListBullet"/>
      </w:pPr>
      <w:r>
        <w:t>Состав: ГО Сибай, МР Абзелиловский, МР Аскинский, МР Баймакский, МР Белокатайский, МР Бурзянский, МР Дуванский, МР Зианчуринский, МР Зилаирский, МР Кигинский, МР Кугарчинский, МР Мечетлинский, МР Салаватский, МР Татышлинский, МР Хайбуллинский.</w:t>
      </w:r>
    </w:p>
    <w:p>
      <w:r>
        <w:rPr>
          <w:b/>
        </w:rPr>
        <w:t>ЗАТО Межгорье</w:t>
      </w:r>
      <w:r>
        <w:t xml:space="preserve"> в основную типологию не входит (нет СберИндекса и муниципальной демографии Росстата). По блокам госзаказа ближайший центроид — Тип 2: высокие безналичные траты на жителя; выше доля общепита (расстояния до центроидов типов: 3,43; 2,06; 2,92); это ориентир, а не присвоение типа.</w:t>
      </w:r>
    </w:p>
    <w:p>
      <w:pPr>
        <w:pStyle w:val="Heading2"/>
      </w:pPr>
      <w:r>
        <w:t>5. Детальный уровень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7012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detai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701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Рис. 3. Детальные типы (частично устойчивы).</w:t>
      </w:r>
    </w:p>
    <w:p>
      <w:r>
        <w:rPr>
          <w:i/>
        </w:rPr>
        <w:t>Таблица 2. Детальные типы; медиана бутстреп-ARI уровня 0,74.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sz w:val="16"/>
              </w:rPr>
              <w:t>тип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МО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население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признаки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устойчивость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примеры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Тип 1: отставание роста трат; сильная естественная убыль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447 722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отставание роста трат; сильная естественная убыль; старшее население (65+)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0,82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МР Альшеевский, МР Шаранский, МР Чекмагушевский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Тип 2: высокие безналичные траты на жителя; меньший миграционный отток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2 440 263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высокие безналичные траты на жителя; меньший миграционный отток; выше доля общепита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0,93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МР Мелеузовский, ГО Уфа, ГО Кумертау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Тип 3: опережающий рост трат; высокие безналичные траты на жителя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662 277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опережающий рост трат; высокие безналичные траты на жителя; медленное сокращение населения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0,69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МР Благовещенский, МР Чишминский, МР Иглинский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Тип 4: молодое население; много детей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274 565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молодое население; много детей; выше доля транспорта в тратах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0,82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МР Баймакский, МР Хайбуллинский, МР Бурзянский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Тип 5: поставщики внутри РБ; выше доля транспорта в тратах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224 058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поставщики внутри РБ; выше доля транспорта в тратах; ниже доля общепита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0,80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МР Аскинский, МР Татышлинский, МР Балтачевский</w:t>
            </w:r>
          </w:p>
        </w:tc>
      </w:tr>
    </w:tbl>
    <w:p>
      <w:pPr>
        <w:pStyle w:val="Heading2"/>
      </w:pPr>
      <w:r>
        <w:t>6. Сравнение постановок и абляция</w:t>
      </w:r>
    </w:p>
    <w:p>
      <w:r>
        <w:rPr>
          <w:i/>
        </w:rPr>
        <w:t>Таблица 3. Сравнение разметок: признаки старые/новые × граф старый/новый, spectral против Leiden, контрольные методы.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sz w:val="16"/>
              </w:rPr>
              <w:t>разметка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ARI с итогом v5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ARI с v4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AVU (своя W)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MQ_newman (своя W)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SW (свои X)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v4_published_labels(K=7)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1,00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0,54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0,05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C1_v4features_v4graph|spectral|K=6|selected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0,47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0,55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0,07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C2_v5features_v4graph|leiden|K=3|selected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0,83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0,16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C3_v4features_v5graph|spectral|K=10|selected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0,36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0,51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0,16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0,01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C4_v5features_v5graph|spectral|K=3|selected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1,00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0,15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C4_v5features_v5graph|spectral|K=5|detailed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0,53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0,57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0,06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C1_v4features_v4graph|spectral|K=3|common_K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0,09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C1_v4features_v4graph|spectral|K=7|v4_K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0,66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0,54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0,06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C1_v4features_v4graph|leiden|K=3|common_K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0,78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0,09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C1_v4features_v4graph|leiden|K=7|v4_K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0,36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0,54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0,06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C1_v4features_v4graph|kmeans|K=3|attributes_only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0,14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C1_v4features_v4graph|ward|K=3|attributes_only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0,44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0,13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0,19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0,12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C2_v5features_v4graph|spectral|K=3|common_K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0,15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C2_v5features_v4graph|spectral|K=7|v4_K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0,55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0,05</w:t>
            </w:r>
          </w:p>
        </w:tc>
      </w:tr>
    </w:tbl>
    <w:p>
      <w:r>
        <w:t>Абляция (38 вариантов: исключение блока, слоя, смена α, k, правила рёбер, географии): медиана ARI с итогом 0,81, минимум 0,46 (forward_add: sber_level). Строгая география (только явное МО и согласованный налоговый орган): ARI 0,77.</w:t>
      </w:r>
    </w:p>
    <w:p>
      <w:r>
        <w:rPr>
          <w:i/>
        </w:rPr>
        <w:t>Таблица 4. Наиболее чувствительные варианты абляции.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6"/>
              </w:rPr>
              <w:t>вид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вариант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ARI с итогом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forward_add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sber_level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0,46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forward_add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sber_level+sber_structure+proc_budget+proc_geo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0,58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fusion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SNF(attr, comovement, dtw, flow)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0,58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forward_add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sber_level+sber_structure+proc_budget+proc_geo+proc_corp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0,61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forward_add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sber_level+sber_structure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0,62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forward_add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sber_level+sber_structure+proc_budget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0,66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edge_rule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cosine_union_kNN (v4)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0,69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drop_block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−age_structure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0,71</w:t>
            </w:r>
          </w:p>
        </w:tc>
      </w:tr>
    </w:tbl>
    <w:p>
      <w:pPr>
        <w:pStyle w:val="Heading2"/>
      </w:pPr>
      <w:r>
        <w:t>7. Динамика 2023–2024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062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6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Рис. 4. Чувствительность динамики к β.</w:t>
      </w:r>
    </w:p>
    <w:p>
      <w:r>
        <w:t>При β = 0,5 в режиме мониторинга средний ARI соседних кварталов 0,77, ARI со статической типологией 0,72. Большие β дают гладкость ценой отрыва от текущих данных (снижение MQ снимков) — поэтому основной β = 0,5, остальные приводятся как чувствительность.</w:t>
      </w:r>
    </w:p>
    <w:p>
      <w:r>
        <w:t>События (мониторинг, β = 0,5): continuation — 17, split — 3, merge — 3. Первые кварталы 2023 г. — период разогрева (окно короче года), их перестройки не интерпретируются как экономические сдвиги.</w:t>
      </w:r>
    </w:p>
    <w:p>
      <w:r>
        <w:t xml:space="preserve">Тест утечки: данные после 2023Q4 искажены, расчёт до 2023Q4 повторён. Мониторинг — признаки, W и метки идентичны; реконструкция — признаки и W меняются (статус PASS). Метки по кварталам — </w:t>
      </w:r>
      <w:r>
        <w:rPr>
          <w:rFonts w:ascii="Consolas" w:hAnsi="Consolas"/>
          <w:sz w:val="18"/>
        </w:rPr>
        <w:t>LABELS_MO_PERIOD*.csv</w:t>
      </w:r>
      <w:r>
        <w:t>.</w:t>
      </w:r>
    </w:p>
    <w:p>
      <w:pPr>
        <w:pStyle w:val="Heading2"/>
      </w:pPr>
      <w:r>
        <w:t>8. Внешняя проверка и корреляции</w:t>
      </w:r>
    </w:p>
    <w:p>
      <w:r>
        <w:rPr>
          <w:i/>
        </w:rPr>
        <w:t>Таблица 5. Различия внешних показателей между макротипами (не использовались в обучении).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sz w:val="16"/>
              </w:rPr>
              <w:t>показатель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ε² (Крускал–Уоллис)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p перест.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q BH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p простр. (MSR)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I Морана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LQ МСП: сельское хозяйство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0,57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0,20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дотации на выравнивание на жителя (архив v4)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0,55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0,15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ВПН-2020: заработок — основной источник средств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0,55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0,23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доля городского населения (архив v4)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0,53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0,07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плотность населения, log (архив v4)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0,50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0,14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ВПН-2020: личное подсобное хозяйство — основной источник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0,50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0,09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ВПН-2020: пенсия/пособие — основной источник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0,49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0,21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доля занятых в бюджетном секторе (архив v4)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0,47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0,21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LQ МСП: ИТ, финансы, недвижимость, деловые услуги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0,43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0,12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ВПН-2020: доля с высшим образованием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0,42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0,17</w:t>
            </w:r>
          </w:p>
        </w:tc>
      </w:tr>
    </w:tbl>
    <w:p>
      <w:r>
        <w:rPr>
          <w:i/>
        </w:rPr>
        <w:t>Таблица 6. Наиболее сильные устойчивые связи признаков с внешними показателями (Pearson); исключены 4 механически связанных пар (ILR возраста × коэффициенты нагрузки — из одной таблицы возраста ВПН-2020).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rPr>
                <w:sz w:val="16"/>
              </w:rPr>
              <w:t>признак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внешний показатель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95% ДИ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q BY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p простр.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r частн. (log нас.)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r без Уфы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траты СберИндекса на жителя (log)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ВПН-2020: заработок — основной источник средств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0,83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[0,75; 0,89]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0,0042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0,44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0,82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траты СберИндекса на жителя (log)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дотации на выравнивание на жителя (архив v4)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-0,79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[-0,88; -0,68]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0,0042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-0,23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-0,77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ILR2 трат: …vs общепит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ВПН-2020: пенсия/пособие — основной источник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0,79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[0,69; 0,87]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0,0042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0,50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0,77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изменение населения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субъекты МСП на 1 000 жителей (2026)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0,78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[0,61; 0,88]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0,0042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0,63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0,77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ILR2 трат: …vs общепит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дотации на выравнивание на жителя (архив v4)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0,77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[0,66; 0,85]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0,0042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0,28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0,75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миграционный прирост, на 10 000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субъекты МСП на 1 000 жителей (2026)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0,77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[0,57; 0,87]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0,0042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0,76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траты СберИндекса на жителя (log)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LQ МСП: сельское хозяйство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-0,77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[-0,85; -0,65]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0,0042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-0,42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-0,75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естественный прирост, ‰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нагрузка старшими (65+ на 100 в 20–64)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-0,76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[-0,85; -0,63]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0,0042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-0,76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-0,76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траты СберИндекса на жителя (log)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ВПН-2020: пенсия/пособие — основной источник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-0,75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[-0,85; -0,60]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0,0042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-0,34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-0,72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траты СберИндекса на жителя (log)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доля городского населения (архив v4)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0,75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[0,56; 0,89]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0,0042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0,38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0,73</w:t>
            </w:r>
          </w:p>
        </w:tc>
      </w:tr>
    </w:tbl>
    <w:p>
      <w:r>
        <w:t>Связи описательные, не причинные. Уровень безналичных трат на жителя: ВПН-2020: заработок — основной источник средств — r = 0,83 (частная по log численности 0,44); дотации на выравнивание на жителя (архив v4) — r = -0,79 (частная по log численности -0,23); LQ МСП: сельское хозяйство — r = -0,77 (частная по log численности -0,42). Где частная корреляция заметно слабее полной, часть связи объясняется масштабом МО.</w:t>
      </w:r>
    </w:p>
    <w:p>
      <w:r>
        <w:rPr>
          <w:i/>
        </w:rPr>
        <w:t>Таблица 7. Разложение панельных корреляций (кварталы 2023–2024): межмуниципальная и внутримуниципальная части.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16"/>
              </w:rPr>
              <w:t>признак 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признак 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между МО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внутри МО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95% ДИ (кластерный бутстреп)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госзаказ 44-ФЗ на жителя (log)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HHI поставщиков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0,43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0,72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[0,58; 0,81]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госзаказ 44-ФЗ на жителя (log)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ILR1 поставщиков: своё МО vs другие МО РБ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0,03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-0,51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[-0,68; -0,30]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HHI поставщиков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ILR1 поставщиков: своё МО vs другие МО РБ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-0,23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-0,46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[-0,67; -0,19]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траты СберИндекса на жителя (log)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госзаказ 44-ФЗ на жителя (log)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0,13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-0,24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[-0,38; -0,10]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траты СберИндекса на жителя (log)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ILR1 поставщиков: своё МО vs другие МО РБ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0,48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0,23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[0,08; 0,38]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траты СберИндекса на жителя (log)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закупки 223-ФЗ на жителя (log)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0,49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-0,17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[-0,34; 0,01]</w:t>
            </w:r>
          </w:p>
        </w:tc>
      </w:tr>
    </w:tbl>
    <w:p>
      <w:r>
        <w:t>Корреляции между МО и во времени внутри МО могут иметь разный знак; выводы о динамике делаются только по внутренней части.</w:t>
      </w:r>
    </w:p>
    <w:p>
      <w:pPr>
        <w:pStyle w:val="Heading2"/>
      </w:pPr>
      <w:r>
        <w:t>9. Проверка вне периода обучения</w:t>
      </w:r>
    </w:p>
    <w:p>
      <w:r>
        <w:rPr>
          <w:i/>
        </w:rPr>
        <w:t>Таблица 8. Узнаётся ли тип 2023–2024 по блокам госзаказа 44-ФЗ 2025 и 2026 (YTD): ближайший центроид; первая строка уровня — та же процедура на обучающем периоде (потолок); нуль — перестановка предсказанных меток.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sz w:val="16"/>
              </w:rPr>
              <w:t>уровень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год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МО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точность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нуль (среднее)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нуль q95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macro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2023–2024 (в выборке)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0,44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0,0001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macro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2025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0,48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0,0001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macro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0,39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0,47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0,0001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detailed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2023–2024 (в выборке)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0,65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0,0001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detailed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2025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0,40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0,19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0,0001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detailed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0,40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0,29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0,0001</w:t>
            </w:r>
          </w:p>
        </w:tc>
      </w:tr>
    </w:tbl>
    <w:p>
      <w:r>
        <w:t xml:space="preserve">Это проверка воспроизводимости разметки по одному блоку, а не независимое подтверждение экономической истинности типов. Блок 223-ФЗ исключён: в 2025 г. в выгрузке лишь 1 340 записей 223-ФЗ против 35 631 в 2023 г. (разрыв покрытия источника, </w:t>
      </w:r>
      <w:r>
        <w:rPr>
          <w:rFonts w:ascii="Consolas" w:hAnsi="Consolas"/>
          <w:sz w:val="18"/>
        </w:rPr>
        <w:t>docs/DATA_GAPS.md</w:t>
      </w:r>
      <w:r>
        <w:t>, п. 25). Общий сдвиг уровня закупок (инфляция) стандартизацией 2023–2024 не устраняется.</w:t>
      </w:r>
    </w:p>
    <w:p>
      <w:pPr>
        <w:pStyle w:val="Heading2"/>
      </w:pPr>
      <w:r>
        <w:t>10. Исправления относительно v4</w:t>
      </w:r>
    </w:p>
    <w:p>
      <w:r>
        <w:t xml:space="preserve">Полная таблица — </w:t>
      </w:r>
      <w:r>
        <w:rPr>
          <w:rFonts w:ascii="Consolas" w:hAnsi="Consolas"/>
          <w:sz w:val="18"/>
        </w:rPr>
        <w:t>CHANGELOG.md</w:t>
      </w:r>
      <w:r>
        <w:t>. Кратко: опубликованный AVU вместо максимизировавшейся доли внутренних связей; оба определения MQ с γ; S_Dbw с явными соглашениями (в v4 все слагаемые плотности были нулевыми — S_Dbw совпадал со Scat); слои без информации из будущего; точная W отдельно от проекции; p = (b+1)/(B+1); краевые случаи DTW/log 0/kNN; география без ИНН→ОКТМО; имена типов по профилям; вводящие в заблуждение прокси сняты.</w:t>
      </w:r>
    </w:p>
    <w:p>
      <w:r>
        <w:rPr>
          <w:i/>
        </w:rPr>
        <w:t>Таблица 9. Повтор проверок аудитора на v5.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6"/>
              </w:rPr>
              <w:t>проверка аудитора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статус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baseline_dimensions_and_finite_v5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v4_matrix_reproduces_auditor_AVU_MQ_SDbw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v4_labels_rescored_on_v5_C1_matrix_independent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AVU_formula_and_optimization_direction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AVU_disconnected_three_cliques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finite_permutation_pvalues_are_positive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DTW_all_constant_series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zero_monthly_expenditure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kNN_k_above_N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historical_layers_do_not_use_future_EXECUTED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actual_self_tuning_kNN_N_2016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label_permutation_invariance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ICVI_K_equals_N_rejected_with_status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</w:tbl>
    <w:p>
      <w:pPr>
        <w:pStyle w:val="Heading2"/>
      </w:pPr>
      <w:r>
        <w:t>11. Ограничения</w:t>
      </w:r>
    </w:p>
    <w:p>
      <w:pPr>
        <w:pStyle w:val="ListBullet"/>
      </w:pPr>
      <w:r>
        <w:t>Региональный кейс (62 + 1 МО); перенос на всю Россию не проверялся на реальных данных — только масштабирование алгоритмов на синтетике (N = 2 016: пик памяти 420.1 МиБ).</w:t>
      </w:r>
    </w:p>
    <w:p>
      <w:pPr>
        <w:pStyle w:val="ListBullet"/>
      </w:pPr>
      <w:r>
        <w:t>СберИндекс — архивные производные v4, а не сырые parquet; структура трат известна только агрегатом 2023–2024 (режим реконструкции).</w:t>
      </w:r>
    </w:p>
    <w:p>
      <w:pPr>
        <w:pStyle w:val="ListBullet"/>
      </w:pPr>
      <w:r>
        <w:t>Привязка организаций к МО — по названию и налоговому органу (оценённая точность), а не по ОКТМО; поставщики вне МСП-реестра и с адресом вне РБ — категория «вне РБ».</w:t>
      </w:r>
    </w:p>
    <w:p>
      <w:pPr>
        <w:pStyle w:val="ListBullet"/>
      </w:pPr>
      <w:r>
        <w:t>Снимок МСП 2026 г. — не исторический; используется только как внешний показатель.</w:t>
      </w:r>
    </w:p>
    <w:p>
      <w:pPr>
        <w:pStyle w:val="ListBullet"/>
      </w:pPr>
      <w:r>
        <w:t>Детальный уровень устойчив лишь частично; выводы по отдельным детальным типам — гипотезы.</w:t>
      </w:r>
    </w:p>
    <w:p>
      <w:pPr>
        <w:pStyle w:val="ListBullet"/>
      </w:pPr>
      <w:r>
        <w:t>AVU при малом K дискретен (при K = 2 принимает значения 0 или 1) — сравнивается через z против перестановок, не по уровню.</w:t>
      </w:r>
    </w:p>
    <w:p>
      <w:pPr>
        <w:pStyle w:val="ListBullet"/>
      </w:pPr>
      <w:r>
        <w:t>Межгорье (ЗАТО) без СберИндекса и муниципальной демографии — вне основной типологии.</w:t>
      </w:r>
    </w:p>
    <w:p>
      <w:pPr>
        <w:pStyle w:val="Heading2"/>
      </w:pPr>
      <w:r>
        <w:t>12. Воспроизведение</w:t>
      </w:r>
    </w:p>
    <w:p>
      <w:r>
        <w:t xml:space="preserve">Одна команда из каталога </w:t>
      </w:r>
      <w:r>
        <w:rPr>
          <w:rFonts w:ascii="Consolas" w:hAnsi="Consolas"/>
          <w:sz w:val="18"/>
        </w:rPr>
        <w:t>econtypes_v5</w:t>
      </w:r>
      <w:r>
        <w:t xml:space="preserve">: </w:t>
      </w:r>
      <w:r>
        <w:rPr>
          <w:rFonts w:ascii="Consolas" w:hAnsi="Consolas"/>
          <w:sz w:val="18"/>
        </w:rPr>
        <w:t>bash scripts/run_all.sh</w:t>
      </w:r>
      <w:r>
        <w:t xml:space="preserve"> (база → тесты → расчёт → аудит → нагрузка → матрицы → D5 и дашборд → отчёт). Полный расчёт ≈ 17 мин на 4 vCPU, пик памяти 752 МиБ. Матрицы соответствия: </w:t>
      </w:r>
      <w:r>
        <w:rPr>
          <w:rFonts w:ascii="Consolas" w:hAnsi="Consolas"/>
          <w:sz w:val="18"/>
        </w:rPr>
        <w:t>docs/REQUIREMENTS_MATRIX.csv</w:t>
      </w:r>
      <w:r>
        <w:t xml:space="preserve">, </w:t>
      </w:r>
      <w:r>
        <w:rPr>
          <w:rFonts w:ascii="Consolas" w:hAnsi="Consolas"/>
          <w:sz w:val="18"/>
        </w:rPr>
        <w:t>docs/FORMULA_IMPLEMENTATION_MATRIX.csv</w:t>
      </w:r>
      <w:r>
        <w:t xml:space="preserve">; стресс-проверки: </w:t>
      </w:r>
      <w:r>
        <w:rPr>
          <w:rFonts w:ascii="Consolas" w:hAnsi="Consolas"/>
          <w:sz w:val="18"/>
        </w:rPr>
        <w:t>docs/STRESS_TEST_REPORT.md</w:t>
      </w:r>
      <w:r>
        <w:t>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econtypes v5 — отчёт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