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Аудит проекта econtypes</w:t>
        <w:br/>
        <w:t>и задание для Claude Code</w:t>
      </w:r>
    </w:p>
    <w:p>
      <w:r>
        <w:rPr>
          <w:b w:val="0"/>
          <w:sz w:val="20"/>
        </w:rPr>
        <w:t>Задача 1 Кластеризация муниципалитетов   |   09 октября 2026 года</w:t>
      </w:r>
    </w:p>
    <w:p>
      <w:r>
        <w:rPr>
          <w:b/>
        </w:rPr>
        <w:t>Проект уже содержит расчётный Python пакет и автономную визуализацию. До нового результата нужно исправить AVU, пересчитать временные слои без будущих данных и подтвердить муниципальную географию организаций. Подготовлена заполненная SQLite база и полное задание для Claude Code.</w:t>
      </w:r>
    </w:p>
    <w:p>
      <w:r>
        <w:rPr>
          <w:b w:val="0"/>
        </w:rPr>
        <w:t>Проверены два архива, HTML, документы с методами, все восемь обработанных частей контрактов и дополнительные данные. Новая итоговая кластеризация ещё не выполнялась. Текущий результат охватывает 63 МО Башкортостана; национальная типология требует отдельного запуска.</w:t>
      </w:r>
    </w:p>
    <w:p>
      <w:pPr>
        <w:pStyle w:val="Heading2"/>
      </w:pPr>
      <w:r>
        <w:t>Соответствие задаче конкурса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50"/>
        <w:gridCol w:w="6350"/>
      </w:tblGrid>
      <w:tr>
        <w:trPr>
          <w:cantSplit/>
          <w:tblHeader/>
        </w:trPr>
        <w:tc>
          <w:tcPr>
            <w:tcW w:type="dxa" w:w="2438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850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Вес</w:t>
            </w:r>
          </w:p>
        </w:tc>
        <w:tc>
          <w:tcPr>
            <w:tcW w:type="dxa" w:w="6350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Необходимая доработка</w:t>
            </w:r>
          </w:p>
        </w:tc>
      </w:tr>
      <w:tr>
        <w:trPr>
          <w:cantSplit/>
        </w:trPr>
        <w:tc>
          <w:tcPr>
            <w:tcW w:type="dxa" w:w="243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Методология</w:t>
            </w:r>
          </w:p>
        </w:tc>
        <w:tc>
          <w:tcPr>
            <w:tcW w:type="dxa" w:w="8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15%</w:t>
            </w:r>
          </w:p>
        </w:tc>
        <w:tc>
          <w:tcPr>
            <w:tcW w:type="dxa" w:w="63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Обосновать признаки, импутацию и режим временного анализа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Сеть и атрибуты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15%</w:t>
            </w:r>
          </w:p>
        </w:tc>
        <w:tc>
          <w:tcPr>
            <w:tcW w:type="dxa" w:w="63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Определить правило ребра, проверить географию и влияние разрежения</w:t>
            </w:r>
          </w:p>
        </w:tc>
      </w:tr>
      <w:tr>
        <w:trPr>
          <w:cantSplit/>
        </w:trPr>
        <w:tc>
          <w:tcPr>
            <w:tcW w:type="dxa" w:w="243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Динамика</w:t>
            </w:r>
          </w:p>
        </w:tc>
        <w:tc>
          <w:tcPr>
            <w:tcW w:type="dxa" w:w="8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15%</w:t>
            </w:r>
          </w:p>
        </w:tc>
        <w:tc>
          <w:tcPr>
            <w:tcW w:type="dxa" w:w="63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Допустимые окна, выравнивание меток и события разделения и слияния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ICVI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15%</w:t>
            </w:r>
          </w:p>
        </w:tc>
        <w:tc>
          <w:tcPr>
            <w:tcW w:type="dxa" w:w="63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SW, CH, S_Dbw, AVI, AVU, MQ с явными формулами и направлениями</w:t>
            </w:r>
          </w:p>
        </w:tc>
      </w:tr>
      <w:tr>
        <w:trPr>
          <w:cantSplit/>
        </w:trPr>
        <w:tc>
          <w:tcPr>
            <w:tcW w:type="dxa" w:w="243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Смысл и воспроизводимость</w:t>
            </w:r>
          </w:p>
        </w:tc>
        <w:tc>
          <w:tcPr>
            <w:tcW w:type="dxa" w:w="8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30%</w:t>
            </w:r>
          </w:p>
        </w:tc>
        <w:tc>
          <w:tcPr>
            <w:tcW w:type="dxa" w:w="6350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Независимый экономический контекст, полный пересчёт, происхождение данных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Визуализация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10%</w:t>
            </w:r>
          </w:p>
        </w:tc>
        <w:tc>
          <w:tcPr>
            <w:tcW w:type="dxa" w:w="6350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Периоды, переходы, неопределённость и полнота данных в интерфейсе</w:t>
            </w:r>
          </w:p>
        </w:tc>
      </w:tr>
    </w:tbl>
    <w:p>
      <w:pPr>
        <w:pStyle w:val="Heading2"/>
      </w:pPr>
      <w:r>
        <w:t>Что передаётся для работы</w:t>
      </w:r>
    </w:p>
    <w:p>
      <w:r>
        <w:rPr>
          <w:b w:val="0"/>
        </w:rPr>
        <w:t>Полный промпт включён в приложение и отдельно сохранён в CLAUDE_CODE_PROMPT.txt. В архиве находятся новая база, карта файлов PROJECT_DATA_MAP.md, математическая записка METHODS_SELECTION.md, подробный AUDIT.md, исходники и скрипты повторения проверок.</w:t>
      </w:r>
    </w:p>
    <w:p>
      <w:r>
        <w:rPr>
          <w:b w:val="0"/>
        </w:rPr>
        <w:t>Фраза «нет ограничений» означает отсутствие искусственного ограничения на число файлов, МО или объём задачи. Реальные квоты источников, доступность данных и память фиксируются; загрузки должны возобновляться после сбоев.</w:t>
      </w:r>
    </w:p>
    <w:p>
      <w:r>
        <w:br w:type="page"/>
      </w:r>
    </w:p>
    <w:p>
      <w:pPr>
        <w:pStyle w:val="Heading1"/>
      </w:pPr>
      <w:r>
        <w:t>Результат проверки исходного проекта</w:t>
      </w:r>
    </w:p>
    <w:p>
      <w:r>
        <w:rPr>
          <w:b w:val="0"/>
        </w:rPr>
        <w:t>На сохранённых таблицах восстановлены 32 признака и полная fusion сеть. Это проверка экспорта, а не новый ingest исходных parquet СберИндекса и ЕИС. Основных raw parquet в архиве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01"/>
        <w:gridCol w:w="4989"/>
      </w:tblGrid>
      <w:tr>
        <w:trPr>
          <w:cantSplit/>
          <w:tblHeader/>
        </w:trPr>
        <w:tc>
          <w:tcPr>
            <w:tcW w:type="dxa" w:w="2948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1701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989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Оговорка</w:t>
            </w:r>
          </w:p>
        </w:tc>
      </w:tr>
      <w:tr>
        <w:trPr>
          <w:cantSplit/>
        </w:trPr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SW</w:t>
            </w:r>
          </w:p>
        </w:tc>
        <w:tc>
          <w:tcPr>
            <w:tcW w:type="dxa" w:w="1701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0.051032</w:t>
            </w:r>
          </w:p>
        </w:tc>
        <w:tc>
          <w:tcPr>
            <w:tcW w:type="dxa" w:w="4989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Сильное перекрытие профилей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CH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5.851583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Сравнивать на одной матрице признаков</w:t>
            </w:r>
          </w:p>
        </w:tc>
      </w:tr>
      <w:tr>
        <w:trPr>
          <w:cantSplit/>
        </w:trPr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S_Dbw</w:t>
            </w:r>
          </w:p>
        </w:tc>
        <w:tc>
          <w:tcPr>
            <w:tcW w:type="dxa" w:w="1701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0.718147</w:t>
            </w:r>
          </w:p>
        </w:tc>
        <w:tc>
          <w:tcPr>
            <w:tcW w:type="dxa" w:w="4989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Старая реализация ещё требует сверки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MQ как modularity Q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0.244138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На полной расчётной сети</w:t>
            </w:r>
          </w:p>
        </w:tc>
      </w:tr>
      <w:tr>
        <w:trPr>
          <w:cantSplit/>
        </w:trPr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AVI</w:t>
            </w:r>
          </w:p>
        </w:tc>
        <w:tc>
          <w:tcPr>
            <w:tcW w:type="dxa" w:w="1701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0.372089</w:t>
            </w:r>
          </w:p>
        </w:tc>
        <w:tc>
          <w:tcPr>
            <w:tcW w:type="dxa" w:w="4989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Совпадает с проверенной формулой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Старый показатель AVU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0.801705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Другая формула и неверное направление</w:t>
            </w:r>
          </w:p>
        </w:tc>
      </w:tr>
      <w:tr>
        <w:trPr>
          <w:cantSplit/>
        </w:trPr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AVU по статье</w:t>
            </w:r>
          </w:p>
        </w:tc>
        <w:tc>
          <w:tcPr>
            <w:tcW w:type="dxa" w:w="1701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0.535831</w:t>
            </w:r>
          </w:p>
        </w:tc>
        <w:tc>
          <w:tcPr>
            <w:tcW w:type="dxa" w:w="4989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Нужно минимизировать</w:t>
            </w:r>
          </w:p>
        </w:tc>
      </w:tr>
    </w:tbl>
    <w:p>
      <w:r>
        <w:rPr>
          <w:b w:val="0"/>
        </w:rPr>
        <w:t>Сетевые значения воспроизведены с погрешностью менее 4×10⁻⁷ из-за округления весов. Для кластеризации использованы 1065 положительных рёбер; визуальный экспорт повторно разрежен до 310. Это разные сети, и их показатели нельзя подменять.</w:t>
      </w:r>
    </w:p>
    <w:p>
      <w:pPr>
        <w:pStyle w:val="Heading2"/>
      </w:pPr>
      <w:r>
        <w:t>Двенадцать целевых проверок</w:t>
      </w:r>
    </w:p>
    <w:p>
      <w:r>
        <w:rPr>
          <w:b w:val="0"/>
        </w:rPr>
        <w:t>Пять PASS: размер и конечность baseline, воспроизведение ICVI, нагрузочная проверка kNN, инвариантность к переименованию меток, отклонение K=N библиотекой. Семь FAIL: формула AVU, изолированные клики, нулевые permutation p-values, постоянные DTW ряды, log(0), k&gt;N и временные слои по полному горизонту.</w:t>
      </w:r>
    </w:p>
    <w:p>
      <w:r>
        <w:rPr>
          <w:b w:val="0"/>
        </w:rPr>
        <w:t>Проверка временной утечки выполнена чтением кода. Исполняемый эксперимент с изменением будущих наблюдений ещё нужен. Полный pytest и национальный конвейер не запускались; результат не объявляется полностью прошедшим проверки.</w:t>
      </w:r>
    </w:p>
    <w:p>
      <w:pPr>
        <w:pStyle w:val="Heading2"/>
      </w:pPr>
      <w:r>
        <w:t>Фактический нагрузочный запуск</w:t>
      </w:r>
    </w:p>
    <w:p>
      <w:r>
        <w:rPr>
          <w:b w:val="0"/>
        </w:rPr>
        <w:t>kNN на N=2016, k=8: 9654 ребра после симметризации, плотная матрица 32 514 048 байт, около 0.17 секунды в этом окружении. Peak RSS всего аудита 288 560 КиБ. Эти числа не описывают all-pairs DTW, полную загрузку данных или браузерную визуализацию.</w:t>
      </w:r>
    </w:p>
    <w:p>
      <w:r>
        <w:rPr>
          <w:b w:val="0"/>
        </w:rPr>
        <w:t>Другие важные исправления: разделить ноль и отсутствие покрытия; заменить привязку МО по префиксу ИНН; пересмотреть принудительные K и min_cluster_size; отличать прогноз собственных меток от независимого экономического подтверждения.</w:t>
      </w:r>
    </w:p>
    <w:p>
      <w:r>
        <w:br w:type="page"/>
      </w:r>
    </w:p>
    <w:p>
      <w:pPr>
        <w:pStyle w:val="Heading1"/>
      </w:pPr>
      <w:r>
        <w:t>Формулы обязательных критериев качества</w:t>
      </w:r>
    </w:p>
    <w:p>
      <w:r>
        <w:rPr>
          <w:b w:val="0"/>
        </w:rPr>
        <w:t>X — общая преобразованная матрица признаков; W — симметричная неотрицательная сеть с нулевой диагональю. Метрики разных моделей считаются на сопоставимых X и W. Для K=1 и K=N некоторые индексы не определены.</w:t>
      </w:r>
    </w:p>
    <w:p>
      <w:pPr>
        <w:pStyle w:val="Heading2"/>
      </w:pPr>
      <w:r>
        <w:t>Атрибутивное пространство</w:t>
      </w:r>
    </w:p>
    <w:p>
      <w:pPr>
        <w:spacing w:before="60" w:after="100"/>
      </w:pPr>
      <m:oMathPara>
        <m:oMathParaPr>
          <m:jc m:val="left"/>
        </m:oMathParaPr>
        <m:oMath>
          <m:r>
            <m:t xml:space="preserve">SW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t xml:space="preserve">i</m:t>
              </m:r>
            </m:sub>
            <m:sup/>
            <m:e>
              <m:f>
                <m:num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 −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num>
                <m:den>
                  <m:r>
                    <m:t xml:space="preserve">max(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, 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)</m:t>
                  </m:r>
                </m:den>
              </m:f>
            </m:e>
          </m:nary>
        </m:oMath>
      </m:oMathPara>
    </w:p>
    <w:p>
      <w:r>
        <w:rPr>
          <w:b w:val="0"/>
          <w:sz w:val="20"/>
        </w:rPr>
        <w:t>aᵢ — средняя дистанция внутри своего кластера без самого узла; bᵢ — минимальная средняя дистанция до другого кластера. Для singleton применяется явная конвенция 0. SW максимизируется.</w:t>
      </w:r>
    </w:p>
    <w:p>
      <w:pPr>
        <w:spacing w:before="60" w:after="100"/>
      </w:pPr>
      <m:oMathPara>
        <m:oMathParaPr>
          <m:jc m:val="left"/>
        </m:oMathParaPr>
        <m:oMath>
          <m:r>
            <m:t xml:space="preserve">CH = </m:t>
          </m:r>
          <m:f>
            <m:num>
              <m:r>
                <m:t xml:space="preserve">tr(B) / (K − 1)</m:t>
              </m:r>
            </m:num>
            <m:den>
              <m:r>
                <m:t xml:space="preserve">tr(S) / (n − K)</m:t>
              </m:r>
            </m:den>
          </m:f>
        </m:oMath>
      </m:oMathPara>
    </w:p>
    <w:p>
      <w:r>
        <w:rPr>
          <w:b w:val="0"/>
          <w:sz w:val="20"/>
        </w:rPr>
        <w:t>B и S — межкластерная и внутрикластерная scatter матрицы; CH максимизируется. S_Dbw = Scat + Dens_bw минимизируется. Радиус плотности и нормировка Dens_bw зависят от выбранного опубликованного варианта; текущий код не сертифицирован как каноническая реализация. Перед подбором модели нужна сверка с первоисточником.</w:t>
      </w:r>
    </w:p>
    <w:p>
      <w:pPr>
        <w:pStyle w:val="Heading2"/>
      </w:pPr>
      <w:r>
        <w:t>Сетевое пространство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E</m:t>
              </m:r>
            </m:e>
            <m:sub>
              <m:r>
                <m:t xml:space="preserve">ab</m:t>
              </m:r>
            </m:sub>
          </m:sSub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i ∈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a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j ∈ 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sub>
                <m:sup/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ij</m:t>
                      </m:r>
                    </m:sub>
                  </m:sSub>
                </m:e>
              </m:nary>
            </m:e>
          </m:nary>
          <m:r>
            <m:t xml:space="preserve">     </m:t>
          </m:r>
          <m:sSub>
            <m:e>
              <m:r>
                <m:t xml:space="preserve">B</m:t>
              </m:r>
            </m:e>
            <m:sub>
              <m:r>
                <m:t xml:space="preserve">a</m:t>
              </m:r>
            </m:sub>
          </m:sSub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b ≠ a</m:t>
              </m:r>
            </m:sub>
            <m:sup/>
            <m:e>
              <m:sSub>
                <m:e>
                  <m:r>
                    <m:t xml:space="preserve">E</m:t>
                  </m:r>
                </m:e>
                <m:sub>
                  <m:r>
                    <m:t xml:space="preserve">ab</m:t>
                  </m:r>
                </m:sub>
              </m:sSub>
            </m:e>
          </m:nary>
        </m:oMath>
      </m:oMathPara>
    </w:p>
    <w:p>
      <w:pPr>
        <w:spacing w:before="60" w:after="100"/>
      </w:pPr>
      <m:oMathPara>
        <m:oMathParaPr>
          <m:jc m:val="left"/>
        </m:oMathParaPr>
        <m:oMath>
          <m:r>
            <m:t xml:space="preserve">AVI = </m:t>
          </m:r>
          <m:f>
            <m:num>
              <m:r>
                <m:t xml:space="preserve">1</m:t>
              </m:r>
            </m:num>
            <m:den>
              <m:r>
                <m:t xml:space="preserve">K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t xml:space="preserve">a</m:t>
              </m:r>
            </m:sub>
            <m:sup/>
            <m:e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aa</m:t>
                      </m:r>
                    </m:sub>
                  </m:sSub>
                </m:num>
                <m:den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aa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den>
              </m:f>
            </m:e>
          </m:nary>
        </m:oMath>
      </m:oMathPara>
    </w:p>
    <w:p>
      <w:pPr>
        <w:spacing w:before="60" w:after="100"/>
      </w:pPr>
      <m:oMathPara>
        <m:oMathParaPr>
          <m:jc m:val="left"/>
        </m:oMathParaPr>
        <m:oMath>
          <m:r>
            <m:t xml:space="preserve">AVU = </m:t>
          </m:r>
          <m:f>
            <m:num>
              <m:r>
                <m:t xml:space="preserve">1</m:t>
              </m:r>
            </m:num>
            <m:den>
              <m:r>
                <m:t xml:space="preserve">K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t xml:space="preserve">a</m:t>
              </m:r>
            </m:sub>
            <m:sup/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b ≠ a</m:t>
                  </m:r>
                </m:sub>
                <m:sup/>
                <m:e>
                  <m:f>
                    <m:num>
                      <m:sSub>
                        <m:e>
                          <m:r>
                            <m:t xml:space="preserve">E</m:t>
                          </m:r>
                        </m:e>
                        <m:sub>
                          <m:r>
                            <m:t xml:space="preserve">ab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a</m:t>
                          </m:r>
                        </m:sub>
                      </m:sSub>
                      <m:r>
                        <m:t xml:space="preserve"> + </m:t>
                      </m:r>
                      <m:sSub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t xml:space="preserve">E</m:t>
                          </m:r>
                        </m:e>
                        <m:sub>
                          <m:r>
                            <m:t xml:space="preserve">ab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>
      <w:r>
        <w:rPr>
          <w:b w:val="0"/>
          <w:sz w:val="20"/>
        </w:rPr>
        <w:t>AVI максимизируется, AVU минимизируется. Для пары без внешних рёбер доля AVU задаётся 0 как явное расширение на несвязный граф. AVI полностью изолированного кластера также требует оговорённой конвенции.</w:t>
      </w:r>
    </w:p>
    <w:p>
      <w:pPr>
        <w:spacing w:before="60" w:after="100"/>
      </w:pPr>
      <m:oMathPara>
        <m:oMathParaPr>
          <m:jc m:val="left"/>
        </m:oMathParaPr>
        <m:oMath>
          <m:r>
            <m:t xml:space="preserve">Q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a</m:t>
              </m:r>
            </m:sub>
            <m:sup/>
            <m:e>
              <m:r>
                <m:t xml:space="preserve">[ 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aa</m:t>
                      </m:r>
                    </m:sub>
                  </m:sSub>
                </m:num>
                <m:den>
                  <m:r>
                    <m:t xml:space="preserve">2M</m:t>
                  </m:r>
                </m:den>
              </m:f>
              <m:r>
                <m:t xml:space="preserve"> − </m:t>
              </m:r>
              <m:sSup>
                <m:e>
                  <m:r>
                    <m:t xml:space="preserve">(</m:t>
                  </m:r>
                  <m:f>
                    <m:num>
                      <m:sSub>
                        <m:e>
                          <m:r>
                            <m:t xml:space="preserve">V</m:t>
                          </m:r>
                        </m:e>
                        <m:sub>
                          <m:r>
                            <m:t xml:space="preserve">a</m:t>
                          </m:r>
                        </m:sub>
                      </m:sSub>
                    </m:num>
                    <m:den>
                      <m:r>
                        <m:t xml:space="preserve">2M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]</m:t>
              </m:r>
            </m:e>
          </m:nary>
        </m:oMath>
      </m:oMathPara>
    </w:p>
    <w:p>
      <w:r>
        <w:rPr>
          <w:b w:val="0"/>
          <w:sz w:val="20"/>
        </w:rPr>
        <w:t>2M = ΣᵢⱼWᵢⱼ, Vₐ — сумма взвешенных степеней узлов кластера. В текущем проекте MQ означает modularity Q и максимизируется. Аббревиатура MQ неоднозначна: Claude Code должен подтвердить требуемое конкурсом определение.</w:t>
      </w:r>
    </w:p>
    <w:p>
      <w:r>
        <w:rPr>
          <w:b w:val="0"/>
          <w:sz w:val="18"/>
        </w:rPr>
        <w:t>Основание AVI и AVU: Shalileh и соавторы, Cluster Validity across Attribute and Network Spaces, DOI 10.1134/S1064562425700589, онлайн 22.03.2026. Для оценки всех индексов нужны null модели, устойчивость и проверка чувствительности; одно среднее z не доказывает качество.</w:t>
      </w:r>
    </w:p>
    <w:p>
      <w:r>
        <w:br w:type="page"/>
      </w:r>
    </w:p>
    <w:p>
      <w:pPr>
        <w:pStyle w:val="Heading1"/>
      </w:pPr>
      <w:r>
        <w:t>Новая рабочая база и население</w:t>
      </w:r>
    </w:p>
    <w:p>
      <w:r>
        <w:rPr>
          <w:b w:val="0"/>
        </w:rPr>
        <w:t>econtypes_research_20261009.sqlite заполнена реальными прочитанными файлами. Шесть проверок базы имеют PASS; SQLite integrity_check — ok, нарушений внешних ключей нет. Это отдельная проверка импорта, не подтверждение исправности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587"/>
        <w:gridCol w:w="4535"/>
      </w:tblGrid>
      <w:tr>
        <w:trPr>
          <w:cantSplit/>
          <w:tblHeader/>
        </w:trPr>
        <w:tc>
          <w:tcPr>
            <w:tcW w:type="dxa" w:w="3515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Таблица или слой</w:t>
            </w:r>
          </w:p>
        </w:tc>
        <w:tc>
          <w:tcPr>
            <w:tcW w:type="dxa" w:w="1587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Объём</w:t>
            </w:r>
          </w:p>
        </w:tc>
        <w:tc>
          <w:tcPr>
            <w:tcW w:type="dxa" w:w="4535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Период и статус</w:t>
            </w:r>
          </w:p>
        </w:tc>
      </w:tr>
      <w:tr>
        <w:trPr>
          <w:cantSplit/>
        </w:trPr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Муниципалитеты</w:t>
            </w:r>
          </w:p>
        </w:tc>
        <w:tc>
          <w:tcPr>
            <w:tcW w:type="dxa" w:w="1587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63</w:t>
            </w:r>
          </w:p>
        </w:tc>
        <w:tc>
          <w:tcPr>
            <w:tcW w:type="dxa" w:w="453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Башкортостан; official_oktmo пока NULL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Население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252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63 МО × четыре даты 2022–2025</w:t>
            </w:r>
          </w:p>
        </w:tc>
      </w:tr>
      <w:tr>
        <w:trPr>
          <w:cantSplit/>
        </w:trPr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МСП РБ</w:t>
            </w:r>
          </w:p>
        </w:tc>
        <w:tc>
          <w:tcPr>
            <w:tcW w:type="dxa" w:w="1587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150 234</w:t>
            </w:r>
          </w:p>
        </w:tc>
        <w:tc>
          <w:tcPr>
            <w:tcW w:type="dxa" w:w="453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Snapshot 10.09.2026, уникальные ИНН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Индекс поставщиков МСП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157 996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Релевантные фирмы разных регионов</w:t>
            </w:r>
          </w:p>
        </w:tc>
      </w:tr>
      <w:tr>
        <w:trPr>
          <w:cantSplit/>
        </w:trPr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Обработанные контракты</w:t>
            </w:r>
          </w:p>
        </w:tc>
        <w:tc>
          <w:tcPr>
            <w:tcW w:type="dxa" w:w="1587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359 615</w:t>
            </w:r>
          </w:p>
        </w:tc>
        <w:tc>
          <w:tcPr>
            <w:tcW w:type="dxa" w:w="453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Все 8 canonical CSV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АТМО наблюдения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1 045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223-ФЗ 910; проверенная часть 44-ФЗ 135</w:t>
            </w:r>
          </w:p>
        </w:tc>
      </w:tr>
      <w:tr>
        <w:trPr>
          <w:cantSplit/>
        </w:trPr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Объявления и лоты XLSX</w:t>
            </w:r>
          </w:p>
        </w:tc>
        <w:tc>
          <w:tcPr>
            <w:tcW w:type="dxa" w:w="1587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10 000</w:t>
            </w:r>
          </w:p>
        </w:tc>
        <w:tc>
          <w:tcPr>
            <w:tcW w:type="dxa" w:w="453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Отдельное зерно, не список контрактов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Архивные признаки</w:t>
            </w:r>
          </w:p>
        </w:tc>
        <w:tc>
          <w:tcPr>
            <w:tcW w:type="dxa" w:w="1587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2 016</w:t>
            </w:r>
          </w:p>
        </w:tc>
        <w:tc>
          <w:tcPr>
            <w:tcW w:type="dxa" w:w="453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63 МО × 32 признака за 2023–2024</w:t>
            </w:r>
          </w:p>
        </w:tc>
      </w:tr>
      <w:tr>
        <w:trPr>
          <w:cantSplit/>
        </w:trPr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Источники с SHA 256</w:t>
            </w:r>
          </w:p>
        </w:tc>
        <w:tc>
          <w:tcPr>
            <w:tcW w:type="dxa" w:w="1587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18</w:t>
            </w:r>
          </w:p>
        </w:tc>
        <w:tc>
          <w:tcPr>
            <w:tcW w:type="dxa" w:w="453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Периоды, URLs и ограничения</w:t>
            </w:r>
          </w:p>
        </w:tc>
      </w:tr>
    </w:tbl>
    <w:p>
      <w:r>
        <w:rPr>
          <w:b w:val="0"/>
        </w:rPr>
        <w:t>Join поставщиков с МСП на дату 10.09.2026: 173 892 найдено, 103 660 не найдено, у 82 063 нет ИНН. Региональный реестр один даёт 129 014 совпадений. Национальный индекс здесь — отбор релевантных фирм, не весь реестр России. Snapshot не доказывает статус МСП на дату старого контракта.</w:t>
      </w:r>
    </w:p>
    <w:p>
      <w:pPr>
        <w:pStyle w:val="Heading2"/>
      </w:pPr>
      <w:r>
        <w:t>Контроль населения по официальным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515"/>
        <w:gridCol w:w="3685"/>
      </w:tblGrid>
      <w:tr>
        <w:trPr>
          <w:cantSplit/>
          <w:tblHeader/>
        </w:trPr>
        <w:tc>
          <w:tcPr>
            <w:tcW w:type="dxa" w:w="2438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3515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Сумма 63 МО</w:t>
            </w:r>
          </w:p>
        </w:tc>
        <w:tc>
          <w:tcPr>
            <w:tcW w:type="dxa" w:w="3685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Контроль региона</w:t>
            </w:r>
          </w:p>
        </w:tc>
      </w:tr>
      <w:tr>
        <w:trPr>
          <w:cantSplit/>
        </w:trPr>
        <w:tc>
          <w:tcPr>
            <w:tcW w:type="dxa" w:w="243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01.01.2022</w:t>
            </w:r>
          </w:p>
        </w:tc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4 091 621</w:t>
            </w:r>
          </w:p>
        </w:tc>
        <w:tc>
          <w:tcPr>
            <w:tcW w:type="dxa" w:w="368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Совпадает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01.01.2023</w:t>
            </w:r>
          </w:p>
        </w:tc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4 077 600</w:t>
            </w:r>
          </w:p>
        </w:tc>
        <w:tc>
          <w:tcPr>
            <w:tcW w:type="dxa" w:w="368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Совпадает</w:t>
            </w:r>
          </w:p>
        </w:tc>
      </w:tr>
      <w:tr>
        <w:trPr>
          <w:cantSplit/>
        </w:trPr>
        <w:tc>
          <w:tcPr>
            <w:tcW w:type="dxa" w:w="243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01.01.2024</w:t>
            </w:r>
          </w:p>
        </w:tc>
        <w:tc>
          <w:tcPr>
            <w:tcW w:type="dxa" w:w="351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4 064 361</w:t>
            </w:r>
          </w:p>
        </w:tc>
        <w:tc>
          <w:tcPr>
            <w:tcW w:type="dxa" w:w="3685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Совпадает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01.01.2025</w:t>
            </w:r>
          </w:p>
        </w:tc>
        <w:tc>
          <w:tcPr>
            <w:tcW w:type="dxa" w:w="351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4 042 377</w:t>
            </w:r>
          </w:p>
        </w:tc>
        <w:tc>
          <w:tcPr>
            <w:tcW w:type="dxa" w:w="3685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Совпадает</w:t>
            </w:r>
          </w:p>
        </w:tc>
      </w:tr>
    </w:tbl>
    <w:p>
      <w:r>
        <w:rPr>
          <w:b w:val="0"/>
        </w:rPr>
        <w:t>Между 2024 и 2025 численность снизилась на 21 984 человека, около 0.541%. Рост наблюдается у пяти МО: Уфа, Уфимский, Иглинский, Октябрьский и Стерлитамакский. Новая дата скачивания не превращает срез 2025 года в статистику 2026 года.</w:t>
      </w:r>
    </w:p>
    <w:p>
      <w:r>
        <w:rPr>
          <w:b w:val="0"/>
          <w:sz w:val="20"/>
        </w:rPr>
        <w:t>Не хватает raw СберИндекс, проверенного исторического ИНН→ОКТМО и истории МСП. Возрастные данные переписи найдены, но не импортированы. Пробелы перечислены в карте и промпте; значения не заменены выдуманными наблюдениями.</w:t>
      </w:r>
    </w:p>
    <w:p>
      <w:r>
        <w:br w:type="page"/>
      </w:r>
    </w:p>
    <w:p>
      <w:pPr>
        <w:pStyle w:val="Heading1"/>
      </w:pPr>
      <w:r>
        <w:t>Самостоятельная проверка АТМО и контрактов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2"/>
        <w:gridCol w:w="2778"/>
        <w:gridCol w:w="2948"/>
      </w:tblGrid>
      <w:tr>
        <w:trPr>
          <w:cantSplit/>
          <w:tblHeader/>
        </w:trPr>
        <w:tc>
          <w:tcPr>
            <w:tcW w:type="dxa" w:w="3912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2778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223 ФЗ</w:t>
            </w:r>
          </w:p>
        </w:tc>
        <w:tc>
          <w:tcPr>
            <w:tcW w:type="dxa" w:w="2948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44 ФЗ</w:t>
            </w:r>
          </w:p>
        </w:tc>
      </w:tr>
      <w:tr>
        <w:trPr>
          <w:cantSplit/>
        </w:trPr>
        <w:tc>
          <w:tcPr>
            <w:tcW w:type="dxa" w:w="391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Прочитано наблюдений</w:t>
            </w:r>
          </w:p>
        </w:tc>
        <w:tc>
          <w:tcPr>
            <w:tcW w:type="dxa" w:w="277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910</w:t>
            </w:r>
          </w:p>
        </w:tc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135 одной части</w:t>
            </w:r>
          </w:p>
        </w:tc>
      </w:tr>
      <w:tr>
        <w:trPr>
          <w:cantSplit/>
        </w:trPr>
        <w:tc>
          <w:tcPr>
            <w:tcW w:type="dxa" w:w="391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Уникальные API id</w:t>
            </w:r>
          </w:p>
        </w:tc>
        <w:tc>
          <w:tcPr>
            <w:tcW w:type="dxa" w:w="277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908</w:t>
            </w:r>
          </w:p>
        </w:tc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391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Точные повторы</w:t>
            </w:r>
          </w:p>
        </w:tc>
        <w:tc>
          <w:tcPr>
            <w:tcW w:type="dxa" w:w="277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91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Даты заключения</w:t>
            </w:r>
          </w:p>
        </w:tc>
        <w:tc>
          <w:tcPr>
            <w:tcW w:type="dxa" w:w="277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16.01.2025–08.10.2026</w:t>
            </w:r>
          </w:p>
        </w:tc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10.01.2024–11.12.2024</w:t>
            </w:r>
          </w:p>
        </w:tc>
      </w:tr>
      <w:tr>
        <w:trPr>
          <w:cantSplit/>
        </w:trPr>
        <w:tc>
          <w:tcPr>
            <w:tcW w:type="dxa" w:w="391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Потерянный предмет в normalized</w:t>
            </w:r>
          </w:p>
        </w:tc>
        <w:tc>
          <w:tcPr>
            <w:tcW w:type="dxa" w:w="277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910</w:t>
            </w:r>
          </w:p>
        </w:tc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391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Потерянная дата в normalized</w:t>
            </w:r>
          </w:p>
        </w:tc>
        <w:tc>
          <w:tcPr>
            <w:tcW w:type="dxa" w:w="277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948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391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Нет обоих ИНН</w:t>
            </w:r>
          </w:p>
        </w:tc>
        <w:tc>
          <w:tcPr>
            <w:tcW w:type="dxa" w:w="277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910</w:t>
            </w:r>
          </w:p>
        </w:tc>
        <w:tc>
          <w:tcPr>
            <w:tcW w:type="dxa" w:w="2948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135</w:t>
            </w:r>
          </w:p>
        </w:tc>
      </w:tr>
    </w:tbl>
    <w:p>
      <w:r>
        <w:rPr>
          <w:b w:val="0"/>
        </w:rPr>
        <w:t>Нормализатор заменяет предмет на закон или этап процедуры. В raw есть purchase_object и даты; новая база сохраняет исходный JSON и восстанавливает эти поля. Без ИНН нельзя достоверно присоединить такие строки к МСП и муниципальным потокам.</w:t>
      </w:r>
    </w:p>
    <w:p>
      <w:r>
        <w:rPr>
          <w:b w:val="0"/>
        </w:rPr>
        <w:t>223-ФЗ после удаления двух точных повторов: 149 559 875.64 руб.; до удаления 149 731 148.24 руб. Все 910 наблюдений имеют статус active. Цена реестра не равна оплате или расходам.</w:t>
      </w:r>
    </w:p>
    <w:p>
      <w:r>
        <w:rPr>
          <w:b w:val="0"/>
        </w:rPr>
        <w:t>44-ФЗ: active 74, fulfilled 58, terminated 3. Сумма цен 3 602 584.41 руб. объединяет разные статусы и не является фактическим расходом. Фильтр 2024-12 относится к публикации: он не гарантирует декабрьскую дату договора.</w:t>
      </w:r>
    </w:p>
    <w:p>
      <w:pPr>
        <w:pStyle w:val="Heading2"/>
      </w:pPr>
      <w:r>
        <w:t>Границы проверки полноты</w:t>
      </w:r>
    </w:p>
    <w:p>
      <w:r>
        <w:rPr>
          <w:b w:val="0"/>
        </w:rPr>
        <w:t>Манифест нового сборщика заявляет 493 912 записей 44-ФЗ за публикации 2025–2026. Полный набор в этой работе не прочитан и не добавлен к суммам как проверенный. Список папки АТМО получен до 1000 элементов и может быть неполным. Промпт требует полной пагинации, сверки частей и checkpoint resume.</w:t>
      </w:r>
    </w:p>
    <w:p>
      <w:pPr>
        <w:pStyle w:val="Heading2"/>
      </w:pPr>
      <w:r>
        <w:t>Что подтверждено по СБИС и ЕИС</w:t>
      </w:r>
    </w:p>
    <w:p>
      <w:r>
        <w:rPr>
          <w:b w:val="0"/>
        </w:rPr>
        <w:t>Все восемь canonical CSV импортированы: 359 615 строк. Исходные identity_basis, currency и financial_status сохранены. Upstream основания идентичности имеются у 357 156 записей; 2459 основаны только на точном совпадении представления. Все исходные 1381 XLSX повторно не разобраны.</w:t>
      </w:r>
    </w:p>
    <w:p>
      <w:r>
        <w:rPr>
          <w:b w:val="0"/>
        </w:rPr>
        <w:t>Известные RUB суммы дают 1 263 174 213 398.89 руб. и совпадают с прежним отчётом. Иностранные валюты, конфликты и неопределённые записи не складываются с рублями. Новые АТМО наблюдения не прибавляются к этому набору до межисточниковой дедупликации.</w:t>
      </w:r>
    </w:p>
    <w:p>
      <w:r>
        <w:rPr>
          <w:b w:val="0"/>
          <w:sz w:val="20"/>
        </w:rPr>
        <w:t>В МСП РБ у 111 477 записей отсутствует headcount. Текстовая география остаётся кандидатом: 60 089 районных, 90 144 городских и один конфликт. Эти адресные результаты ещё не являются проверенным ОКТМО.</w:t>
      </w:r>
    </w:p>
    <w:p>
      <w:r>
        <w:br w:type="page"/>
      </w:r>
    </w:p>
    <w:p>
      <w:pPr>
        <w:pStyle w:val="Heading1"/>
      </w:pPr>
      <w:r>
        <w:t>Формулы для структуры экономики и рёбер</w:t>
      </w:r>
    </w:p>
    <w:p>
      <w:r>
        <w:rPr>
          <w:b w:val="0"/>
        </w:rPr>
        <w:t>Из файла 4 выбраны композиционный анализ и сглаженная специализация. Их смысл напрямую связан с типами местных экономик. Они проверяются экспериментально; прирост качества пока не измерен.</w:t>
      </w:r>
    </w:p>
    <w:p>
      <w:pPr>
        <w:pStyle w:val="Heading2"/>
      </w:pPr>
      <w:r>
        <w:t>Композиции расходов и отраслей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clr(p)</m:t>
              </m:r>
            </m:e>
            <m:sub>
              <m:r>
                <m:t xml:space="preserve">j</m:t>
              </m:r>
            </m:sub>
          </m:sSub>
          <m:r>
            <m:t xml:space="preserve"> = log </m:t>
          </m:r>
          <m:sSub>
            <m:e>
              <m:r>
                <m:t xml:space="preserve">p</m:t>
              </m:r>
            </m:e>
            <m:sub>
              <m:r>
                <m:t xml:space="preserve">j</m:t>
              </m:r>
            </m:sub>
          </m:sSub>
          <m:r>
            <m:t xml:space="preserve"> − </m:t>
          </m:r>
          <m:f>
            <m:num>
              <m:r>
                <m:t xml:space="preserve">1</m:t>
              </m:r>
            </m:num>
            <m:den>
              <m:r>
                <m:t xml:space="preserve">D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t xml:space="preserve">r</m:t>
              </m:r>
            </m:sub>
            <m:sup/>
            <m:e>
              <m:r>
                <m:t xml:space="preserve">log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</m:e>
          </m:nary>
        </m:oMath>
      </m:oMathPara>
    </w:p>
    <w:p>
      <w:pPr>
        <w:spacing w:before="60" w:after="100"/>
      </w:pPr>
      <m:oMathPara>
        <m:oMathParaPr>
          <m:jc m:val="left"/>
        </m:oMathParaPr>
        <m:oMath>
          <m:r>
            <m:t xml:space="preserve">z = </m:t>
          </m:r>
          <m:sSup>
            <m:e>
              <m:r>
                <m:t xml:space="preserve">V</m:t>
              </m:r>
            </m:e>
            <m:sup>
              <m:r>
                <m:t xml:space="preserve">T</m:t>
              </m:r>
            </m:sup>
          </m:sSup>
          <m:r>
            <m:t xml:space="preserve"> log p     </m:t>
          </m:r>
          <m:sSup>
            <m:e>
              <m:r>
                <m:t xml:space="preserve">V</m:t>
              </m:r>
            </m:e>
            <m:sup>
              <m:r>
                <m:t xml:space="preserve">T</m:t>
              </m:r>
            </m:sup>
          </m:sSup>
          <m:r>
            <m:t xml:space="preserve">V = I     </m:t>
          </m:r>
          <m:sSup>
            <m:e>
              <m:r>
                <m:t xml:space="preserve">V</m:t>
              </m:r>
            </m:e>
            <m:sup>
              <m:r>
                <m:t xml:space="preserve">T</m:t>
              </m:r>
            </m:sup>
          </m:sSup>
          <m:r>
            <m:t xml:space="preserve">1 = 0</m:t>
          </m:r>
        </m:oMath>
      </m:oMathPara>
    </w:p>
    <w:p>
      <w:r>
        <w:rPr>
          <w:b w:val="0"/>
        </w:rPr>
        <w:t>ILR координаты убирают линейную зависимость полных долей; расстояние Эйчисона равно норме разности CLR. Нужна полная непересекающаяся композиция, включая «прочее». Уровень расходов хранится отдельно. Структурные нули, отсутствие данных и выборочные нули различаются; replacement сопровождается анализом чувствительности.</w:t>
      </w:r>
    </w:p>
    <w:p>
      <w:pPr>
        <w:pStyle w:val="Heading2"/>
      </w:pPr>
      <w:r>
        <w:t>Сглаженная специализация МСП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p̂</m:t>
              </m:r>
            </m:e>
            <m:sub>
              <m:r>
                <m:t xml:space="preserve">ms</m:t>
              </m:r>
            </m:sub>
          </m:sSub>
          <m:r>
            <m:t xml:space="preserve"> = 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ms</m:t>
                  </m:r>
                </m:sub>
              </m:sSub>
              <m:r>
                <m:t xml:space="preserve"> + κ</m:t>
              </m:r>
              <m:sSub>
                <m:e>
                  <m:r>
                    <m:t xml:space="preserve">π</m:t>
                  </m:r>
                </m:e>
                <m:sub>
                  <m:r>
                    <m:t xml:space="preserve">s</m:t>
                  </m:r>
                </m:sub>
              </m:sSub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m</m:t>
                  </m:r>
                </m:sub>
              </m:sSub>
              <m:r>
                <m:t xml:space="preserve"> + κ</m:t>
              </m:r>
            </m:den>
          </m:f>
          <m:r>
            <m:t xml:space="preserve">     </m:t>
          </m:r>
          <m:sSub>
            <m:e>
              <m:r>
                <m:t xml:space="preserve">LQ</m:t>
              </m:r>
            </m:e>
            <m:sub>
              <m:r>
                <m:t xml:space="preserve">ms</m:t>
              </m:r>
            </m:sub>
          </m:sSub>
          <m:r>
            <m:t xml:space="preserve"> = </m:t>
          </m:r>
          <m:f>
            <m:num>
              <m:sSub>
                <m:e>
                  <m:r>
                    <m:t xml:space="preserve">p̂</m:t>
                  </m:r>
                </m:e>
                <m:sub>
                  <m:r>
                    <m:t xml:space="preserve">ms</m:t>
                  </m:r>
                </m:sub>
              </m:sSub>
            </m:num>
            <m:den>
              <m:sSub>
                <m:e>
                  <m:r>
                    <m:t xml:space="preserve">π</m:t>
                  </m:r>
                </m:e>
                <m:sub>
                  <m:r>
                    <m:t xml:space="preserve">s</m:t>
                  </m:r>
                </m:sub>
              </m:sSub>
            </m:den>
          </m:f>
        </m:oMath>
      </m:oMathPara>
    </w:p>
    <w:p>
      <w:r>
        <w:rPr>
          <w:b w:val="0"/>
        </w:rPr>
        <w:t>nₘₛ — число уникальных фирм отрасли s в МО m; πₛ — эталонная доля; κ регулирует сглаживание малых чисел. LQ&gt;1 показывает повышенную долю отрасли. Региональный эталон даёт специализацию относительно РБ. По числу фирм нельзя выводить объём производства; нужна подтверждённая география и сопоставимый ОКВЭД.</w:t>
      </w:r>
    </w:p>
    <w:p>
      <w:pPr>
        <w:pStyle w:val="Heading2"/>
      </w:pPr>
      <w:r>
        <w:t>Экономическая близость муниципалитетов</w:t>
      </w:r>
    </w:p>
    <w:p>
      <w:pPr>
        <w:spacing w:before="60" w:after="100"/>
      </w:pPr>
      <m:oMathPara>
        <m:oMathParaPr>
          <m:jc m:val="left"/>
        </m:oMathParaPr>
        <m:oMath>
          <m:sSup>
            <m:e>
              <m:sSub>
                <m:e>
                  <m:r>
                    <m:t xml:space="preserve">d</m:t>
                  </m:r>
                </m:e>
                <m:sub>
                  <m:r>
                    <m:t xml:space="preserve">ij</m:t>
                  </m:r>
                </m:sub>
              </m:sSub>
            </m:e>
            <m:sup>
              <m:r>
                <m:t xml:space="preserve">2</m:t>
              </m:r>
            </m:sup>
          </m:sSup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b</m:t>
              </m:r>
            </m:sub>
            <m:sup/>
            <m:e>
              <m:sSub>
                <m:e>
                  <m:r>
                    <m:t xml:space="preserve">λ</m:t>
                  </m:r>
                </m:e>
                <m:sub>
                  <m:r>
                    <m:t xml:space="preserve">b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‖</m:t>
                  </m:r>
                  <m:sSup>
                    <m:e>
                      <m:sSub>
                        <m:e>
                          <m:r>
                            <m:t xml:space="preserve">z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t xml:space="preserve">(b)</m:t>
                      </m:r>
                    </m:sup>
                  </m:sSup>
                  <m:r>
                    <m:t xml:space="preserve"> − </m:t>
                  </m:r>
                  <m:sSup>
                    <m:e>
                      <m:sSub>
                        <m:e>
                          <m:r>
                            <m:t xml:space="preserve">z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e>
                    <m:sup>
                      <m:r>
                        <m:t xml:space="preserve">(b)</m:t>
                      </m:r>
                    </m:sup>
                  </m:sSup>
                  <m:r>
                    <m:t xml:space="preserve">‖</m:t>
                  </m:r>
                </m:e>
                <m:sup>
                  <m:r>
                    <m:t xml:space="preserve">2</m:t>
                  </m:r>
                </m:sup>
              </m:sSup>
            </m:e>
          </m:nary>
        </m:oMath>
      </m:oMathPara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W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sSub>
            <m:e>
              <m:r>
                <m:t xml:space="preserve">M</m:t>
              </m:r>
            </m:e>
            <m:sub>
              <m:r>
                <m:t xml:space="preserve">ij</m:t>
              </m:r>
            </m:sub>
          </m:sSub>
          <m:r>
            <m:t xml:space="preserve"> exp(−</m:t>
          </m:r>
          <m:f>
            <m:num>
              <m:sSup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ij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sSub>
                <m:e>
                  <m:r>
                    <m:t xml:space="preserve">σ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σ</m:t>
                  </m:r>
                </m:e>
                <m:sub>
                  <m:r>
                    <m:t xml:space="preserve">j</m:t>
                  </m:r>
                </m:sub>
              </m:sSub>
            </m:den>
          </m:f>
          <m:r>
            <m:t xml:space="preserve">)     </m:t>
          </m:r>
          <m:sSub>
            <m:e>
              <m:r>
                <m:t xml:space="preserve">W</m:t>
              </m:r>
            </m:e>
            <m:sub>
              <m:r>
                <m:t xml:space="preserve">ii</m:t>
              </m:r>
            </m:sub>
          </m:sSub>
          <m:r>
            <m:t xml:space="preserve"> = 0</m:t>
          </m:r>
        </m:oMath>
      </m:oMathPara>
    </w:p>
    <w:p>
      <w:r>
        <w:rPr>
          <w:b w:val="0"/>
        </w:rPr>
        <w:t>σᵢ — расстояние до выбранного соседа. M задаёт union-kNN или mutual-kNN. Union обычно добавляет связи; mutual усиливает локальность и может создавать изоляты. Нужно измерить компоненты, степени, ICVI и устойчивость. Для одинаковых точек и σ=0 требуется явное правило.</w:t>
      </w:r>
    </w:p>
    <w:p>
      <w:r>
        <w:rPr>
          <w:b w:val="0"/>
          <w:sz w:val="20"/>
        </w:rPr>
        <w:t>Основание расстояний: Aitchison 1982; ядра: Self-Tuning Spectral Clustering, NeurIPS 2004. Linear fusion остаётся baseline; SNF можно сравнить как дополнительный способ интеграции нормированных слоёв. Новизна применения и результаты отличаются от даты открытия метода.</w:t>
      </w:r>
    </w:p>
    <w:p>
      <w:r>
        <w:br w:type="page"/>
      </w:r>
    </w:p>
    <w:p>
      <w:pPr>
        <w:pStyle w:val="Heading1"/>
      </w:pPr>
      <w:r>
        <w:t>Население динамика и устойчивость</w:t>
      </w:r>
    </w:p>
    <w:p>
      <w:pPr>
        <w:pStyle w:val="Heading2"/>
      </w:pPr>
      <w:r>
        <w:t>Демографический баланс из файла 3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N</m:t>
              </m:r>
            </m:e>
            <m:sub>
              <m:r>
                <m:t xml:space="preserve">m,t+1</m:t>
              </m:r>
            </m:sub>
          </m:sSub>
          <m:r>
            <m:t xml:space="preserve"> − </m:t>
          </m:r>
          <m:sSub>
            <m:e>
              <m:r>
                <m:t xml:space="preserve">N</m:t>
              </m:r>
            </m:e>
            <m:sub>
              <m:r>
                <m:t xml:space="preserve">m,t</m:t>
              </m:r>
            </m:sub>
          </m:sSub>
          <m:r>
            <m:t xml:space="preserve"> = </m:t>
          </m:r>
          <m:sSub>
            <m:e>
              <m:r>
                <m:t xml:space="preserve">B</m:t>
              </m:r>
            </m:e>
            <m:sub>
              <m:r>
                <m:t xml:space="preserve">m,t</m:t>
              </m:r>
            </m:sub>
          </m:sSub>
          <m:r>
            <m:t xml:space="preserve"> − </m:t>
          </m:r>
          <m:sSub>
            <m:e>
              <m:r>
                <m:t xml:space="preserve">D</m:t>
              </m:r>
            </m:e>
            <m:sub>
              <m:r>
                <m:t xml:space="preserve">m,t</m:t>
              </m:r>
            </m:sub>
          </m:sSub>
          <m:r>
            <m:t xml:space="preserve"> + </m:t>
          </m:r>
          <m:sSub>
            <m:e>
              <m:r>
                <m:t xml:space="preserve">I</m:t>
              </m:r>
            </m:e>
            <m:sub>
              <m:r>
                <m:t xml:space="preserve">m,t</m:t>
              </m:r>
            </m:sub>
          </m:sSub>
          <m:r>
            <m:t xml:space="preserve"> − </m:t>
          </m:r>
          <m:sSub>
            <m:e>
              <m:r>
                <m:t xml:space="preserve">O</m:t>
              </m:r>
            </m:e>
            <m:sub>
              <m:r>
                <m:t xml:space="preserve">m,t</m:t>
              </m:r>
            </m:sub>
          </m:sSub>
          <m:r>
            <m:t xml:space="preserve"> + </m:t>
          </m:r>
          <m:sSub>
            <m:e>
              <m:r>
                <m:t xml:space="preserve">A</m:t>
              </m:r>
            </m:e>
            <m:sub>
              <m:r>
                <m:t xml:space="preserve">m,t</m:t>
              </m:r>
            </m:sub>
          </m:sSub>
        </m:oMath>
      </m:oMathPara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g</m:t>
              </m:r>
            </m:e>
            <m:sub>
              <m:r>
                <m:t xml:space="preserve">m,t</m:t>
              </m:r>
            </m:sub>
          </m:sSub>
          <m:r>
            <m:t xml:space="preserve"> = 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m,t+1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m,t</m:t>
                  </m:r>
                </m:sub>
              </m:sSub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m,t</m:t>
                  </m:r>
                </m:sub>
              </m:sSub>
            </m:den>
          </m:f>
        </m:oMath>
      </m:oMathPara>
    </w:p>
    <w:p>
      <w:r>
        <w:rPr>
          <w:b w:val="0"/>
        </w:rPr>
        <w:t>B и D — рождения и смерти, I и O — прибытия и выбытия, A — изменение границ и корректировки. Сейчас импортирована численность, поэтому вычисляется g. Разность численности не называется миграцией без компонентов баланса.</w:t>
      </w:r>
    </w:p>
    <w:p>
      <w:pPr>
        <w:pStyle w:val="Heading2"/>
      </w:pPr>
      <w:r>
        <w:t>Исторические снимки и изменения типов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W̃</m:t>
              </m:r>
            </m:e>
            <m:sub>
              <m:r>
                <m:t xml:space="preserve">t</m:t>
              </m:r>
            </m:sub>
          </m:sSub>
          <m:r>
            <m:t xml:space="preserve"> = (1 − β) </m:t>
          </m:r>
          <m:sSub>
            <m:e>
              <m:r>
                <m:t xml:space="preserve">W</m:t>
              </m:r>
            </m:e>
            <m:sub>
              <m:r>
                <m:t xml:space="preserve">t</m:t>
              </m:r>
            </m:sub>
          </m:sSub>
          <m:r>
            <m:t xml:space="preserve"> + β </m:t>
          </m:r>
          <m:sSub>
            <m:e>
              <m:r>
                <m:t xml:space="preserve">W̃</m:t>
              </m:r>
            </m:e>
            <m:sub>
              <m:r>
                <m:t xml:space="preserve">t−1</m:t>
              </m:r>
            </m:sub>
          </m:sSub>
        </m:oMath>
      </m:oMathPara>
    </w:p>
    <w:p>
      <w:r>
        <w:rPr>
          <w:b w:val="0"/>
        </w:rPr>
        <w:t>Xₜ и Wₜ строятся по допустимому окну до t, а первые неполные окна помечаются. Сравниваются β=0 и ненулевые β. Для меняющегося набора МО отдельно согласуются общие узлы и административные преобразования.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J</m:t>
              </m:r>
            </m:e>
            <m:sub>
              <m:r>
                <m:t xml:space="preserve">ab</m:t>
              </m:r>
            </m:sub>
          </m:sSub>
          <m:r>
            <m:t xml:space="preserve"> = </m:t>
          </m:r>
          <m:f>
            <m:num>
              <m:r>
                <m:t xml:space="preserve">|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a,t−1</m:t>
                  </m:r>
                </m:sub>
              </m:sSub>
              <m:r>
                <m:t xml:space="preserve"> ∩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b,t</m:t>
                  </m:r>
                </m:sub>
              </m:sSub>
              <m:r>
                <m:t xml:space="preserve">|</m:t>
              </m:r>
            </m:num>
            <m:den>
              <m:r>
                <m:t xml:space="preserve">|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a,t−1</m:t>
                  </m:r>
                </m:sub>
              </m:sSub>
              <m:r>
                <m:t xml:space="preserve"> ∪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b,t</m:t>
                  </m:r>
                </m:sub>
              </m:sSub>
              <m:r>
                <m:t xml:space="preserve">|</m:t>
              </m:r>
            </m:den>
          </m:f>
        </m:oMath>
      </m:oMathPara>
    </w:p>
    <w:p>
      <w:r>
        <w:rPr>
          <w:b w:val="0"/>
        </w:rPr>
        <w:t>Hungarian сопоставляет номера кластеров по пересечениям; таблица Jaccard и направленная матрица переходов описывают split и merge. Сохранение номера не доказывает сохранение экономического смысла: профиль типа нужно сравнивать заново.</w:t>
      </w:r>
    </w:p>
    <w:p>
      <w:pPr>
        <w:pStyle w:val="Heading2"/>
      </w:pPr>
      <w:r>
        <w:t>Уверенность принадлежности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P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r</m:t>
                  </m:r>
                </m:sub>
                <m:sup/>
                <m:e>
                  <m:sSup>
                    <m:e>
                      <m:sSub>
                        <m:e>
                          <m:r>
                            <m:t xml:space="preserve">o</m:t>
                          </m:r>
                        </m:e>
                        <m:sub>
                          <m:r>
                            <m:t xml:space="preserve">ij</m:t>
                          </m:r>
                        </m:sub>
                      </m:sSub>
                    </m:e>
                    <m:sup>
                      <m:r>
                        <m:t xml:space="preserve">(r)</m:t>
                      </m:r>
                    </m:sup>
                  </m:sSup>
                  <m:r>
                    <m:t xml:space="preserve"> 1[</m:t>
                  </m:r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t xml:space="preserve">(r)</m:t>
                      </m:r>
                    </m:sup>
                  </m:sSup>
                  <m:r>
                    <m:t xml:space="preserve"> = </m:t>
                  </m:r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e>
                    <m:sup>
                      <m:r>
                        <m:t xml:space="preserve">(r)</m:t>
                      </m:r>
                    </m:sup>
                  </m:sSup>
                  <m:r>
                    <m:t xml:space="preserve">]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r</m:t>
                  </m:r>
                </m:sub>
                <m:sup/>
                <m:e>
                  <m:sSup>
                    <m:e>
                      <m:sSub>
                        <m:e>
                          <m:r>
                            <m:t xml:space="preserve">o</m:t>
                          </m:r>
                        </m:e>
                        <m:sub>
                          <m:r>
                            <m:t xml:space="preserve">ij</m:t>
                          </m:r>
                        </m:sub>
                      </m:sSub>
                    </m:e>
                    <m:sup>
                      <m:r>
                        <m:t xml:space="preserve">(r)</m:t>
                      </m:r>
                    </m:sup>
                  </m:sSup>
                </m:e>
              </m:nary>
            </m:den>
          </m:f>
        </m:oMath>
      </m:oMathPara>
    </w:p>
    <w:p>
      <w:r>
        <w:rPr>
          <w:b w:val="0"/>
        </w:rPr>
        <w:t>o равно 1 только если пара совместно наблюдалась в bootstrap. Для пары без повторов значение неизвестно. Частота co-assignment измеряет устойчивость алгоритма, не вероятность истинного экономического типа.</w:t>
      </w:r>
    </w:p>
    <w:p>
      <w:pPr>
        <w:spacing w:before="60" w:after="100"/>
      </w:pPr>
      <m:oMathPara>
        <m:oMathParaPr>
          <m:jc m:val="left"/>
        </m:oMathParaPr>
        <m:oMath>
          <m:sSub>
            <m:e>
              <m:r>
                <m:t xml:space="preserve">p</m:t>
              </m:r>
            </m:e>
            <m:sub>
              <m:r>
                <m:t xml:space="preserve">perm</m:t>
              </m:r>
            </m:sub>
          </m:sSub>
          <m:r>
            <m:t xml:space="preserve"> = </m:t>
          </m:r>
          <m:f>
            <m:num>
              <m:r>
                <m:t xml:space="preserve">b + 1</m:t>
              </m:r>
            </m:num>
            <m:den>
              <m:r>
                <m:t xml:space="preserve">B + 1</m:t>
              </m:r>
            </m:den>
          </m:f>
        </m:oMath>
      </m:oMathPara>
    </w:p>
    <w:p>
      <w:r>
        <w:rPr>
          <w:b w:val="0"/>
        </w:rPr>
        <w:t>b — число симуляций не менее экстремальных, чем наблюдаемая статистика; B — число случайных перестановок. Нулевые p-values при конечном B исправляются. Нулевая модель и поправки для отбора вариантов описываются отдельно.</w:t>
      </w:r>
    </w:p>
    <w:p>
      <w:r>
        <w:rPr>
          <w:b w:val="0"/>
          <w:sz w:val="20"/>
        </w:rPr>
        <w:t>Причинные модели, прогноз возрастов, миграционные OD сети и E2SFCA отложены до появления необходимых данных и исследовательского дизайна. TabPFN или TabICL не заменяют обязательную сетевую кластеризацию.</w:t>
      </w:r>
    </w:p>
    <w:p>
      <w:r>
        <w:br w:type="page"/>
      </w:r>
    </w:p>
    <w:p>
      <w:pPr>
        <w:pStyle w:val="Heading1"/>
      </w:pPr>
      <w:r>
        <w:t>Как начать доработку и повторить проверки</w:t>
      </w:r>
    </w:p>
    <w:p>
      <w:r>
        <w:rPr>
          <w:b w:val="0"/>
        </w:rPr>
        <w:t>Распакуйте ECONTYPES_HANDOFF_20261009.zip. Откройте PROJECT_DATA_MAP.md и передайте Claude Code полный текст приложения либо CLAUDE_CODE_PROMPT.txt. База уже заполнена; восстановление требуется для проверки происхождения или новых версий.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cantSplit/>
          <w:tblHeader/>
        </w:trPr>
        <w:tc>
          <w:tcPr>
            <w:tcW w:type="dxa" w:w="4082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556"/>
            <w:shd w:fill="17365D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8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PROJECT_DATA_MAP.md</w:t>
            </w:r>
          </w:p>
        </w:tc>
        <w:tc>
          <w:tcPr>
            <w:tcW w:type="dxa" w:w="5556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Код, таблицы, папки источников и реальные пробелы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SOURCE_MANIFEST.json</w:t>
            </w:r>
          </w:p>
        </w:tc>
        <w:tc>
          <w:tcPr>
            <w:tcW w:type="dxa" w:w="5556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18 прочитанных источников, SHA 256 и периоды</w:t>
            </w:r>
          </w:p>
        </w:tc>
      </w:tr>
      <w:tr>
        <w:trPr>
          <w:cantSplit/>
        </w:trPr>
        <w:tc>
          <w:tcPr>
            <w:tcW w:type="dxa" w:w="408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DATABASE_CHECKS.json</w:t>
            </w:r>
          </w:p>
        </w:tc>
        <w:tc>
          <w:tcPr>
            <w:tcW w:type="dxa" w:w="5556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Контроль импорта и целостности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PROJECT_CHECKS.json</w:t>
            </w:r>
          </w:p>
        </w:tc>
        <w:tc>
          <w:tcPr>
            <w:tcW w:type="dxa" w:w="5556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12 проверок функций исходного проекта</w:t>
            </w:r>
          </w:p>
        </w:tc>
      </w:tr>
      <w:tr>
        <w:trPr>
          <w:cantSplit/>
        </w:trPr>
        <w:tc>
          <w:tcPr>
            <w:tcW w:type="dxa" w:w="408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reproduction/build_database.py</w:t>
            </w:r>
          </w:p>
        </w:tc>
        <w:tc>
          <w:tcPr>
            <w:tcW w:type="dxa" w:w="5556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Сборка базы в новом файле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reproduction/audit_project.py</w:t>
            </w:r>
          </w:p>
        </w:tc>
        <w:tc>
          <w:tcPr>
            <w:tcW w:type="dxa" w:w="5556"/>
            <w:shd w:fill="FFFFFF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Повторение независимых проверок</w:t>
            </w:r>
          </w:p>
        </w:tc>
      </w:tr>
      <w:tr>
        <w:trPr>
          <w:cantSplit/>
        </w:trPr>
        <w:tc>
          <w:tcPr>
            <w:tcW w:type="dxa" w:w="4082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reproduction/requirements.txt</w:t>
            </w:r>
          </w:p>
        </w:tc>
        <w:tc>
          <w:tcPr>
            <w:tcW w:type="dxa" w:w="5556"/>
            <w:shd w:fill="F3F6FA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7DFE8"/>
              <w:left w:val="single" w:sz="4" w:color="D7DFE8"/>
              <w:bottom w:val="single" w:sz="4" w:color="D7DFE8"/>
              <w:right w:val="single" w:sz="4" w:color="D7DFE8"/>
            </w:tcBorders>
          </w:tcPr>
          <w:p>
            <w:pPr>
              <w:spacing w:after="20" w:line="245" w:lineRule="auto"/>
            </w:pPr>
            <w:r>
              <w:rPr>
                <w:sz w:val="19"/>
              </w:rPr>
              <w:t>Версии зависимостей этих скриптов</w:t>
            </w:r>
          </w:p>
        </w:tc>
      </w:tr>
    </w:tbl>
    <w:p>
      <w:r>
        <w:rPr>
          <w:b w:val="0"/>
        </w:rPr>
        <w:t>Из корня комплекта после установки зависимостей:</w:t>
      </w:r>
    </w:p>
    <w:p>
      <w:r>
        <w:rPr>
          <w:b w:val="0"/>
          <w:sz w:val="18"/>
        </w:rPr>
        <w:t>python reproduction/build_database.py</w:t>
        <w:br/>
        <w:t xml:space="preserve">    --input-root reproduction --output econtypes_rebuilt.sqlite</w:t>
      </w:r>
    </w:p>
    <w:p>
      <w:r>
        <w:rPr>
          <w:b w:val="0"/>
          <w:sz w:val="18"/>
        </w:rPr>
        <w:t>python reproduction/audit_project.py</w:t>
      </w:r>
    </w:p>
    <w:p>
      <w:r>
        <w:rPr>
          <w:b w:val="0"/>
        </w:rPr>
        <w:t>Первый скрипт отказывается заменять существующий файл. Аудит намеренно возвращает найденные FAIL; исправлять нужно расчётный проект в новой версии. Исходные пользовательские материалы сохранены.</w:t>
      </w:r>
    </w:p>
    <w:p>
      <w:pPr>
        <w:pStyle w:val="Heading2"/>
      </w:pPr>
      <w:r>
        <w:t>Порядок действий Claude Code</w:t>
      </w:r>
    </w:p>
    <w:p>
      <w:r>
        <w:rPr>
          <w:b w:val="0"/>
        </w:rPr>
        <w:t>Исправить ICVI и временные окна; найти raw СберИндекс и проверенный crosswalk; расширить признаки; сравнить сеть, K и алгоритмы; проверить экономические паспорта и границы типов; доработать динамику интерфейса; выполнить clean run и стресс проверки полного конвейера.</w:t>
      </w:r>
    </w:p>
    <w:p>
      <w:pPr>
        <w:pStyle w:val="Heading2"/>
      </w:pPr>
      <w:r>
        <w:t>Первичные научные и официальные источники</w:t>
      </w:r>
    </w:p>
    <w:p>
      <w:r>
        <w:rPr>
          <w:b w:val="0"/>
          <w:sz w:val="18"/>
        </w:rPr>
        <w:t>AVI и AVU 2026 — https://doi.org/10.1134/S1064562425700589</w:t>
        <w:br/>
        <w:t>Self-Tuning Spectral Clustering — https://papers.neurips.cc/paper_files/paper/2004/hash/40173ea48d9567f1f393b20c855bb40b-Abstract.html</w:t>
        <w:br/>
        <w:t>Композиционный анализ — https://doi.org/10.1111/j.2517-6161.1982.tb01195.x</w:t>
        <w:br/>
        <w:t>SNF — https://doi.org/10.1038/nmeth.2810</w:t>
        <w:br/>
        <w:t>Население Башкортостана — https://02.rosstat.gov.ru/folder/25491</w:t>
      </w:r>
    </w:p>
    <w:p>
      <w:r>
        <w:rPr>
          <w:b w:val="0"/>
          <w:sz w:val="18"/>
        </w:rPr>
        <w:t>Полная статья AVI/AVU проверена; для Aitchison и SNF в текущей сессии подтверждена библиография, полный текст издателя не открылся. Дополнительные работы 2025–2026 из файлов 3 и 4 требуют проверки конкретного первоисточника перед внедрением.</w:t>
      </w:r>
    </w:p>
    <w:p>
      <w:r>
        <w:br w:type="page"/>
      </w:r>
    </w:p>
    <w:p>
      <w:pPr>
        <w:pStyle w:val="Heading1"/>
      </w:pPr>
      <w:r>
        <w:t>Полное задание для Claude Code</w:t>
      </w:r>
    </w:p>
    <w:p>
      <w:r>
        <w:rPr>
          <w:b w:val="0"/>
          <w:sz w:val="20"/>
        </w:rPr>
        <w:t>Текст ниже можно целиком скопировать в Claude Code. Пути относительны к распакованному комплекту; исходный файл TXT содержит тот же текст.</w:t>
      </w:r>
    </w:p>
    <w:p>
      <w:pPr>
        <w:spacing w:after="80" w:line="250" w:lineRule="auto"/>
      </w:pPr>
      <w:r>
        <w:rPr>
          <w:sz w:val="20"/>
        </w:rPr>
        <w:t>ДОРАБОТАЙ ECONTYPES ДО ПОЛНОГО РЕШЕНИЯ ЗАДАЧИ 1 КОНКУРСА СБЕРИНДЕКСА</w:t>
      </w:r>
    </w:p>
    <w:p>
      <w:pPr>
        <w:spacing w:after="80" w:line="250" w:lineRule="auto"/>
      </w:pPr>
      <w:r>
        <w:rPr>
          <w:sz w:val="20"/>
        </w:rPr>
        <w:t>Дата задания 09.10.2026. Рабочий язык русский.</w:t>
      </w:r>
    </w:p>
    <w:p>
      <w:pPr>
        <w:spacing w:after="80" w:line="250" w:lineRule="auto"/>
      </w:pPr>
      <w:r>
        <w:rPr>
          <w:sz w:val="20"/>
        </w:rPr>
        <w:t>Ты работаешь с существующим проектом econtypes. Реализуй изменения, собери данные, выполни расчёты, проверь их и подготовь конечные файлы. Ответ, состоящий только из плана или рекомендаций, задачу не завершает.</w:t>
      </w:r>
    </w:p>
    <w:p>
      <w:pPr>
        <w:spacing w:after="80" w:line="250" w:lineRule="auto"/>
      </w:pPr>
      <w:r>
        <w:rPr>
          <w:sz w:val="20"/>
        </w:rPr>
        <w:t>ОБЪЁМ РАБОТЫ</w:t>
      </w:r>
    </w:p>
    <w:p>
      <w:pPr>
        <w:spacing w:after="80" w:line="250" w:lineRule="auto"/>
      </w:pPr>
      <w:r>
        <w:rPr>
          <w:sz w:val="20"/>
        </w:rPr>
        <w:t>Искусственных ограничений на число исправлений, количество файлов, объём найденных открытых данных и число подходящих публичных источников нет. Обрабатывай полный доступный массив, используй потоковую загрузку и контрольные точки. Не останавливайся после первых 100/1000 файлов, первых страниц API или нескольких муниципалитетов. Учитывай реальные ограничения памяти, скорости API и доступа; измеряй их и сохраняй прогресс. Формулировка «нет ограничений» не означает неограниченную память или разрешение обходить авторизацию. При недоступности одного источника продолжай независимые части работы и используй официальный альтернативный канал.</w:t>
      </w:r>
    </w:p>
    <w:p>
      <w:pPr>
        <w:spacing w:after="80" w:line="250" w:lineRule="auto"/>
      </w:pPr>
      <w:r>
        <w:rPr>
          <w:sz w:val="20"/>
        </w:rPr>
        <w:t>Исходные загруженные файлы и существующие папки не удалять, не перемещать и не переименовывать. Сделай отдельную версию изменений и новую базу. Исторический D.json и его SHA-1 d849169e16d7d2c42c1f210426b1490b6832b76a сохраняй как baseline. Фиксация старой версии не запрещает новую версию данных, изменение числа кластеров, состава признаков и параметров. Обновление build.py и новой контрольной суммы сделай через явный манифест версии. Не переноси старые численные выводы на новые расчёты.</w:t>
      </w:r>
    </w:p>
    <w:p>
      <w:pPr>
        <w:pStyle w:val="Heading2"/>
      </w:pPr>
      <w:r>
        <w:t>1 ЗАДАЧА И КРИТЕРИИ</w:t>
      </w:r>
    </w:p>
    <w:p>
      <w:pPr>
        <w:spacing w:after="80" w:line="250" w:lineRule="auto"/>
      </w:pPr>
      <w:r>
        <w:rPr>
          <w:sz w:val="20"/>
        </w:rPr>
        <w:t>Выявить экономическую структуру муниципалитетов России кластеризацией атрибутированных сетей. Узел = муниципальное образование, атрибуты = экономические характеристики, ребро = математически определённая экономическая близость. Основа обязательно СберИндекс. Нужны экономическая интерпретация типов, динамика и воспроизводимость.</w:t>
      </w:r>
    </w:p>
    <w:p>
      <w:pPr>
        <w:spacing w:after="80" w:line="250" w:lineRule="auto"/>
      </w:pPr>
      <w:r>
        <w:rPr>
          <w:sz w:val="20"/>
        </w:rPr>
        <w:t>Вес критериев: методология 15%; сеть и атрибуты 15%; математическая динамика 15%; ICVI SW CH S_Dbw AVI AVU MQ 15%; интерпретация, воспроизводимость и обоснование 30%; инновационная визуализация 10%.</w:t>
      </w:r>
    </w:p>
    <w:p>
      <w:pPr>
        <w:spacing w:after="80" w:line="250" w:lineRule="auto"/>
      </w:pPr>
      <w:r>
        <w:rPr>
          <w:sz w:val="20"/>
        </w:rPr>
        <w:t>Построй матрицу «требование — реализованный модуль — расчётный файл — подтверждающая проверка — описание в отчёте». Наличие красивого интерфейса не закрывает расчётный пункт.</w:t>
      </w:r>
    </w:p>
    <w:p>
      <w:pPr>
        <w:spacing w:after="80" w:line="250" w:lineRule="auto"/>
      </w:pPr>
      <w:r>
        <w:rPr>
          <w:sz w:val="20"/>
        </w:rPr>
        <w:t>Нынешний проект охватывает 63 МО Башкортостана. Не называй его общероссийским результатом. Реализуй переносимый региональный конвейер и расширение на весь доступный набор СберИндекса; национальный результат показывай только после реального запуска. При неполном национальном охвате прямо укажи региональный кейс и фактическую карту покрытия.</w:t>
      </w:r>
    </w:p>
    <w:p>
      <w:pPr>
        <w:pStyle w:val="Heading2"/>
      </w:pPr>
      <w:r>
        <w:t>2 С ЧЕГО НАЧАТЬ</w:t>
      </w:r>
    </w:p>
    <w:p>
      <w:pPr>
        <w:spacing w:after="80" w:line="250" w:lineRule="auto"/>
      </w:pPr>
      <w:r>
        <w:rPr>
          <w:sz w:val="20"/>
        </w:rPr>
        <w:t>Прочитай PROJECT_DATA_MAP.md, AUDIT.md, METHODS_SELECTION.md, DATABASE_CHECKS.json, SOURCE_MANIFEST.json и PROJECT_CHECKS.json из приложенного пакета. Это результаты проверки, а не замена исходных данных.</w:t>
      </w:r>
    </w:p>
    <w:p>
      <w:pPr>
        <w:spacing w:after="80" w:line="250" w:lineRule="auto"/>
      </w:pPr>
      <w:r>
        <w:rPr>
          <w:sz w:val="20"/>
        </w:rPr>
        <w:t>В econtypes-v4-src.zip лежат фронтенд, сборщик, D.json и UI-тесты. В econtypes_code (4).zip лежат Python-пакет econtypes, конфигурация, расчётные модули, таблицы и тесты. Оба архива нужны. Файл econtypes (2).html — автономный интерфейс. «Файл 3» = ECONTYPES_Population_Methods_2026(1).docx; «файл 4» = ECONTYPES_Scientific_Methods_2026(1).docx. Выбирай методы по связи с задачей кластеризации.</w:t>
      </w:r>
    </w:p>
    <w:p>
      <w:pPr>
        <w:spacing w:after="80" w:line="250" w:lineRule="auto"/>
      </w:pPr>
      <w:r>
        <w:rPr>
          <w:sz w:val="20"/>
        </w:rPr>
        <w:t>Новая econtypes_research_20261009.sqlite содержит реальные импортированные данные и архивные результаты с различными статусами. Это база для продолжения работы, не завершённая новая типология. Прочитай её schema и views; не подключай её к старому raw-loader без адаптера.</w:t>
      </w:r>
    </w:p>
    <w:p>
      <w:pPr>
        <w:pStyle w:val="Heading2"/>
      </w:pPr>
      <w:r>
        <w:t>3 ПОДТВЕРЖДЁННЫЕ ПРОБЛЕМЫ И ПЕРВЫЕ ИСПРАВЛЕНИЯ</w:t>
      </w:r>
    </w:p>
    <w:p>
      <w:pPr>
        <w:spacing w:after="80" w:line="250" w:lineRule="auto"/>
      </w:pPr>
      <w:r>
        <w:rPr>
          <w:sz w:val="20"/>
        </w:rPr>
        <w:t>3.1 econtypes/icvi.py: AVU сейчас = d_in/(d_in+d_out), HIGHER_BETTER['AVU']=True. Это другая метрика. Сохрани её при необходимости как отдельный авторский показатель с другим названием. Реализуй опубликованный Average Unifiability по Shalileh, Antonov, Tsyplakova DOI 10.1134/S1064562425700589, формулы 20–21; AVU минимизируется. AVI максимизируется. Полностью пересчитай выбор K, сравнение методов, нормировки и выводы после исправления. На восстановленной полной сети старое AVU ≈0.801705, опубликованный AVU ≈0.535831. Это диагностический расчёт на округлённых экспортированных рёбрах, а не новый оптимальный результат.</w:t>
      </w:r>
    </w:p>
    <w:p>
      <w:pPr>
        <w:spacing w:after="80" w:line="250" w:lineRule="auto"/>
      </w:pPr>
      <w:r>
        <w:rPr>
          <w:sz w:val="20"/>
        </w:rPr>
        <w:t>Пусть E_ab = сумма W_ij для i в C_a, j в C_b, B_a = сумма E_ab по b≠a. AVI = mean_a E_aa/(E_aa+B_a). Для a≠b U_ab = E_ab/(B_a+B_b−E_ab); AVU = (1/K) sum_a sum_{b≠a} U_ab. Счёт внутренних рёбер двойной при симметричной W. Для нулевых знаменателей явно документируй соглашение; не прячь вырожденные случаи. Проверь независимым расчётом на малых графах и разбиениях со случайной перестановкой меток.</w:t>
      </w:r>
    </w:p>
    <w:p>
      <w:pPr>
        <w:spacing w:after="80" w:line="250" w:lineRule="auto"/>
      </w:pPr>
      <w:r>
        <w:rPr>
          <w:sz w:val="20"/>
        </w:rPr>
        <w:t>3.2 MQ в старом коде означает modularity Q Ньюмана. Уточни трактовку MQ по материалам организатора, приложи формулу и первоисточник. Не объявляй разные показатели одним сокращением. Если конкурсный MQ отличается, вычисли оба. Для weighted modularity укажи gamma и предположения о симметрии/направленности.</w:t>
      </w:r>
    </w:p>
    <w:p>
      <w:pPr>
        <w:spacing w:after="80" w:line="250" w:lineRule="auto"/>
      </w:pPr>
      <w:r>
        <w:rPr>
          <w:sz w:val="20"/>
        </w:rPr>
        <w:t>3.3 S_Dbw: старый код считает плотность в знаменателе по объединению двух кластеров. Сверь с выбранной первичной версией индекса, задокументируй радиус, собственную плотность каждого кластера, midpoint density и обработку singleton/нулевой дисперсии. В статье 2026 года формула индикатора плотности выглядит неоднозначно: не копируй её механически, проверь оригинальную публикацию Halkidi и Vazirgiannis и синтетические примеры.</w:t>
      </w:r>
    </w:p>
    <w:p>
      <w:pPr>
        <w:spacing w:after="80" w:line="250" w:lineRule="auto"/>
      </w:pPr>
      <w:r>
        <w:rPr>
          <w:sz w:val="20"/>
        </w:rPr>
        <w:t>3.4 В pipeline.py для кварталов используется lq = dict(struct_layers), рассчитанное на всех месяцах 2023–2024. Пересчитывай comovement, lead_lag и DTW на данных до конца каждого окна. Отдели историческую реконструкцию от режима «только информация, доступная на дату t». Статические характеристики тоже должны иметь период и дату публикации. Не выдавай реконструкцию с информацией последующих периодов за мониторинг в реальном времени.</w:t>
      </w:r>
    </w:p>
    <w:p>
      <w:pPr>
        <w:spacing w:after="80" w:line="250" w:lineRule="auto"/>
      </w:pPr>
      <w:r>
        <w:rPr>
          <w:sz w:val="20"/>
        </w:rPr>
        <w:t>3.5 Кластеры строятся на полном fused-графе, а network_edges.csv и интерфейс показывают повторно разрежённый fused-граф. В старом результате это 1065 против 310 рёбер. Сохрани отдельно точную расчётную W и её визуальную проекцию. На странице качества подпиши, для какой матрицы посчитан каждый индекс. Никогда не считай качество по неполному display-export.</w:t>
      </w:r>
    </w:p>
    <w:p>
      <w:pPr>
        <w:spacing w:after="80" w:line="250" w:lineRule="auto"/>
      </w:pPr>
      <w:r>
        <w:rPr>
          <w:sz w:val="20"/>
        </w:rPr>
        <w:t>3.6 В pipeline.py и validate.py p_value может быть 0. При Monte Carlo перестановках применяй (b+1)/(B+1), сохраняй B, seed и направление теста. Для holdout нулевая гипотеза должна учитывать фактическое распределение предсказанных и референтных меток, а не автоматически сравнивать с совпадением перестановки final с самим final.</w:t>
      </w:r>
    </w:p>
    <w:p>
      <w:pPr>
        <w:spacing w:after="80" w:line="250" w:lineRule="auto"/>
      </w:pPr>
      <w:r>
        <w:rPr>
          <w:sz w:val="20"/>
        </w:rPr>
        <w:t>3.7 DTW на постоянных рядах даёт NaN при sigma=0; логарифм нулевых трат даёт нечисловые значения; kNN при k&gt;N падает с IndexError. Добавь осмысленные проверки и соглашения, без превращения отсутствующих данных в нули. Глобальное warnings.filterwarnings('ignore') замени сохранением диагностик.</w:t>
      </w:r>
    </w:p>
    <w:p>
      <w:pPr>
        <w:spacing w:after="80" w:line="250" w:lineRule="auto"/>
      </w:pPr>
      <w:r>
        <w:rPr>
          <w:sz w:val="20"/>
        </w:rPr>
        <w:t>3.8 Первые 4 цифры ИНН — код выдававшей ИНН налоговой инспекции, а не надёжный текущий ОКТМО. Первые 2 цифры тоже не гарантируют текущий регион регистрации. Для заказчиков и поставщиков используй проверенный адрес/ГАР–ФИАС/ОКТМО с датой действия. Отметь качество каждого соответствия. Старый prefix_map можно сохранить только как слабую гипотезу для отдельного анализа чувствительности. Называть построенные по нему потоки подтверждёнными муниципальными потоками нельзя.</w:t>
      </w:r>
    </w:p>
    <w:p>
      <w:pPr>
        <w:spacing w:after="80" w:line="250" w:lineRule="auto"/>
      </w:pPr>
      <w:r>
        <w:rPr>
          <w:sz w:val="20"/>
        </w:rPr>
        <w:t>3.9 Названия типов сейчас привязаны к якорным МО. После нового расчёта назначай имена по медианам, отличительным признакам, специализациям и кейсам. Якоря могут помогать читать результат, но не определять его экономическое содержание.</w:t>
      </w:r>
    </w:p>
    <w:p>
      <w:pPr>
        <w:spacing w:after="80" w:line="250" w:lineRule="auto"/>
      </w:pPr>
      <w:r>
        <w:rPr>
          <w:sz w:val="20"/>
        </w:rPr>
        <w:t>3.10 Прокси «доля маркетплейсов/(маркетплейсы+общепит)» не измеряет денежную утечку; «1−доля единственного поставщика» не измеряет число участников; усреднённые процентили дотаций и бюджетной занятости не равны доле бюджетных доходов. Переименуй показатели по фактическому смыслу или найди нужные исходные числители и знаменатели.</w:t>
      </w:r>
    </w:p>
    <w:p>
      <w:pPr>
        <w:pStyle w:val="Heading2"/>
      </w:pPr>
      <w:r>
        <w:t>4 ДАННЫЕ И ЕДИНАЯ БАЗА</w:t>
      </w:r>
    </w:p>
    <w:p>
      <w:pPr>
        <w:spacing w:after="80" w:line="250" w:lineRule="auto"/>
      </w:pPr>
      <w:r>
        <w:rPr>
          <w:sz w:val="20"/>
        </w:rPr>
        <w:t>4.1 Составь полный source registry: путь, URL, SHA-256, байты, дата загрузки, observation_period, publication_date, retrieved_at, территория, единицы, зерно, ключи, лицензия/условия, полнота, ошибки, число строк, контрольные суммы. Не путай выгрузку 2026 года с наблюдениями за 2026 год.</w:t>
      </w:r>
    </w:p>
    <w:p>
      <w:pPr>
        <w:spacing w:after="80" w:line="250" w:lineRule="auto"/>
      </w:pPr>
      <w:r>
        <w:rPr>
          <w:sz w:val="20"/>
        </w:rPr>
        <w:t>4.2 Полные входы СберИндекса должны быть найдены в локальных папках/репозитории или загружены из официального набора: consumption.parquet, connection.parquet, market_access.parquet, именованная выгрузка трат и официальный справочник границ/преобразований. В расчётном архиве эти основные raw-файлы отсутствуют. Сохрани исходные territory_id, сопоставление названий и уровень МО. Отдельно покажи Межгорье и другие территории с импутацией. Нельзя маскировать импутированные траты как наблюдаемые.</w:t>
      </w:r>
    </w:p>
    <w:p>
      <w:pPr>
        <w:spacing w:after="80" w:line="250" w:lineRule="auto"/>
      </w:pPr>
      <w:r>
        <w:rPr>
          <w:sz w:val="20"/>
        </w:rPr>
        <w:t>4.3 Раздели слой неизменяемых источников, нормализованные факты, атрибуты МО×период и результаты конкретного run_id. Все преобразования версионируй. Схема должна хранить эффективные даты муниципальных границ, организационного адреса и статуса МСП. Для изменений границ используй официальный crosswalk и сравнимые единицы; сумму поселений не смешивай с родительским районом.</w:t>
      </w:r>
    </w:p>
    <w:p>
      <w:pPr>
        <w:spacing w:after="80" w:line="250" w:lineRule="auto"/>
      </w:pPr>
      <w:r>
        <w:rPr>
          <w:sz w:val="20"/>
        </w:rPr>
        <w:t>4.4 Деньги храни в целых копейках или decimal, валюту отдельно. Цена извещения, цена договора, изменения цены и фактическая оплата — разные поля. Не складывай итоги CSV и JSON одного экспорта. Не объединяй закупку, лот и контракт по одному произвольному номеру. Храни cross-source identity с основанием сопоставления и конфликтами.</w:t>
      </w:r>
    </w:p>
    <w:p>
      <w:pPr>
        <w:spacing w:after="80" w:line="250" w:lineRule="auto"/>
      </w:pPr>
      <w:r>
        <w:rPr>
          <w:sz w:val="20"/>
        </w:rPr>
        <w:t>4.5 Новая база должна поддерживать DuckDB/Parquet либо SQLite + экспорт Parquet для аналитики. Текущий приложенный SQLite пригоден для SQL-чтения. Сделай отдельный адаптер к econtypes, миграции, проверку integrity/foreign keys, индексы и идемпотентный ingest. Независимо пересверь число контрактов, ИНН, суммы только по допустимым валютам/статусам и число unmatched.</w:t>
      </w:r>
    </w:p>
    <w:p>
      <w:pPr>
        <w:pStyle w:val="Heading2"/>
      </w:pPr>
      <w:r>
        <w:t>5 АТМО СБИС ЕИС МСП</w:t>
      </w:r>
    </w:p>
    <w:p>
      <w:pPr>
        <w:spacing w:after="80" w:line="250" w:lineRule="auto"/>
      </w:pPr>
      <w:r>
        <w:rPr>
          <w:sz w:val="20"/>
        </w:rPr>
        <w:t>5.1 Уже есть полный импорт восьми CSV processed_contracts: ожидается 359615 строк, как в ранее обработанной выгрузке. В этих файлах source_file и identity_basis позволяют проследить происхождение. Исходные XLSX СБИС находятся в отдельной папке; прежний отчёт сообщает 1381 файл и 659082 физических строк. Это upstream-сводка, а не основание объявлять все исходные файлы заново прочитанными. Пересканируй доступную локальную папку полностью, с пагинацией при облачной выдаче; сверяй source_inventory.csv и file_index, обрабатывай весь доступный массив без искусственного лимита.</w:t>
      </w:r>
    </w:p>
    <w:p>
      <w:pPr>
        <w:spacing w:after="80" w:line="250" w:lineRule="auto"/>
      </w:pPr>
      <w:r>
        <w:rPr>
          <w:sz w:val="20"/>
        </w:rPr>
        <w:t>5.2 Проверь соответствие 357156 подтверждённых и 2459 неподтверждённых identity из прежнего отчёта. Несогласованные версии суммы/валюты/даты оставь в таблице конфликтов. Сохрани таблицу исходных наблюдений и canonical contracts; не теряй связь «источник — запись — организация».</w:t>
      </w:r>
    </w:p>
    <w:p>
      <w:pPr>
        <w:spacing w:after="80" w:line="250" w:lineRule="auto"/>
      </w:pPr>
      <w:r>
        <w:rPr>
          <w:sz w:val="20"/>
        </w:rPr>
        <w:t>5.3 АТМО 223-ФЗ: supplied JSON содержит 910 строк, 908 уникальных API id, два точных повтора. Все записи status=contract:active; даты заключения из raw.contract фактически 16.01.2025–08.10.2026, хотя фильтр начинается с 2023 года. Предмет в normalized испорчен значением «223-ФЗ» у всех 910 строк — бери raw.purchase_object. Сумма уникальных цен 149559875.64 руб. относится только к этой выгрузке. Сам фильтр не доказывает наличие данных за 2023–2024.</w:t>
      </w:r>
    </w:p>
    <w:p>
      <w:pPr>
        <w:spacing w:after="80" w:line="250" w:lineRule="auto"/>
      </w:pPr>
      <w:r>
        <w:rPr>
          <w:sz w:val="20"/>
        </w:rPr>
        <w:t>5.4 В проверенном 44-ФЗ JSON 135 строк: 74 active, 58 fulfilled, 3 terminated. Все 135 нормализованных дат и предметов потеряны, но присутствуют в оригинал_API. Месяц выборки 2024-12 не равен месяцу заключения договора: даты договора охватывают 2024-01–2024-12. Учитывай фильтр fromPublishedAt отдельно от contract_conclusion_date. Сохрани UTC timestamp; проверяй правило перехода к локальной дате. Не выдавай выборку 135 за весь реестр.</w:t>
      </w:r>
    </w:p>
    <w:p>
      <w:pPr>
        <w:spacing w:after="80" w:line="250" w:lineRule="auto"/>
      </w:pPr>
      <w:r>
        <w:rPr>
          <w:sz w:val="20"/>
        </w:rPr>
        <w:t>5.5 Манифест нового сборщика 44-ФЗ сообщает 493912 сохранённых записей за публикации 2025-01–2026-10-08 и 119 повторов между страницами. Найди все части, проверь числа независимо, точные дубли, пропуски страниц, совпадающие сигнатуры и завершённость каждого месяца. Эти 493912 не импортированы в приложенную новую базу и не являются подтверждённым итогом аудита.</w:t>
      </w:r>
    </w:p>
    <w:p>
      <w:pPr>
        <w:spacing w:after="80" w:line="250" w:lineRule="auto"/>
      </w:pPr>
      <w:r>
        <w:rPr>
          <w:sz w:val="20"/>
        </w:rPr>
        <w:t>5.6 В проверенных АТМО raw отсутствуют ИНН поставщика и заказчика. Не сопоставляй с МСП только по названию. Дополучай реквизиты из разрешённых карточек/справочника организаций, храни match_method и confidence. Пока реквизитов нет, статус МСП и муниципальные потоки для этих записей = unavailable. API-статус заключённого договора не доказывает исполнение, оплату или проверку электронной подписи.</w:t>
      </w:r>
    </w:p>
    <w:p>
      <w:pPr>
        <w:spacing w:after="80" w:line="250" w:lineRule="auto"/>
      </w:pPr>
      <w:r>
        <w:rPr>
          <w:sz w:val="20"/>
        </w:rPr>
        <w:t>5.7 Торги (1)(1).xlsx содержит 10000 объявлений/лотов; это отдельный notice layer. Из его цен нельзя получить сумму заключённых договоров. Не суммируй его с contract layer.</w:t>
      </w:r>
    </w:p>
    <w:p>
      <w:pPr>
        <w:spacing w:after="80" w:line="250" w:lineRule="auto"/>
      </w:pPr>
      <w:r>
        <w:rPr>
          <w:sz w:val="20"/>
        </w:rPr>
        <w:t>5.8 МСП: реальный обработанный CSV на 10.09.2026 содержит 150234 уникальных ИНН РБ; контрольные разряды всех ИНН прошли проверку. Микро 145411, малые 4410, средние 413. Старый QA сообщает 150247 наблюдений при тех же 150234 уникальных ИНН — объясни разницу по upstream-логам, не создавай фиктивные дополнительные строки. 111477 строк не имеют headcount: это пропуск, а не нулевая занятость.</w:t>
      </w:r>
    </w:p>
    <w:p>
      <w:pPr>
        <w:spacing w:after="80" w:line="250" w:lineRule="auto"/>
      </w:pPr>
      <w:r>
        <w:rPr>
          <w:sz w:val="20"/>
        </w:rPr>
        <w:t>5.9 В новой базе msp_supplier_index_snapshot содержит 157996 релевантных фирм разных регионов на 10.09.2026; это отбор, а не весь национальный реестр МСП. Региональный msp_snapshot_rows даёт только 129014 совпадений. Join contracts→MSP по ИНН с общероссийским индексом этого snapshot должен дать 173892 найденных, 103660 не найденных, 82063 без ИНН поставщика, всего 359615. Это принадлежность реестру НА 10.09.2026. Для доли МСП в контрактах 2023–2024 на дату подписания найди исторические snapshots и сделай as-of join. «Не найден в snapshot» не равнозначно крупному бизнесу. Адресные строки district/city дают только кандидатов МО; нужен проверенный ОКТМО. Публикуй доли matched/unmatched по числу и стоимости.</w:t>
      </w:r>
    </w:p>
    <w:p>
      <w:pPr>
        <w:spacing w:after="80" w:line="250" w:lineRule="auto"/>
      </w:pPr>
      <w:r>
        <w:rPr>
          <w:sz w:val="20"/>
        </w:rPr>
        <w:t>5.10 HTTP 429/500/502/503/504: ограниченный exponential backoff с jitter и Retry-After, паузы, resume, checksum, audit pagination. Не трактуй ответ с ошибкой, HTML вместо JSON или повторённую страницу как успешную загрузку. Не пытайся обходить капчу/платный доступ. Публичные данные СБИС используй в пределах доступных экспортов и разрешённых интерфейсов.</w:t>
      </w:r>
    </w:p>
    <w:p>
      <w:pPr>
        <w:spacing w:after="80" w:line="250" w:lineRule="auto"/>
      </w:pPr>
      <w:r>
        <w:rPr>
          <w:sz w:val="20"/>
        </w:rPr>
        <w:t>5.11 Пользовательское правило ЕИС: сайт ЕИС открывать только через Opera Browser Connector. Не открывай его через другой браузерный канал. Если такого коннектора нет, работай с имеющимися экспортами и сообщи это ограничение. Для явно запрошенной загрузки «скачать всё» сохранять все вложения и протоколы в OneDrive\ЕИС_TEMP\&lt;regNumber&gt;; действующие файлы не трогать. Для текущего анализа повторная загрузка всех документов ЕИС не нужна, если уже имеются достаточные проверенные факты.</w:t>
      </w:r>
    </w:p>
    <w:p>
      <w:pPr>
        <w:pStyle w:val="Heading2"/>
      </w:pPr>
      <w:r>
        <w:t>6 РОССТАТ И ДОПОЛНИТЕЛЬНЫЕ ПОКАЗАТЕЛИ</w:t>
      </w:r>
    </w:p>
    <w:p>
      <w:pPr>
        <w:spacing w:after="80" w:line="250" w:lineRule="auto"/>
      </w:pPr>
      <w:r>
        <w:rPr>
          <w:sz w:val="20"/>
        </w:rPr>
        <w:t>В новой базе уже есть население всех 63 МО на 01.01.2022, 01.01.2023, 01.01.2024, 01.01.2025. Суммы соответственно 4091621, 4077600, 4064361, 4042377 и совпадают с республиканскими контролями PDF. Последний импортированный муниципальный population срез — 2025, а не 2026.</w:t>
      </w:r>
    </w:p>
    <w:p>
      <w:pPr>
        <w:spacing w:after="80" w:line="250" w:lineRule="auto"/>
      </w:pPr>
      <w:r>
        <w:rPr>
          <w:sz w:val="20"/>
        </w:rPr>
        <w:t>Проверь на дату работы официальные разделы Башкортостанстата https://02.rosstat.gov.ru/folder/25491 и https://02.rosstat.gov.ru/folder/26137, федеральный каталог https://rosstat.gov.ru/folder/12781 и БД ПМО. При 500 используй уже скачанные файлы из проекта и другой официальный ресурс. Перепись 2020/2021 с возрастами и образованием может усилить структурную интерпретацию, но её нельзя пометить текущим населением 2026 года.</w:t>
      </w:r>
    </w:p>
    <w:p>
      <w:pPr>
        <w:spacing w:after="80" w:line="250" w:lineRule="auto"/>
      </w:pPr>
      <w:r>
        <w:rPr>
          <w:sz w:val="20"/>
        </w:rPr>
        <w:t>Дополнительный конкретный источник: https://rosstat.gov.ru/munstat — открытый XLSX «Объём социальных выплат населению и налогооблагаемых денежных доходов населения в разрезе муниципальных образований», в официальной выдаче обновлён 10.04.2026. Он ещё не импортирован: найди файл и прочитай фактический период, единицы и ОКТМО; дату публикации не называй годом наблюдений. Список FOUND_NOT_IMPORTED и конкретные найденные файлы ИПЦ 2026 находятся в SOURCE_CANDIDATES.md.</w:t>
      </w:r>
    </w:p>
    <w:p>
      <w:pPr>
        <w:spacing w:after="80" w:line="250" w:lineRule="auto"/>
      </w:pPr>
      <w:r>
        <w:rPr>
          <w:sz w:val="20"/>
        </w:rPr>
        <w:t>Найди доступные МО×год показатели: средняя зарплата, численность работников, занятость по ОКВЭД, отгрузка/инвестиции, сельхозпроизводство, собственные бюджетные доходы/трансферты, рождения, смерти, прибывшие и выбывшие, доли возрастных групп, городское население, жилищный ввод. Для каждого укажи охват предприятий, муниципальный уровень, единицы, revision и период. «Занятые на крупных/средних предприятиях» не равны всем занятым жителям.</w:t>
      </w:r>
    </w:p>
    <w:p>
      <w:pPr>
        <w:spacing w:after="80" w:line="250" w:lineRule="auto"/>
      </w:pPr>
      <w:r>
        <w:rPr>
          <w:sz w:val="20"/>
        </w:rPr>
        <w:t>Коды БД ПМО брать из официального Perechen-pokazatelej-dlya-zagruzki-v-BD-PMO_2025.pdf или актуального каталога; не угадывать. Региональный ИПЦ можно применять как дефлятор временных сумм, но константа по всем МО не создаёт муниципального различия. Составь DATA_GAPS.md с точными недостающими показателями, URLs и статусом; продолжай расчёт на проверенных блоках.</w:t>
      </w:r>
    </w:p>
    <w:p>
      <w:pPr>
        <w:pStyle w:val="Heading2"/>
      </w:pPr>
      <w:r>
        <w:t>7 ПРИЗНАКИ И МАТЕМАТИЧЕСКОЕ ПРАВИЛО РЁБЕР</w:t>
      </w:r>
    </w:p>
    <w:p>
      <w:pPr>
        <w:spacing w:after="80" w:line="250" w:lineRule="auto"/>
      </w:pPr>
      <w:r>
        <w:rPr>
          <w:sz w:val="20"/>
        </w:rPr>
        <w:t>Обязательная основа: уровень и структура потребления СберИндекса. Дополнительные блоки: структура бюджетного спроса и поставок, МСП/отраслевая специализация, труд/зарплата, демография. Для каждого признака: определение, формула, единицы, экономическая гипотеза, период, доступность и риск измерения.</w:t>
      </w:r>
    </w:p>
    <w:p>
      <w:pPr>
        <w:spacing w:after="80" w:line="250" w:lineRule="auto"/>
      </w:pPr>
      <w:r>
        <w:rPr>
          <w:sz w:val="20"/>
        </w:rPr>
        <w:t>Доли потребления обработай как композицию: closure и ILR либо Aitchison distance. Не добавляй все доли и их производные с повторным весом в одну Euclidean-матрицу. Учитывай структурные и выборочные нули. Доли локальных/Уфы/прочих РБ/внешних/неопределённых поставщиков должны иметь единый знаменатель и не пересекаться. Доля single_supplier описывает процедуру и не является компонентой этой географической композиции. OKPD2 и OKVED2 — разные классификаторы; обоснуй агрегирование/соответствие.</w:t>
      </w:r>
    </w:p>
    <w:p>
      <w:pPr>
        <w:spacing w:after="80" w:line="250" w:lineRule="auto"/>
      </w:pPr>
      <w:r>
        <w:rPr>
          <w:sz w:val="20"/>
        </w:rPr>
        <w:t>Для маленьких МО сравни сглаженную специализацию МСП: p_hat_ms=(n_ms+κπ_s)/(n_m+κ), LQ_ms=p_hat_ms/π_s. π_s — доля отрасли в выбранном эталоне, κ подбирается на доступных данных. Это относительная специализация по числу предприятий, не производственная мощность. Не используй snapshot 2026 как исторический атрибут 2023 без отдельного ретроспективного режима.</w:t>
      </w:r>
    </w:p>
    <w:p>
      <w:pPr>
        <w:spacing w:after="80" w:line="250" w:lineRule="auto"/>
      </w:pPr>
      <w:r>
        <w:rPr>
          <w:sz w:val="20"/>
        </w:rPr>
        <w:t>Baseline граф: W_ij = mask_ij exp(−d_ij²/(σ_iσ_j)), σ_i = расстояние до k_scale-го соседа; mask union-kNN или mutual-kNN, диагональ 0. Одинаковые строки/σ=0, отсутствующие блоки, изоляты и неодинаковая полнота требуют явных правил. Это альтернативное ядро, а не гарантированное улучшение.</w:t>
      </w:r>
    </w:p>
    <w:p>
      <w:pPr>
        <w:spacing w:after="80" w:line="250" w:lineRule="auto"/>
      </w:pPr>
      <w:r>
        <w:rPr>
          <w:sz w:val="20"/>
        </w:rPr>
        <w:t>Сравни старый cosine, self-tuning RBF, корреляции residual/difference рядов, DTW и нормированный procurement flow при подтверждённой муниципальной географии. Для каждого слоя объясни экономический смысл. Отдельно сравни union/mutual-kNN и пороговый граф: число рёбер, компоненты, изоляты, степень, спектр и эффект на кластеры. Географию держи отдельным контрольным слоем; market_access уже содержит географическую информацию, поэтому формулировка «география совсем не используется» некорректна.</w:t>
      </w:r>
    </w:p>
    <w:p>
      <w:pPr>
        <w:spacing w:after="80" w:line="250" w:lineRule="auto"/>
      </w:pPr>
      <w:r>
        <w:rPr>
          <w:sz w:val="20"/>
        </w:rPr>
        <w:t>Linear fusion оставить воспроизводимым baseline; SNF исследовать как дополнительное сравнение только при реальной прибавке качества и устойчивости. Веса блоков, веса слоёв, alpha, kNN и число кластеров не подбирать по желаемому названию типа. Не принуждать результат к семи типам. Сравнение ICVI дополни Pareto-таблицей, стабильностью и чувствительностью; среднее z не является универсальным доказательством качества.</w:t>
      </w:r>
    </w:p>
    <w:p>
      <w:pPr>
        <w:pStyle w:val="Heading2"/>
      </w:pPr>
      <w:r>
        <w:t>8 ДИНАМИКА И НЕОПРЕДЕЛЁННОСТЬ</w:t>
      </w:r>
    </w:p>
    <w:p>
      <w:pPr>
        <w:spacing w:after="80" w:line="250" w:lineRule="auto"/>
      </w:pPr>
      <w:r>
        <w:rPr>
          <w:sz w:val="20"/>
        </w:rPr>
        <w:t>Для каждого t собирай X_t и W_t из допустимого исторического окна, фиксируя warm-up первых окон. Baseline сглаживания W_tilde_t=(1−β)W_t+β W_tilde_(t−1) корректен при одинаковом множестве узлов; иначе явно согласуй общие узлы. Сравни β=0 и несколько ненулевых β, качество снимка и ARI/VI во времени.</w:t>
      </w:r>
    </w:p>
    <w:p>
      <w:pPr>
        <w:spacing w:after="80" w:line="250" w:lineRule="auto"/>
      </w:pPr>
      <w:r>
        <w:rPr>
          <w:sz w:val="20"/>
        </w:rPr>
        <w:t>Добавь математически явное выравнивание меток Hungarian по пересечениям, Jaccard-overlap и split/merge events. Выравнивание номера не гарантирует неизменность экономического содержания типа; показывай изменение профиля. K может меняться. Отдельно покажи приход/выход/преобразование МО.</w:t>
      </w:r>
    </w:p>
    <w:p>
      <w:pPr>
        <w:spacing w:after="80" w:line="250" w:lineRule="auto"/>
      </w:pPr>
      <w:r>
        <w:rPr>
          <w:sz w:val="20"/>
        </w:rPr>
        <w:t>Качество: SW CH S_Dbw в атрибутивном пространстве; AVI AVU MQ в выбранной полной сети. Сохрани raw values, направление оптимизации, null distribution с теми же размерами кластеров и интервалы. Bootstrap должен различать perturbation узлов, временных блоков и перестроение признаков/сети. Вычисляй co-assignment только среди jointly observed пар, исключай сам узел из его стабильности. Не называй частоту bootstrap либо RF-предсказание собственных cluster labels апостериорной вероятностью истинного экономического типа.</w:t>
      </w:r>
    </w:p>
    <w:p>
      <w:pPr>
        <w:spacing w:after="80" w:line="250" w:lineRule="auto"/>
      </w:pPr>
      <w:r>
        <w:rPr>
          <w:sz w:val="20"/>
        </w:rPr>
        <w:t>Тест отсутствия будущей информации: изменённые данные после t не меняют X_t, W_t и результат до t в режиме мониторинга; контрольный тест должен реально исполняться. Статический hindsight-layout можно сохранять только как подписанную визуализацию.</w:t>
      </w:r>
    </w:p>
    <w:p>
      <w:pPr>
        <w:pStyle w:val="Heading2"/>
      </w:pPr>
      <w:r>
        <w:t>9 ЭКОНОМИЧЕСКОЕ ОБЪЯСНЕНИЕ И ВИЗУАЛИЗАЦИЯ</w:t>
      </w:r>
    </w:p>
    <w:p>
      <w:pPr>
        <w:spacing w:after="80" w:line="250" w:lineRule="auto"/>
      </w:pPr>
      <w:r>
        <w:rPr>
          <w:sz w:val="20"/>
        </w:rPr>
        <w:t>Каждый тип описать по профилю: число МО, население, медианные уровни, отраслевые доли/специализации, спрос/предложение, три отличительных признака, слабые места данных и примеры территорий. Опиши пограничные МО и устойчивость назначения. Подтверди хотя бы часть содержания независимыми показателями, не использованными в обучении.</w:t>
      </w:r>
    </w:p>
    <w:p>
      <w:pPr>
        <w:spacing w:after="80" w:line="250" w:lineRule="auto"/>
      </w:pPr>
      <w:r>
        <w:rPr>
          <w:sz w:val="20"/>
        </w:rPr>
        <w:t>Низкий SW≈0.051 старого результата означает сильное перекрытие признаковых профилей; не обещай идеально разделённые классы. Покажи макроуровень и детальный уровень, объясни возможную непрерывность экономического пространства. Прогноз cluster labels моделью RF проверяет воспроизводимость разметки, не её независимую экономическую истинность.</w:t>
      </w:r>
    </w:p>
    <w:p>
      <w:pPr>
        <w:spacing w:after="80" w:line="250" w:lineRule="auto"/>
      </w:pPr>
      <w:r>
        <w:rPr>
          <w:sz w:val="20"/>
        </w:rPr>
        <w:t>Сохрани рабочие вкладки автономного дашборда. Добавь time scrubber, экономическую сеть с пояснением ребра, карту, river/Sankey переходов со split/merge, linked cluster profile, карту co-assignment/неопределённости и панель покрытия источников. Для выбранного МО должны быть видны период, тип, признаки и происхождение показателей. 2D/fallback/клавиатура/мобильный вид обязательны. Национальную карту рисуй агрегированно/WebGL с реальным измерением производительности; не загружай сотни тысяч ребер в DOM. Изображение, раскладка 3D и анимация не заменяют читаемые числа и объяснение.</w:t>
      </w:r>
    </w:p>
    <w:p>
      <w:pPr>
        <w:pStyle w:val="Heading2"/>
      </w:pPr>
      <w:r>
        <w:t>10 СТРОГАЯ ПРОВЕРКА И ЛИМИТЫ</w:t>
      </w:r>
    </w:p>
    <w:p>
      <w:pPr>
        <w:spacing w:after="80" w:line="250" w:lineRule="auto"/>
      </w:pPr>
      <w:r>
        <w:rPr>
          <w:sz w:val="20"/>
        </w:rPr>
        <w:t>Выполни и сохрани фактический протокол. Не пиши «все тесты пройдены» до запусков.</w:t>
      </w:r>
    </w:p>
    <w:p>
      <w:pPr>
        <w:spacing w:after="80" w:line="250" w:lineRule="auto"/>
      </w:pPr>
      <w:r>
        <w:rPr>
          <w:sz w:val="20"/>
        </w:rPr>
        <w:t>Данные: полная пагинация; возобновление после разрыва; два зеркала одного файла; duplicate ID; конфликт цены; одинаковый номер у разных систем; отсутствие/невалидный ИНН; ведущие нули ОКТМО; CSV UTF-8/cp1251/BOM; пустой/повреждённый файл; рубли/копейки; иностранная валюта; отменённый договор; полный год против YTD. Сверь новые totals с независимыми source controls.</w:t>
      </w:r>
    </w:p>
    <w:p>
      <w:pPr>
        <w:spacing w:after="80" w:line="250" w:lineRule="auto"/>
      </w:pPr>
      <w:r>
        <w:rPr>
          <w:sz w:val="20"/>
        </w:rPr>
        <w:t>Математика: N=0/1/63 и национальный масштаб; kNN=0/1/N−1/N/N+1; K=1/N; singleton; одинаковые/нулевые ряды; NaN/полностью отсутствующий блок; нулевая дисперсия; изоляты/несвязный граф; смена меток; split/merge; отсутствие части МО; арифметические тождества композиций. Литературный AVU и S_Dbw сравнить с независимыми реализациями на контролируемой синтетике.</w:t>
      </w:r>
    </w:p>
    <w:p>
      <w:pPr>
        <w:spacing w:after="80" w:line="250" w:lineRule="auto"/>
      </w:pPr>
      <w:r>
        <w:rPr>
          <w:sz w:val="20"/>
        </w:rPr>
        <w:t>Нагрузка: измерь реальные N,T,E, строки, байты, wall time, peak RAM, p95 интерфейса и используемое железо. Приложенный аудит реально проверил только kNN-разрежение N=2016, не весь national pipeline. Для полного national запуска используй sparse matrices/ANN, а не полную all-pairs DTW; выборку можно применять для дорогостоящего диагностического индекса с явным описанием, но нельзя выдавать её за обработку всех исходных записей. Размеры batches и concurrency подбирай по измерениям; без безусловной перегрузки сайта.</w:t>
      </w:r>
    </w:p>
    <w:p>
      <w:pPr>
        <w:spacing w:after="80" w:line="250" w:lineRule="auto"/>
      </w:pPr>
      <w:r>
        <w:rPr>
          <w:sz w:val="20"/>
        </w:rPr>
        <w:t>Воспроизводимость: pinned lockfile, seeds, config hash, source manifest, one-command build, clean rerun, checkpoint/resume, data/version hashes, tests/logs. Экономический вывод должен ссылаться на run_id. Полный pipeline и интерфейс проверять в новой версии, включая отсутствие console errors и синхронизацию выбранных МО/периодов.</w:t>
      </w:r>
    </w:p>
    <w:p>
      <w:pPr>
        <w:pStyle w:val="Heading2"/>
      </w:pPr>
      <w:r>
        <w:t>11 РЕЗУЛЬТАТЫ КОТОРЫЕ НУЖНО ОТДАТЬ</w:t>
      </w:r>
    </w:p>
    <w:p>
      <w:pPr>
        <w:spacing w:after="80" w:line="250" w:lineRule="auto"/>
      </w:pPr>
      <w:r>
        <w:rPr>
          <w:sz w:val="20"/>
        </w:rPr>
        <w:t>Новая заполненная БД и схема; полный реестр файлов с местом хранения; DATA_DICTIONARY и DATA_GAPS; воспроизводимый ingest и adapter; corrected ICVI и математическая методология; таблицы сравнения методов/рёбер/K и sensitivity; панели МО×период; динамика и экономические паспорта типов; автономный HTML; исходники; понятный Word/PDF отчёт; STRESS_TEST_REPORT с фактическими PASS/FAIL/NOT_RUN; README с одной командой; CHANGELOG с влиянием исправлений на выводы.</w:t>
      </w:r>
    </w:p>
    <w:p>
      <w:pPr>
        <w:spacing w:after="80" w:line="250" w:lineRule="auto"/>
      </w:pPr>
      <w:r>
        <w:rPr>
          <w:sz w:val="20"/>
        </w:rPr>
        <w:t>Не отправляй конкурсную форму и не публикуй/не меняй удалённый репозиторий без отдельного пользовательского указания. Подготовь конкретный локальный комплект для подачи и перечисли готовые и действительно оставшиеся пункты. При длинной работе веди HANDOFF_STATE.md с завершёнными шагами, командами, файлами и следующими действиями, чтобы продолжать после обрыва контекста.</w:t>
      </w:r>
    </w:p>
    <w:p>
      <w:pPr>
        <w:spacing w:after="80" w:line="250" w:lineRule="auto"/>
      </w:pPr>
      <w:r>
        <w:rPr>
          <w:sz w:val="20"/>
        </w:rPr>
        <w:t>Порядок: исправления AVU/периодов/идентификации → проверенная база и география → новая сеть и динамика → интерпретация и визуализация → строгий clean rerun → комплект для подачи. Новые нейросети, causal inference и прогноз населения не должны задерживать обязательную кластеризацию. Начинай с обследования рабочего каталога и SQL-проверок приложенной базы.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A5A5A"/>
        <w:sz w:val="16"/>
      </w:rPr>
      <w:t xml:space="preserve">ECONTYPES   •   Проверка 09 октября 2026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проекта econtypes и задание для Claude Code</dc:title>
  <dc:subject>Атрибутированные сети муниципалитетов и воспроизводимая база данных</dc:subject>
  <dc:creator>Рабочая аналитическая записка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