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Научные методы анализа населения</w:t>
        <w:br/>
        <w:t>для проекта econtypes</w:t>
      </w:r>
    </w:p>
    <w:p>
      <w:pPr>
        <w:pStyle w:val="Subtitle"/>
      </w:pPr>
      <w:r>
        <w:t>Возрастная структура миграция прогноз и доступность услуг</w:t>
      </w:r>
    </w:p>
    <w:p>
      <w:r>
        <w:t>Дополнение к обзору методов • 8 октября 2026 года</w:t>
      </w:r>
    </w:p>
    <w:p>
      <w:r>
        <w:t>Для наших 63 муниципалитетов наиболее полезны три направления: прогноз численности по возрастам, разделение естественной убыли и миграции, оценка будущей потребности в школах и других услугах. Они связывают демографию с экономикой МСП и закупочным спросом гораздо содержательнее, чем один показатель общей численности.</w:t>
      </w:r>
    </w:p>
    <w:p>
      <w:r>
        <w:t>Ниже — 10 методов с формулами и предложениями для econtypes. Среди источников есть исследования и официальные методики 2025–2026 годов. Зрелые методы обозначены отдельно: их возраст не мешает им быть хорошей основой для проверки новых моделей.</w:t>
      </w:r>
    </w:p>
    <w:tbl>
      <w:tblPr>
        <w:tblW w:type="auto" w:w="0"/>
        <w:jc w:val="center"/>
        <w:tblLayout w:type="fixed"/>
        <w:tblLook w:firstColumn="1" w:firstRow="1" w:lastColumn="0" w:lastRow="0" w:noHBand="0" w:noVBand="1" w:val="04A0"/>
      </w:tblPr>
      <w:tblGrid>
        <w:gridCol w:w="2664"/>
        <w:gridCol w:w="3686"/>
        <w:gridCol w:w="3614"/>
      </w:tblGrid>
      <w:tr>
        <w:trPr>
          <w:cantSplit/>
          <w:tblHeader/>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Метод</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Что узнаем</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С чего начать</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1 Демографический баланс</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За счет чего меняется население</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Численность, рождения, смерти, миграция</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2 Вероятностный прогноз</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Сколько жителей будет по возрастам</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Возраст и пол, история компонентов</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3 Hamilton Perry</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Возрастной прогноз при нехватке данных</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Два сопоставимых возрастных среза</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4 Миграционная сеть</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Какие территории связаны переездами</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Матрица направлений миграции</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5 Возрастная нагрузка</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Как меняется соотношение возрастов</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Возрастная структура</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6 Спрос на образование</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Где изменится потребность в местах</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Возраст детей, контингент и мощности</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7 Доступность услуг</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Где жители далеко от доступных мест</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Поселения, дороги, учреждения</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8 Сглаживание малых чисел</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Какие отклонения устойчивы</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События, экспозиции, соседство</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9 Мелкая пространственная сетка</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Что скрывает среднее по району</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Населенные пункты или надежная сетка</w:t>
            </w:r>
          </w:p>
        </w:tc>
      </w:tr>
      <w:tr>
        <w:trPr>
          <w:cantSplit/>
        </w:trPr>
        <w:tc>
          <w:tcPr>
            <w:tcW w:type="dxa" w:w="26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10 Факторы изменения населения</w:t>
            </w:r>
          </w:p>
        </w:tc>
        <w:tc>
          <w:tcPr>
            <w:tcW w:type="dxa" w:w="368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Какие признаки помогают прогнозу</w:t>
            </w:r>
          </w:p>
        </w:tc>
        <w:tc>
          <w:tcPr>
            <w:tcW w:type="dxa" w:w="36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История населения и экономики</w:t>
            </w:r>
          </w:p>
        </w:tc>
      </w:tr>
    </w:tbl>
    <w:p>
      <w:pPr>
        <w:spacing w:after="20"/>
      </w:pPr>
      <w:r/>
    </w:p>
    <w:p>
      <w:r>
        <w:t>Это методический обзор. Расчеты по фактическому населению Башкортостана и обучение демографических моделей в этой работе не выполнялись. Примеры условные; формулы адаптации не выдаются за новые доказанные законы.</w:t>
      </w:r>
    </w:p>
    <w:p>
      <w:r>
        <w:br w:type="page"/>
      </w:r>
    </w:p>
    <w:p>
      <w:pPr>
        <w:pStyle w:val="Heading1"/>
      </w:pPr>
      <w:r>
        <w:t>Свежие исследования которые подходят нашей задаче</w:t>
      </w:r>
    </w:p>
    <w:tbl>
      <w:tblPr>
        <w:tblW w:type="auto" w:w="0"/>
        <w:jc w:val="center"/>
        <w:tblLayout w:type="fixed"/>
        <w:tblLook w:firstColumn="1" w:firstRow="1" w:lastColumn="0" w:lastRow="0" w:noHBand="0" w:noVBand="1" w:val="04A0"/>
      </w:tblPr>
      <w:tblGrid>
        <w:gridCol w:w="2390"/>
        <w:gridCol w:w="3211"/>
        <w:gridCol w:w="4363"/>
      </w:tblGrid>
      <w:tr>
        <w:trPr>
          <w:cantSplit/>
          <w:tblHeader/>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Источник</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Дата и статус</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Полезный результат</w:t>
            </w:r>
          </w:p>
        </w:tc>
      </w:tr>
      <w:tr>
        <w:trPr>
          <w:cantSplit/>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Goes и Engelhardt [1]</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14.04.2026, Demographic Research</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Вероятностный возрастной прогноз малых территорий; проверка на 13 регионах Баварии.</w:t>
            </w:r>
          </w:p>
        </w:tc>
      </w:tr>
      <w:tr>
        <w:trPr>
          <w:cantSplit/>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Statistics Canada [2]</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18.02.2026, официальный технический отчет</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Прогноз малых территорий на основе изменений возрастных когорт, со сглаживанием и согласованием итогов.</w:t>
            </w:r>
          </w:p>
        </w:tc>
      </w:tr>
      <w:tr>
        <w:trPr>
          <w:cantSplit/>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Wiśniowski и Raymer [3]</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10.04.2025, European Journal of Population</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Совместное вероятностное моделирование рождаемости, смертности и миграции между регионами.</w:t>
            </w:r>
          </w:p>
        </w:tc>
      </w:tr>
      <w:tr>
        <w:trPr>
          <w:cantSplit/>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Lee и Jeong [4]</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Онлайн 18.11.2025; выпуск 2026 года</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Распределение муниципального прогноза по сетке 500 м с учетом возраста и пола.</w:t>
            </w:r>
          </w:p>
        </w:tc>
      </w:tr>
      <w:tr>
        <w:trPr>
          <w:cantSplit/>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Béres и Péterffy [5]</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09.07.2026, GeoJournal</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Анализ того, как убыль населения и малые классы связаны с нагрузкой на школьную сеть.</w:t>
            </w:r>
          </w:p>
        </w:tc>
      </w:tr>
      <w:tr>
        <w:trPr>
          <w:cantSplit/>
        </w:trPr>
        <w:tc>
          <w:tcPr>
            <w:tcW w:type="dxa" w:w="239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Kompil и соавторы [6]</w:t>
            </w:r>
          </w:p>
        </w:tc>
        <w:tc>
          <w:tcPr>
            <w:tcW w:type="dxa" w:w="321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19.06.2026, рабочая статья JRC</w:t>
            </w:r>
          </w:p>
        </w:tc>
        <w:tc>
          <w:tcPr>
            <w:tcW w:type="dxa" w:w="436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Исследование связи изменений населения поселений ЕС с занятостью, доступностью и инфраструктурой.</w:t>
            </w:r>
          </w:p>
        </w:tc>
      </w:tr>
    </w:tbl>
    <w:p>
      <w:pPr>
        <w:spacing w:after="20"/>
      </w:pPr>
      <w:r/>
    </w:p>
    <w:p>
      <w:r>
        <w:t>Рабочая статья JRC является исследовательским материалом Европейской комиссии; ее статус здесь не приравнивается к рецензируемой журнальной статье.</w:t>
      </w:r>
    </w:p>
    <w:p>
      <w:pPr>
        <w:pStyle w:val="Heading2"/>
      </w:pPr>
      <w:r>
        <w:t>Как отличать научный результат от применения</w:t>
      </w:r>
    </w:p>
    <w:p>
      <w:r>
        <w:t>Новые статьи предлагают модели и проверяют их на своих данных. Для econtypes мы берем постановку задачи и метод, затем отдельно проверяем переносимость. Коэффициенты из Баварии, Канады, Венгрии или Южной Кореи нельзя подставлять в российские муниципалитеты как установленные местные закономерности.</w:t>
      </w:r>
    </w:p>
    <w:p>
      <w:r>
        <w:t>Официальный DAPPS 4.1 Бюро переписи США, выпущенный 3 декабря 2025 года, также содержит инструменты демографического анализа и субнациональных проекций [10]. Это полезный ориентир для проверки расчетной логики, а не готовый прогноз для Башкортостана.</w:t>
      </w:r>
    </w:p>
    <w:p>
      <w:r>
        <w:br w:type="page"/>
      </w:r>
    </w:p>
    <w:p>
      <w:pPr>
        <w:pStyle w:val="Heading1"/>
      </w:pPr>
      <w:r>
        <w:t>1 Демографический баланс и разложение изменений</w:t>
      </w:r>
    </w:p>
    <w:p>
      <w:r>
        <w:t>Приоритет: первый расчетный этап. Статус: базовая демографическая модель и точные алгебраические разложения. Контекст компонентного прогнозирования — [10].</w:t>
      </w:r>
    </w:p>
    <w:p>
      <w:pPr>
        <w:spacing w:before="140" w:after="180"/>
        <w:jc w:val="center"/>
      </w:pPr>
      <m:oMath>
        <m:sSub>
          <m:e>
            <m:r>
              <w:rPr>
                <w:rFonts w:ascii="Cambria Math" w:hAnsi="Cambria Math"/>
              </w:rPr>
              <m:t xml:space="preserve">N</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O</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t</m:t>
            </m:r>
          </m:sub>
        </m:sSub>
      </m:oMath>
    </w:p>
    <w:p>
      <w:r/>
      <w:r>
        <w:rPr>
          <w:b/>
        </w:rPr>
        <w:t xml:space="preserve">Обозначения. </w:t>
      </w:r>
      <w:r>
        <w:t>N — численность жителей; B и D — рождения и смерти; I и O — прибытия и выбытия; A — изменения границ и статистические корректировки. Все компоненты должны относиться к одному периоду, территории и определению населения.</w:t>
      </w:r>
    </w:p>
    <w:p>
      <w:r/>
      <w:r>
        <w:rPr>
          <w:b/>
        </w:rPr>
        <w:t xml:space="preserve">Что включить в проект. </w:t>
      </w:r>
      <w:r>
        <w:t>Для каждого МО показать абсолютное изменение населения, естественный прирост, миграционный прирост и необъясненный остаток. Коэффициенты на тысячу жителей считать по согласованной среднегодовой численности, а не произвольно выбранному снимку.</w:t>
      </w:r>
    </w:p>
    <w:p>
      <w:pPr>
        <w:pStyle w:val="Heading2"/>
      </w:pPr>
      <w:r>
        <w:t>Почему уменьшилось число рождений</w:t>
      </w:r>
    </w:p>
    <w:p>
      <w:pPr>
        <w:spacing w:before="140" w:after="180"/>
        <w:jc w:val="center"/>
      </w:pPr>
      <m:oMath>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a</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a</m:t>
            </m:r>
            <m:r>
              <w:rPr>
                <w:rFonts w:ascii="Cambria Math" w:hAnsi="Cambria Math"/>
              </w:rPr>
              <m:t xml:space="preserve">,</m:t>
            </m:r>
            <m:r>
              <w:rPr>
                <w:rFonts w:ascii="Cambria Math" w:hAnsi="Cambria Math"/>
              </w:rPr>
              <m:t xml:space="preserve">t</m:t>
            </m:r>
          </m:sub>
        </m:sSub>
        <m:sSub>
          <m:e>
            <m:r>
              <w:rPr>
                <w:rFonts w:ascii="Cambria Math" w:hAnsi="Cambria Math"/>
              </w:rPr>
              <m:t xml:space="preserve">f</m:t>
            </m:r>
          </m:e>
          <m:sub>
            <m:r>
              <w:rPr>
                <w:rFonts w:ascii="Cambria Math" w:hAnsi="Cambria Math"/>
              </w:rPr>
              <m:t xml:space="preserve">a</m:t>
            </m:r>
            <m:r>
              <w:rPr>
                <w:rFonts w:ascii="Cambria Math" w:hAnsi="Cambria Math"/>
              </w:rPr>
              <m:t xml:space="preserve">,</m:t>
            </m:r>
            <m:r>
              <w:rPr>
                <w:rFonts w:ascii="Cambria Math" w:hAnsi="Cambria Math"/>
              </w:rPr>
              <m:t xml:space="preserve">t</m:t>
            </m:r>
          </m:sub>
        </m:sSub>
      </m:oMath>
    </w:p>
    <w:p>
      <w:pPr>
        <w:spacing w:before="140" w:after="180"/>
        <w:jc w:val="center"/>
      </w:pPr>
      <m:o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a</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a</m:t>
            </m:r>
            <m:r>
              <w:rPr>
                <w:rFonts w:ascii="Cambria Math" w:hAnsi="Cambria Math"/>
              </w:rPr>
              <m:t xml:space="preserve">,</m:t>
            </m:r>
            <m:r>
              <w:rPr>
                <w:rFonts w:ascii="Cambria Math" w:hAnsi="Cambria Math"/>
              </w:rPr>
              <m:t xml:space="preserve">0</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a</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a</m:t>
                </m:r>
                <m:r>
                  <w:rPr>
                    <w:rFonts w:ascii="Cambria Math" w:hAnsi="Cambria Math"/>
                  </w:rPr>
                  <m:t xml:space="preserve">,</m:t>
                </m:r>
                <m:r>
                  <w:rPr>
                    <w:rFonts w:ascii="Cambria Math" w:hAnsi="Cambria Math"/>
                  </w:rPr>
                  <m:t xml:space="preserve">0</m:t>
                </m:r>
              </m:sub>
            </m:sSub>
          </m:num>
          <m:den>
            <m:r>
              <w:rPr>
                <w:rFonts w:ascii="Cambria Math" w:hAnsi="Cambria Math"/>
              </w:rPr>
              <m:t xml:space="preserve">2</m:t>
            </m:r>
          </m:den>
        </m:f>
        <m:r>
          <w:rPr>
            <w:rFonts w:ascii="Cambria Math" w:hAnsi="Cambria Math"/>
          </w:rPr>
          <m:t xml:space="preserve">+</m:t>
        </m:r>
        <m:sSub>
          <m:e>
            <m:r>
              <w:rPr>
                <w:rFonts w:ascii="Cambria Math" w:hAnsi="Cambria Math"/>
              </w:rPr>
              <m:t xml:space="preserve">∑</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a</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a</m:t>
            </m:r>
            <m:r>
              <w:rPr>
                <w:rFonts w:ascii="Cambria Math" w:hAnsi="Cambria Math"/>
              </w:rPr>
              <m:t xml:space="preserve">,</m:t>
            </m:r>
            <m:r>
              <w:rPr>
                <w:rFonts w:ascii="Cambria Math" w:hAnsi="Cambria Math"/>
              </w:rPr>
              <m:t xml:space="preserve">0</m:t>
            </m:r>
          </m:sub>
        </m:sSub>
        <m:r>
          <w:rPr>
            <w:rFonts w:ascii="Cambria Math" w:hAnsi="Cambria Math"/>
          </w:rPr>
          <m:t xml:space="preserve">)</m:t>
        </m:r>
        <m:f>
          <m:num>
            <m:sSub>
              <m:e>
                <m:r>
                  <w:rPr>
                    <w:rFonts w:ascii="Cambria Math" w:hAnsi="Cambria Math"/>
                  </w:rPr>
                  <m:t xml:space="preserve">W</m:t>
                </m:r>
              </m:e>
              <m:sub>
                <m:r>
                  <w:rPr>
                    <w:rFonts w:ascii="Cambria Math" w:hAnsi="Cambria Math"/>
                  </w:rPr>
                  <m:t xml:space="preserve">a</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a</m:t>
                </m:r>
                <m:r>
                  <w:rPr>
                    <w:rFonts w:ascii="Cambria Math" w:hAnsi="Cambria Math"/>
                  </w:rPr>
                  <m:t xml:space="preserve">,</m:t>
                </m:r>
                <m:r>
                  <w:rPr>
                    <w:rFonts w:ascii="Cambria Math" w:hAnsi="Cambria Math"/>
                  </w:rPr>
                  <m:t xml:space="preserve">0</m:t>
                </m:r>
              </m:sub>
            </m:sSub>
          </m:num>
          <m:den>
            <m:r>
              <w:rPr>
                <w:rFonts w:ascii="Cambria Math" w:hAnsi="Cambria Math"/>
              </w:rPr>
              <m:t xml:space="preserve">2</m:t>
            </m:r>
          </m:den>
        </m:f>
      </m:oMath>
    </w:p>
    <w:p>
      <w:r/>
      <w:r>
        <w:rPr>
          <w:b/>
        </w:rPr>
        <w:t xml:space="preserve">Смысл. </w:t>
      </w:r>
      <w:r>
        <w:t>W — экспозиция женщин соответствующего возраста в человеко-годах; f — число рождений на такую единицу экспозиции. Первое слагаемое показывает вклад изменения численности и структуры женщин, второе — изменения возрастных коэффициентов рождаемости. Это симметричное тождество для двух факторов, а не причинная модель.</w:t>
      </w:r>
    </w:p>
    <w:p>
      <w:r/>
      <w:r>
        <w:rPr>
          <w:b/>
        </w:rPr>
        <w:t xml:space="preserve">Условный пример. </w:t>
      </w:r>
      <w:r>
        <w:t>Если было 1000 женщин и 0,05 рождения на женщину в год, получаем 50 рождений. Затем женщин стало 900, а коэффициент — 0,04: 36 рождений. Снижение на 14 разлагается на −4,5 из-за экспозиции и −9,5 из-за коэффициента.</w:t>
      </w:r>
    </w:p>
    <w:p>
      <w:r/>
      <w:r>
        <w:rPr>
          <w:b/>
        </w:rPr>
        <w:t xml:space="preserve">Ограничение. </w:t>
      </w:r>
      <w:r>
        <w:t>Снижение рождений не обязательно означает снижение склонности к рождению детей. Если по МО нет рождений по возрасту матери, такое разложение нельзя надежно восстановить из общей численности населения. Остаток баланса также нельзя автоматически назвать скрытой миграцией.</w:t>
      </w:r>
    </w:p>
    <w:p>
      <w:r>
        <w:br w:type="page"/>
      </w:r>
    </w:p>
    <w:p>
      <w:pPr>
        <w:pStyle w:val="Heading1"/>
      </w:pPr>
      <w:r>
        <w:t>2 Байесовский прогноз населения по возрастам</w:t>
      </w:r>
    </w:p>
    <w:p>
      <w:r>
        <w:t>Приоритет: основной исследовательский пилот. Свежий источник: Goes и Engelhardt, апрель 2026 [1].</w:t>
      </w:r>
    </w:p>
    <w:p>
      <w:r>
        <w:t>Авторы предлагают вероятностный когортно-компонентный подход для малых регионов: отдельно моделируют рождаемость и миграцию, учитывают возрастные профили и неопределенность. Работа проверена на 13 разнородных регионах Баварии; это подходящая постановка для проверки в econtypes.</w:t>
      </w:r>
    </w:p>
    <w:p>
      <w:pPr>
        <w:spacing w:before="140" w:after="180"/>
        <w:jc w:val="center"/>
      </w:pPr>
      <m:oMath>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sSub>
          <m:e>
            <m:r>
              <w:rPr>
                <w:rFonts w:ascii="Cambria Math" w:hAnsi="Cambria Math"/>
              </w:rPr>
              <m:t xml:space="preserve">S</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oMath>
    </w:p>
    <w:p>
      <w:pPr>
        <w:spacing w:before="140" w:after="180"/>
        <w:jc w:val="center"/>
      </w:pPr>
      <m:oMath>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r>
          <w:rPr>
            <w:rFonts w:ascii="Cambria Math" w:hAnsi="Cambria Math"/>
          </w:rPr>
          <m:t xml:space="preserve"> </m:t>
        </m:r>
        <m:sSub>
          <m:e>
            <m:r>
              <w:rPr>
                <w:rFonts w:ascii="Cambria Math" w:hAnsi="Cambria Math"/>
              </w:rPr>
              <m:t xml:space="preserve">r</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 </m:t>
        </m:r>
        <m:sSubSup>
          <m:e>
            <m:r>
              <w:rPr>
                <w:rFonts w:ascii="Cambria Math" w:hAnsi="Cambria Math"/>
              </w:rPr>
              <m:t xml:space="preserve">S</m:t>
            </m:r>
          </m:e>
          <m:sub>
            <m:r>
              <w:rPr>
                <w:rFonts w:ascii="Cambria Math" w:hAnsi="Cambria Math"/>
              </w:rPr>
              <m:t xml:space="preserve">m</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up>
            <m:r>
              <w:rPr>
                <w:rFonts w:ascii="Cambria Math" w:hAnsi="Cambria Math"/>
              </w:rPr>
              <m:t xml:space="preserve">b</m:t>
            </m:r>
            <m:r>
              <w:rPr>
                <w:rFonts w:ascii="Cambria Math" w:hAnsi="Cambria Math"/>
              </w:rPr>
              <m:t xml:space="preserve">i</m:t>
            </m:r>
            <m:r>
              <w:rPr>
                <w:rFonts w:ascii="Cambria Math" w:hAnsi="Cambria Math"/>
              </w:rPr>
              <m:t xml:space="preserve">r</m:t>
            </m:r>
            <m:r>
              <w:rPr>
                <w:rFonts w:ascii="Cambria Math" w:hAnsi="Cambria Math"/>
              </w:rPr>
              <m:t xml:space="preserve">t</m:t>
            </m:r>
            <m:r>
              <w:rPr>
                <w:rFonts w:ascii="Cambria Math" w:hAnsi="Cambria Math"/>
              </w:rPr>
              <m:t xml:space="preserve">h</m:t>
            </m:r>
          </m:sup>
        </m:sSubSup>
        <m:r>
          <w:rPr>
            <w:rFonts w:ascii="Cambria Math" w:hAnsi="Cambria Math"/>
          </w:rPr>
          <m:t xml:space="preserve">+</m:t>
        </m:r>
        <m:sSub>
          <m:e>
            <m:r>
              <w:rPr>
                <w:rFonts w:ascii="Cambria Math" w:hAnsi="Cambria Math"/>
              </w:rPr>
              <m:t xml:space="preserve">M</m:t>
            </m:r>
          </m:e>
          <m:sub>
            <m:r>
              <w:rPr>
                <w:rFonts w:ascii="Cambria Math" w:hAnsi="Cambria Math"/>
              </w:rPr>
              <m:t xml:space="preserve">m</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oMath>
    </w:p>
    <w:p>
      <w:r/>
      <w:r>
        <w:rPr>
          <w:b/>
        </w:rPr>
        <w:t xml:space="preserve">Статус формул. </w:t>
      </w:r>
      <w:r>
        <w:t>Это упрощенная годовая схема движения когорт, а не полный алгоритм статьи. N — население МО m, возраста a и пола s; S — дожитие; M — чистая миграционная добавка в соответствующую когорту, согласованная с моментом учета; r — доля пола среди родившихся. Для новорожденных и открытой старшей группы требуются отдельные правила.</w:t>
      </w:r>
    </w:p>
    <w:p>
      <w:r/>
      <w:r>
        <w:rPr>
          <w:b/>
        </w:rPr>
        <w:t xml:space="preserve">Новая возможность проекта. </w:t>
      </w:r>
      <w:r>
        <w:t>Прогнозировать не только общее население, но и группы 0–6, 7–17, 18–29, 30–49 и 65+ лет. Выдавать медиану и интервалы из совместных прогнозных траекторий. Суммы по возрастам и МО должны оставаться согласованными внутри каждой траектории.</w:t>
      </w:r>
    </w:p>
    <w:p>
      <w:r/>
      <w:r>
        <w:rPr>
          <w:b/>
        </w:rPr>
        <w:t xml:space="preserve">Данные. </w:t>
      </w:r>
      <w:r>
        <w:t>Нужны сопоставимые возрастно-половые срезы, рождения, смерти и миграция за несколько периодов. Для малых МО параметры можно оценивать иерархически, частично используя общую информацию региона. Чем короче история, тем сильнее зависимость от допущений.</w:t>
      </w:r>
    </w:p>
    <w:p>
      <w:r/>
      <w:r>
        <w:rPr>
          <w:b/>
        </w:rPr>
        <w:t xml:space="preserve">Проверка. </w:t>
      </w:r>
      <w:r>
        <w:t>Обучить на прошлом и спрогнозировать уже известный последующий период. Сравнить с простым когортным ориентиром, проверить ошибки по возрастам и покрытие интервалов. Начать с короткого горизонта; дальние результаты показывать как сценарии, зависящие от рождаемости, смертности и миграции.</w:t>
      </w:r>
    </w:p>
    <w:p>
      <w:r>
        <w:br w:type="page"/>
      </w:r>
    </w:p>
    <w:p>
      <w:pPr>
        <w:pStyle w:val="Heading1"/>
      </w:pPr>
      <w:r>
        <w:t>3 Hamilton Perry когда подробной миграции нет</w:t>
      </w:r>
    </w:p>
    <w:p>
      <w:r>
        <w:t>Приоритет: первый прогнозный прототип при достаточных возрастных срезах. Метод старый; актуальная официальная реализация описана Statistics Canada в феврале 2026 [2].</w:t>
      </w:r>
    </w:p>
    <w:p>
      <w:r>
        <w:t>Метод отслеживает, как изменилась одна и та же возрастная когорта между двумя датами. Он обходится без отдельного прогноза каждого демографического компонента и поэтому полезен при ограниченных муниципальных данных.</w:t>
      </w:r>
    </w:p>
    <w:p>
      <w:pPr>
        <w:spacing w:before="140" w:after="180"/>
        <w:jc w:val="center"/>
      </w:pPr>
      <m:oMath>
        <m:r>
          <w:rPr>
            <w:rFonts w:ascii="Cambria Math" w:hAnsi="Cambria Math"/>
          </w:rPr>
          <m:t xml:space="preserve">C</m:t>
        </m:r>
        <m:r>
          <w:rPr>
            <w:rFonts w:ascii="Cambria Math" w:hAnsi="Cambria Math"/>
          </w:rPr>
          <m:t xml:space="preserve">C</m:t>
        </m:r>
        <m:sSub>
          <m:e>
            <m:r>
              <w:rPr>
                <w:rFonts w:ascii="Cambria Math" w:hAnsi="Cambria Math"/>
              </w:rPr>
              <m:t xml:space="preserve">R</m:t>
            </m:r>
          </m:e>
          <m:sub>
            <m:r>
              <w:rPr>
                <w:rFonts w:ascii="Cambria Math" w:hAnsi="Cambria Math"/>
              </w:rPr>
              <m:t xml:space="preserve">m</m:t>
            </m:r>
            <m:r>
              <w:rPr>
                <w:rFonts w:ascii="Cambria Math" w:hAnsi="Cambria Math"/>
              </w:rPr>
              <m:t xml:space="preserve">,</m:t>
            </m:r>
            <m:r>
              <w:rPr>
                <w:rFonts w:ascii="Cambria Math" w:hAnsi="Cambria Math"/>
              </w:rPr>
              <m:t xml:space="preserve">a</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5</m:t>
                </m:r>
              </m:sub>
            </m:sSub>
          </m:den>
        </m:f>
        <m:r>
          <w:rPr>
            <w:rFonts w:ascii="Cambria Math" w:hAnsi="Cambria Math"/>
          </w:rPr>
          <m:t xml:space="preserve">,</m:t>
        </m:r>
        <m:r>
          <w:rPr>
            <w:rFonts w:ascii="Cambria Math" w:hAnsi="Cambria Math"/>
          </w:rPr>
          <m:t xml:space="preserve">    </m:t>
        </m:r>
        <m:r>
          <w:rPr>
            <w:rFonts w:ascii="Cambria Math" w:hAnsi="Cambria Math"/>
          </w:rPr>
          <m:t xml:space="preserve"> </m:t>
        </m:r>
        <m:sSub>
          <m:e>
            <m:acc>
              <m:accPr>
                <m:chr m:val="̂"/>
              </m:accPr>
              <m:e>
                <m:r>
                  <w:rPr>
                    <w:rFonts w:ascii="Cambria Math" w:hAnsi="Cambria Math"/>
                  </w:rPr>
                  <m:t xml:space="preserve">N</m:t>
                </m:r>
              </m:e>
            </m:acc>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5</m:t>
            </m:r>
          </m:sub>
        </m:sSub>
        <m:r>
          <w:rPr>
            <w:rFonts w:ascii="Cambria Math" w:hAnsi="Cambria Math"/>
          </w:rPr>
          <m:t xml:space="preserve">=</m:t>
        </m:r>
        <m:r>
          <w:rPr>
            <w:rFonts w:ascii="Cambria Math" w:hAnsi="Cambria Math"/>
          </w:rPr>
          <m:t xml:space="preserve">C</m:t>
        </m:r>
        <m:r>
          <w:rPr>
            <w:rFonts w:ascii="Cambria Math" w:hAnsi="Cambria Math"/>
          </w:rPr>
          <m:t xml:space="preserve">C</m:t>
        </m:r>
        <m:sSub>
          <m:e>
            <m:r>
              <w:rPr>
                <w:rFonts w:ascii="Cambria Math" w:hAnsi="Cambria Math"/>
              </w:rPr>
              <m:t xml:space="preserve">R</m:t>
            </m:r>
          </m:e>
          <m:sub>
            <m:r>
              <w:rPr>
                <w:rFonts w:ascii="Cambria Math" w:hAnsi="Cambria Math"/>
              </w:rPr>
              <m:t xml:space="preserve">m</m:t>
            </m:r>
            <m:r>
              <w:rPr>
                <w:rFonts w:ascii="Cambria Math" w:hAnsi="Cambria Math"/>
              </w:rPr>
              <m:t xml:space="preserve">,</m:t>
            </m:r>
            <m:r>
              <w:rPr>
                <w:rFonts w:ascii="Cambria Math" w:hAnsi="Cambria Math"/>
              </w:rPr>
              <m:t xml:space="preserve">a</m:t>
            </m:r>
          </m:sub>
        </m:sSub>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t</m:t>
            </m:r>
          </m:sub>
        </m:sSub>
      </m:oMath>
    </w:p>
    <w:p>
      <w:r/>
      <w:r>
        <w:rPr>
          <w:b/>
        </w:rPr>
        <w:t xml:space="preserve">Обозначения. </w:t>
      </w:r>
      <w:r>
        <w:t>Nₘ,ₐ,ₜ — численность пятилетней возрастной группы, начинающейся с a; CCR — коэффициент изменения когорты. Интервал между срезами должен соответствовать ширине возрастной группы. Нулевой знаменатель делает коэффициент неопределенным.</w:t>
      </w:r>
    </w:p>
    <w:p>
      <w:r/>
      <w:r>
        <w:rPr>
          <w:b/>
        </w:rPr>
        <w:t xml:space="preserve">Условный пример. </w:t>
      </w:r>
      <w:r>
        <w:t>Пять лет назад в группе 20–24 лет было 1000 человек, сейчас в группе 25–29 лет — 850. CCR = 0,85. Если сейчас в группе 20–24 лет 900 человек, простая проекция дает 765 человек в группе 25–29 лет через пять лет.</w:t>
      </w:r>
    </w:p>
    <w:p>
      <w:r/>
      <w:r>
        <w:rPr>
          <w:b/>
        </w:rPr>
        <w:t xml:space="preserve">Что нельзя заключать. </w:t>
      </w:r>
      <w:r>
        <w:t>Коэффициент 0,85 не означает, что 15% именно уехали: в нем совместно отражаются смерти, миграция и возможные изменения учета. Метод дает проекцию возрастной структуры, но не отдельный прогноз миграции или числа рождений.</w:t>
      </w:r>
    </w:p>
    <w:p>
      <w:r/>
      <w:r>
        <w:rPr>
          <w:b/>
        </w:rPr>
        <w:t xml:space="preserve">Как адаптировать. </w:t>
      </w:r>
      <w:r>
        <w:t>Для младшей группы использовать обоснованную модель рождений либо отношений детей и женщин; для открытой старшей группы — отдельное правило. Сглаживать шумные коэффициенты и согласовывать результат с выбранным региональным сценарием. Канадская версия сочетает отношения и разности когорт для ограничения нереалистичных траекторий [2].</w:t>
      </w:r>
    </w:p>
    <w:p>
      <w:r/>
      <w:r>
        <w:rPr>
          <w:b/>
        </w:rPr>
        <w:t xml:space="preserve">Ограничение проекта. </w:t>
      </w:r>
      <w:r>
        <w:t>Одного возрастного среза недостаточно. Срезы с разницей два года нельзя механически обрабатывать как пятилетние. Если требуемой истории нет, сначала восстановить сопоставимые данные, а не подменять их искусственно размноженными строками.</w:t>
      </w:r>
    </w:p>
    <w:p>
      <w:r>
        <w:br w:type="page"/>
      </w:r>
    </w:p>
    <w:p>
      <w:pPr>
        <w:pStyle w:val="Heading1"/>
      </w:pPr>
      <w:r>
        <w:t>4 Миграция как сеть связанных территорий</w:t>
      </w:r>
    </w:p>
    <w:p>
      <w:r>
        <w:t>Приоритет: расширение после проверки направлений потоков. Свежий источник: Wiśniowski и Raymer, апрель 2025 [3].</w:t>
      </w:r>
    </w:p>
    <w:p>
      <w:r>
        <w:t>Исследование развивает совместную вероятностную модель демографических компонентов и миграции между регионами. Для проекта важна согласованность: переезд из одного МО в другое одновременно меняет население обеих территорий.</w:t>
      </w:r>
    </w:p>
    <w:p>
      <w:pPr>
        <w:spacing w:before="140" w:after="180"/>
        <w:jc w:val="center"/>
      </w:pPr>
      <m:oMath>
        <m:sSub>
          <m:e>
            <m:r>
              <w:rPr>
                <w:rFonts w:ascii="Cambria Math" w:hAnsi="Cambria Math"/>
              </w:rPr>
              <m:t xml:space="preserve">N</m:t>
            </m:r>
          </m:e>
          <m:sub>
            <m:r>
              <w:rPr>
                <w:rFonts w:ascii="Cambria Math" w:hAnsi="Cambria Math"/>
              </w:rPr>
              <m:t xml:space="preserve">j</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sSub>
          <m:e>
            <m:r>
              <w:rPr>
                <w:rFonts w:ascii="Cambria Math" w:hAnsi="Cambria Math"/>
              </w:rPr>
              <m:t xml:space="preserve">p</m:t>
            </m:r>
          </m:e>
          <m:sub>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oMath>
    </w:p>
    <w:p>
      <w:pPr>
        <w:spacing w:before="140" w:after="180"/>
        <w:jc w:val="center"/>
      </w:pPr>
      <m:oMath>
        <m:sSub>
          <m:e>
            <m:r>
              <w:rPr>
                <w:rFonts w:ascii="Cambria Math" w:hAnsi="Cambria Math"/>
              </w:rPr>
              <m:t xml:space="preserve">∑</m:t>
            </m:r>
          </m:e>
          <m:sub>
            <m:r>
              <w:rPr>
                <w:rFonts w:ascii="Cambria Math" w:hAnsi="Cambria Math"/>
              </w:rPr>
              <m:t xml:space="preserve">j</m:t>
            </m:r>
          </m:sub>
        </m:sSub>
        <m:r>
          <w:rPr>
            <w:rFonts w:ascii="Cambria Math" w:hAnsi="Cambria Math"/>
          </w:rPr>
          <m:t xml:space="preserve"> </m:t>
        </m:r>
        <m:sSub>
          <m:e>
            <m:r>
              <w:rPr>
                <w:rFonts w:ascii="Cambria Math" w:hAnsi="Cambria Math"/>
              </w:rPr>
              <m:t xml:space="preserve">p</m:t>
            </m:r>
          </m:e>
          <m:sub>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1</m:t>
        </m:r>
      </m:oMath>
    </w:p>
    <w:p>
      <w:r/>
      <w:r>
        <w:rPr>
          <w:b/>
        </w:rPr>
        <w:t xml:space="preserve">Смысл схемы. </w:t>
      </w:r>
      <w:r>
        <w:t>pᵢⱼ — вероятность оказаться в территории j среди доживших из территории i; i = j означает остаться. В число направлений нужно включить выход за пределы системы. E — внешние прибывшие, согласованные с моментом учета. Для родившихся нужна отдельная строка модели. Это пояснительная схема, не дословная формула статьи.</w:t>
      </w:r>
    </w:p>
    <w:p>
      <w:r/>
      <w:r>
        <w:rPr>
          <w:b/>
        </w:rPr>
        <w:t xml:space="preserve">Применение в econtypes. </w:t>
      </w:r>
      <w:r>
        <w:t>Разделить перемещения между МО РБ, обмен с другими регионами и внешнюю миграцию. Если есть возраст, отдельно показывать потоки молодежи и семейных возрастов. Связать их с занятостью и доступностью услуг как исследовательские гипотезы.</w:t>
      </w:r>
    </w:p>
    <w:p>
      <w:r/>
      <w:r>
        <w:rPr>
          <w:b/>
        </w:rPr>
        <w:t xml:space="preserve">Если известен только баланс. </w:t>
      </w:r>
      <w:r>
        <w:t>По одной величине «прибыло минус выбыло» нельзя восстановить все направления. Даже нулевой баланс может скрывать значительный оборот населения. На карте показывать только подтвержденные связи; моделируемые потоки обозначать отдельно.</w:t>
      </w:r>
    </w:p>
    <w:p>
      <w:r/>
      <w:r>
        <w:rPr>
          <w:b/>
        </w:rPr>
        <w:t xml:space="preserve">Альтернативный сигнал. </w:t>
      </w:r>
      <w:r>
        <w:t>Сравнение фактической возрастной когорты с ожидаемой при дожитии может выявить необъясненное сокращение. Но этот остаток включает миграцию, пересмотры и ошибки; он не является прямым числом уехавших молодых специалистов.</w:t>
      </w:r>
    </w:p>
    <w:p>
      <w:r/>
      <w:r>
        <w:rPr>
          <w:b/>
        </w:rPr>
        <w:t xml:space="preserve">Проверка. </w:t>
      </w:r>
      <w:r>
        <w:t>Внутренние прибытия и выбытия должны взаимно компенсироваться при одинаковом охвате. Проверять прогноз на отложенных периодах и отдельно учитывать изменение регистрации, границ и крупных разовых потоков.</w:t>
      </w:r>
    </w:p>
    <w:p>
      <w:r>
        <w:br w:type="page"/>
      </w:r>
    </w:p>
    <w:p>
      <w:pPr>
        <w:pStyle w:val="Heading1"/>
      </w:pPr>
      <w:r>
        <w:t>5 Старение и демографическая нагрузка</w:t>
      </w:r>
    </w:p>
    <w:p>
      <w:r>
        <w:t>Приоритет: базовые показатели сразу; перспективное старение — при наличии таблиц смертности. Научная основа альтернативного измерения возраста — Sanderson и Scherbov [7].</w:t>
      </w:r>
    </w:p>
    <w:p>
      <w:pPr>
        <w:spacing w:before="140" w:after="180"/>
        <w:jc w:val="center"/>
      </w:pPr>
      <m:oMath>
        <m:r>
          <w:rPr>
            <w:rFonts w:ascii="Cambria Math" w:hAnsi="Cambria Math"/>
          </w:rPr>
          <m:t xml:space="preserve">O</m:t>
        </m:r>
        <m:r>
          <w:rPr>
            <w:rFonts w:ascii="Cambria Math" w:hAnsi="Cambria Math"/>
          </w:rPr>
          <m:t xml:space="preserve">A</m:t>
        </m:r>
        <m:r>
          <w:rPr>
            <w:rFonts w:ascii="Cambria Math" w:hAnsi="Cambria Math"/>
          </w:rPr>
          <m:t xml:space="preserve">D</m:t>
        </m:r>
        <m:r>
          <w:rPr>
            <w:rFonts w:ascii="Cambria Math" w:hAnsi="Cambria Math"/>
          </w:rPr>
          <m:t xml:space="preserve">R</m:t>
        </m:r>
        <m:r>
          <w:rPr>
            <w:rFonts w:ascii="Cambria Math" w:hAnsi="Cambria Math"/>
          </w:rPr>
          <m:t xml:space="preserve">=</m:t>
        </m:r>
        <m:r>
          <w:rPr>
            <w:rFonts w:ascii="Cambria Math" w:hAnsi="Cambria Math"/>
          </w:rPr>
          <m:t xml:space="preserve">1</m:t>
        </m:r>
        <m:r>
          <w:rPr>
            <w:rFonts w:ascii="Cambria Math" w:hAnsi="Cambria Math"/>
          </w:rPr>
          <m:t xml:space="preserve">0</m:t>
        </m:r>
        <m:r>
          <w:rPr>
            <w:rFonts w:ascii="Cambria Math" w:hAnsi="Cambria Math"/>
          </w:rPr>
          <m:t xml:space="preserve">0</m:t>
        </m:r>
        <m:f>
          <m:num>
            <m:sSub>
              <m:e>
                <m:r>
                  <w:rPr>
                    <w:rFonts w:ascii="Cambria Math" w:hAnsi="Cambria Math"/>
                  </w:rPr>
                  <m:t xml:space="preserve">N</m:t>
                </m:r>
              </m:e>
              <m:sub>
                <m:r>
                  <w:rPr>
                    <w:rFonts w:ascii="Cambria Math" w:hAnsi="Cambria Math"/>
                  </w:rPr>
                  <m:t xml:space="preserve">6</m:t>
                </m:r>
                <m:r>
                  <w:rPr>
                    <w:rFonts w:ascii="Cambria Math" w:hAnsi="Cambria Math"/>
                  </w:rPr>
                  <m:t xml:space="preserve">5</m:t>
                </m:r>
                <m:r>
                  <w:rPr>
                    <w:rFonts w:ascii="Cambria Math" w:hAnsi="Cambria Math"/>
                  </w:rPr>
                  <m:t xml:space="preserve">+</m:t>
                </m:r>
              </m:sub>
            </m:sSub>
          </m:num>
          <m:den>
            <m:sSub>
              <m:e>
                <m:r>
                  <w:rPr>
                    <w:rFonts w:ascii="Cambria Math" w:hAnsi="Cambria Math"/>
                  </w:rPr>
                  <m:t xml:space="preserve">N</m:t>
                </m:r>
              </m:e>
              <m:sub>
                <m:r>
                  <w:rPr>
                    <w:rFonts w:ascii="Cambria Math" w:hAnsi="Cambria Math"/>
                  </w:rPr>
                  <m:t xml:space="preserve">2</m:t>
                </m:r>
                <m:r>
                  <w:rPr>
                    <w:rFonts w:ascii="Cambria Math" w:hAnsi="Cambria Math"/>
                  </w:rPr>
                  <m:t xml:space="preserve">0</m:t>
                </m:r>
                <m:r>
                  <w:rPr>
                    <w:rFonts w:ascii="Cambria Math" w:hAnsi="Cambria Math"/>
                  </w:rPr>
                  <m:t xml:space="preserve">:</m:t>
                </m:r>
                <m:r>
                  <w:rPr>
                    <w:rFonts w:ascii="Cambria Math" w:hAnsi="Cambria Math"/>
                  </w:rPr>
                  <m:t xml:space="preserve">6</m:t>
                </m:r>
                <m:r>
                  <w:rPr>
                    <w:rFonts w:ascii="Cambria Math" w:hAnsi="Cambria Math"/>
                  </w:rPr>
                  <m:t xml:space="preserve">4</m:t>
                </m:r>
              </m:sub>
            </m:sSub>
          </m:den>
        </m:f>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C</m:t>
        </m:r>
        <m:r>
          <w:rPr>
            <w:rFonts w:ascii="Cambria Math" w:hAnsi="Cambria Math"/>
          </w:rPr>
          <m:t xml:space="preserve">D</m:t>
        </m:r>
        <m:r>
          <w:rPr>
            <w:rFonts w:ascii="Cambria Math" w:hAnsi="Cambria Math"/>
          </w:rPr>
          <m:t xml:space="preserve">R</m:t>
        </m:r>
        <m:r>
          <w:rPr>
            <w:rFonts w:ascii="Cambria Math" w:hAnsi="Cambria Math"/>
          </w:rPr>
          <m:t xml:space="preserve">=</m:t>
        </m:r>
        <m:r>
          <w:rPr>
            <w:rFonts w:ascii="Cambria Math" w:hAnsi="Cambria Math"/>
          </w:rPr>
          <m:t xml:space="preserve">1</m:t>
        </m:r>
        <m:r>
          <w:rPr>
            <w:rFonts w:ascii="Cambria Math" w:hAnsi="Cambria Math"/>
          </w:rPr>
          <m:t xml:space="preserve">0</m:t>
        </m:r>
        <m:r>
          <w:rPr>
            <w:rFonts w:ascii="Cambria Math" w:hAnsi="Cambria Math"/>
          </w:rPr>
          <m:t xml:space="preserve">0</m:t>
        </m:r>
        <m:f>
          <m:num>
            <m:sSub>
              <m:e>
                <m:r>
                  <w:rPr>
                    <w:rFonts w:ascii="Cambria Math" w:hAnsi="Cambria Math"/>
                  </w:rPr>
                  <m:t xml:space="preserve">N</m:t>
                </m:r>
              </m:e>
              <m:sub>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9</m:t>
                </m:r>
              </m:sub>
            </m:sSub>
          </m:num>
          <m:den>
            <m:sSub>
              <m:e>
                <m:r>
                  <w:rPr>
                    <w:rFonts w:ascii="Cambria Math" w:hAnsi="Cambria Math"/>
                  </w:rPr>
                  <m:t xml:space="preserve">N</m:t>
                </m:r>
              </m:e>
              <m:sub>
                <m:r>
                  <w:rPr>
                    <w:rFonts w:ascii="Cambria Math" w:hAnsi="Cambria Math"/>
                  </w:rPr>
                  <m:t xml:space="preserve">2</m:t>
                </m:r>
                <m:r>
                  <w:rPr>
                    <w:rFonts w:ascii="Cambria Math" w:hAnsi="Cambria Math"/>
                  </w:rPr>
                  <m:t xml:space="preserve">0</m:t>
                </m:r>
                <m:r>
                  <w:rPr>
                    <w:rFonts w:ascii="Cambria Math" w:hAnsi="Cambria Math"/>
                  </w:rPr>
                  <m:t xml:space="preserve">:</m:t>
                </m:r>
                <m:r>
                  <w:rPr>
                    <w:rFonts w:ascii="Cambria Math" w:hAnsi="Cambria Math"/>
                  </w:rPr>
                  <m:t xml:space="preserve">6</m:t>
                </m:r>
                <m:r>
                  <w:rPr>
                    <w:rFonts w:ascii="Cambria Math" w:hAnsi="Cambria Math"/>
                  </w:rPr>
                  <m:t xml:space="preserve">4</m:t>
                </m:r>
              </m:sub>
            </m:sSub>
          </m:den>
        </m:f>
      </m:oMath>
    </w:p>
    <w:p>
      <w:r/>
      <w:r>
        <w:rPr>
          <w:b/>
        </w:rPr>
        <w:t xml:space="preserve">Что измеряем. </w:t>
      </w:r>
      <w:r>
        <w:t>Это явно выбранные международно сопоставимые возрастные отношения: число жителей 65+ и 0–19 лет на 100 жителей 20–64 лет. Они не совпадают автоматически с российскими границами трудоспособного возраста и не измеряют число реально работающих.</w:t>
      </w:r>
    </w:p>
    <w:p>
      <w:r/>
      <w:r>
        <w:rPr>
          <w:b/>
        </w:rPr>
        <w:t xml:space="preserve">Почему этого мало. </w:t>
      </w:r>
      <w:r>
        <w:t>Два МО с одинаковой общей нагрузкой могут иметь разную структуру: в одном больше детей, в другом пожилых. Потребности в школах, транспорте и социальных услугах будут разными. Поэтому детскую и старшую нагрузку лучше показывать раздельно.</w:t>
      </w:r>
    </w:p>
    <w:p>
      <w:pPr>
        <w:pStyle w:val="Heading2"/>
      </w:pPr>
      <w:r>
        <w:t>Перспективный возраст</w:t>
      </w:r>
    </w:p>
    <w:p>
      <w:pPr>
        <w:spacing w:before="140" w:after="180"/>
        <w:jc w:val="center"/>
      </w:pPr>
      <m:oMath>
        <m:sSubSup>
          <m:e>
            <m:r>
              <w:rPr>
                <w:rFonts w:ascii="Cambria Math" w:hAnsi="Cambria Math"/>
              </w:rPr>
              <m:t xml:space="preserve">a</m:t>
            </m:r>
          </m:e>
          <m:sub>
            <m:r>
              <w:rPr>
                <w:rFonts w:ascii="Cambria Math" w:hAnsi="Cambria Math"/>
              </w:rPr>
              <m:t xml:space="preserve">t</m:t>
            </m:r>
          </m:sub>
          <m:sup>
            <m:r>
              <w:rPr>
                <w:rFonts w:ascii="Cambria Math" w:hAnsi="Cambria Math"/>
              </w:rPr>
              <m:t xml:space="preserve">*</m:t>
            </m:r>
          </m:sup>
        </m:sSubSup>
        <m:r>
          <w:rPr>
            <w:rFonts w:ascii="Cambria Math" w:hAnsi="Cambria Math"/>
          </w:rPr>
          <m:t xml:space="preserve">:</m:t>
        </m:r>
        <m:r>
          <w:rPr>
            <w:rFonts w:ascii="Cambria Math" w:hAnsi="Cambria Math"/>
          </w:rPr>
          <m:t xml:space="preserve">e</m:t>
        </m:r>
        <m:r>
          <w:rPr>
            <w:rFonts w:ascii="Cambria Math" w:hAnsi="Cambria Math"/>
          </w:rPr>
          <m:t xml:space="preserve">(</m:t>
        </m:r>
        <m:sSubSup>
          <m:e>
            <m:r>
              <w:rPr>
                <w:rFonts w:ascii="Cambria Math" w:hAnsi="Cambria Math"/>
              </w:rPr>
              <m:t xml:space="preserve">a</m:t>
            </m:r>
          </m:e>
          <m:sub>
            <m:r>
              <w:rPr>
                <w:rFonts w:ascii="Cambria Math" w:hAnsi="Cambria Math"/>
              </w:rPr>
              <m:t xml:space="preserve">t</m:t>
            </m:r>
          </m:sub>
          <m:sup>
            <m:r>
              <w:rPr>
                <w:rFonts w:ascii="Cambria Math" w:hAnsi="Cambria Math"/>
              </w:rPr>
              <m:t xml:space="preserve">*</m:t>
            </m:r>
          </m:sup>
        </m:sSubSup>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5</m:t>
        </m:r>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P</m:t>
        </m:r>
        <m:r>
          <w:rPr>
            <w:rFonts w:ascii="Cambria Math" w:hAnsi="Cambria Math"/>
          </w:rPr>
          <m:t xml:space="preserve">O</m:t>
        </m:r>
        <m:r>
          <w:rPr>
            <w:rFonts w:ascii="Cambria Math" w:hAnsi="Cambria Math"/>
          </w:rPr>
          <m:t xml:space="preserve">A</m:t>
        </m:r>
        <m:r>
          <w:rPr>
            <w:rFonts w:ascii="Cambria Math" w:hAnsi="Cambria Math"/>
          </w:rPr>
          <m:t xml:space="preserve">D</m:t>
        </m:r>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r>
          <w:rPr>
            <w:rFonts w:ascii="Cambria Math" w:hAnsi="Cambria Math"/>
          </w:rPr>
          <m:t xml:space="preserve">0</m:t>
        </m:r>
        <m:r>
          <w:rPr>
            <w:rFonts w:ascii="Cambria Math" w:hAnsi="Cambria Math"/>
          </w:rPr>
          <m:t xml:space="preserve">0</m:t>
        </m:r>
        <m:f>
          <m:num>
            <m:sSub>
              <m:e>
                <m:r>
                  <w:rPr>
                    <w:rFonts w:ascii="Cambria Math" w:hAnsi="Cambria Math"/>
                  </w:rPr>
                  <m:t xml:space="preserve">N</m:t>
                </m:r>
              </m:e>
              <m:sub>
                <m:r>
                  <w:rPr>
                    <w:rFonts w:ascii="Cambria Math" w:hAnsi="Cambria Math"/>
                  </w:rPr>
                  <m:t xml:space="preserve">a</m:t>
                </m:r>
                <m:r>
                  <w:rPr>
                    <w:rFonts w:ascii="Cambria Math" w:hAnsi="Cambria Math"/>
                  </w:rPr>
                  <m:t xml:space="preserve">≥</m:t>
                </m:r>
                <m:r>
                  <w:rPr>
                    <w:rFonts w:ascii="Cambria Math" w:hAnsi="Cambria Math"/>
                  </w:rPr>
                  <m:t xml:space="preserve"> </m:t>
                </m:r>
                <m:sSubSup>
                  <m:e>
                    <m:r>
                      <w:rPr>
                        <w:rFonts w:ascii="Cambria Math" w:hAnsi="Cambria Math"/>
                      </w:rPr>
                      <m:t xml:space="preserve">a</m:t>
                    </m:r>
                  </m:e>
                  <m:sub>
                    <m:r>
                      <w:rPr>
                        <w:rFonts w:ascii="Cambria Math" w:hAnsi="Cambria Math"/>
                      </w:rPr>
                      <m:t xml:space="preserve">t</m:t>
                    </m:r>
                  </m:sub>
                  <m:sup>
                    <m:r>
                      <w:rPr>
                        <w:rFonts w:ascii="Cambria Math" w:hAnsi="Cambria Math"/>
                      </w:rPr>
                      <m:t xml:space="preserve">*</m:t>
                    </m:r>
                  </m:sup>
                </m:sSubSup>
                <m:r>
                  <w:rPr>
                    <w:rFonts w:ascii="Cambria Math" w:hAnsi="Cambria Math"/>
                  </w:rPr>
                  <m:t xml:space="preserve">,</m:t>
                </m:r>
                <m:r>
                  <w:rPr>
                    <w:rFonts w:ascii="Cambria Math" w:hAnsi="Cambria Math"/>
                  </w:rPr>
                  <m:t xml:space="preserve">t</m:t>
                </m:r>
              </m:sub>
            </m:sSub>
          </m:num>
          <m:den>
            <m:sSub>
              <m:e>
                <m:r>
                  <w:rPr>
                    <w:rFonts w:ascii="Cambria Math" w:hAnsi="Cambria Math"/>
                  </w:rPr>
                  <m:t xml:space="preserve">N</m:t>
                </m:r>
              </m:e>
              <m:sub>
                <m:r>
                  <w:rPr>
                    <w:rFonts w:ascii="Cambria Math" w:hAnsi="Cambria Math"/>
                  </w:rPr>
                  <m:t xml:space="preserve">2</m:t>
                </m:r>
                <m:r>
                  <w:rPr>
                    <w:rFonts w:ascii="Cambria Math" w:hAnsi="Cambria Math"/>
                  </w:rPr>
                  <m:t xml:space="preserve">0</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&lt;</m:t>
                </m:r>
                <m:sSubSup>
                  <m:e>
                    <m:r>
                      <w:rPr>
                        <w:rFonts w:ascii="Cambria Math" w:hAnsi="Cambria Math"/>
                      </w:rPr>
                      <m:t xml:space="preserve">a</m:t>
                    </m:r>
                  </m:e>
                  <m:sub>
                    <m:r>
                      <w:rPr>
                        <w:rFonts w:ascii="Cambria Math" w:hAnsi="Cambria Math"/>
                      </w:rPr>
                      <m:t xml:space="preserve">t</m:t>
                    </m:r>
                  </m:sub>
                  <m:sup>
                    <m:r>
                      <w:rPr>
                        <w:rFonts w:ascii="Cambria Math" w:hAnsi="Cambria Math"/>
                      </w:rPr>
                      <m:t xml:space="preserve">*</m:t>
                    </m:r>
                  </m:sup>
                </m:sSubSup>
                <m:r>
                  <w:rPr>
                    <w:rFonts w:ascii="Cambria Math" w:hAnsi="Cambria Math"/>
                  </w:rPr>
                  <m:t xml:space="preserve">,</m:t>
                </m:r>
                <m:r>
                  <w:rPr>
                    <w:rFonts w:ascii="Cambria Math" w:hAnsi="Cambria Math"/>
                  </w:rPr>
                  <m:t xml:space="preserve">t</m:t>
                </m:r>
              </m:sub>
            </m:sSub>
          </m:den>
        </m:f>
      </m:oMath>
    </w:p>
    <w:p>
      <w:r/>
      <w:r>
        <w:rPr>
          <w:b/>
        </w:rPr>
        <w:t xml:space="preserve">Обозначения. </w:t>
      </w:r>
      <w:r>
        <w:t>e(a,t) — ожидаемая оставшаяся продолжительность жизни; a* — возраст, которому соответствует 15 оставшихся лет; POADR — отношение населения старше этого порога к населению от 20 лет до порога. Порог задается статистической таблицей, а не индивидуальным прогнозом жизни.</w:t>
      </w:r>
    </w:p>
    <w:p>
      <w:r/>
      <w:r>
        <w:rPr>
          <w:b/>
        </w:rPr>
        <w:t xml:space="preserve">Применение в econtypes. </w:t>
      </w:r>
      <w:r>
        <w:t>Рядом с обычной возрастной пирамидой дать сценарий изменения возрастной структуры и отдельные показатели занятости, если они есть. Перспективную нагрузку применять только при достаточной надежности таблиц смертности.</w:t>
      </w:r>
    </w:p>
    <w:p>
      <w:r/>
      <w:r>
        <w:rPr>
          <w:b/>
        </w:rPr>
        <w:t xml:space="preserve">Ограничение. </w:t>
      </w:r>
      <w:r>
        <w:t>Если таблица смертности есть лишь по РБ, результат с общим порогом отражает в основном различия возрастной структуры МО. Он не доказывает, что жители одного района здоровее или живут дольше. Для малых территорий собственные оценки могут быть слишком нестабильны.</w:t>
      </w:r>
    </w:p>
    <w:p>
      <w:r>
        <w:br w:type="page"/>
      </w:r>
    </w:p>
    <w:p>
      <w:pPr>
        <w:pStyle w:val="Heading1"/>
      </w:pPr>
      <w:r>
        <w:t>6 Прогноз детей и нагрузки на школьную сеть</w:t>
      </w:r>
    </w:p>
    <w:p>
      <w:r>
        <w:t>Приоритет: один из наиболее полезных прикладных модулей. Свежая работа по школьной сети и убыли населения — Béres и Péterffy, июль 2026 [5]. Формула спроса ниже — предлагаемая адаптация для econtypes.</w:t>
      </w:r>
    </w:p>
    <w:p>
      <w:pPr>
        <w:spacing w:before="140" w:after="180"/>
        <w:jc w:val="center"/>
      </w:pPr>
      <m:oMath>
        <m:sSub>
          <m:e>
            <m:acc>
              <m:accPr>
                <m:chr m:val="̂"/>
              </m:accPr>
              <m:e>
                <m:r>
                  <w:rPr>
                    <w:rFonts w:ascii="Cambria Math" w:hAnsi="Cambria Math"/>
                  </w:rPr>
                  <m:t xml:space="preserve">E</m:t>
                </m:r>
              </m:e>
            </m:acc>
          </m:e>
          <m:sub>
            <m:r>
              <w:rPr>
                <w:rFonts w:ascii="Cambria Math" w:hAnsi="Cambria Math"/>
              </w:rPr>
              <m:t xml:space="preserve">j</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m</m:t>
            </m:r>
            <m:r>
              <w:rPr>
                <w:rFonts w:ascii="Cambria Math" w:hAnsi="Cambria Math"/>
              </w:rPr>
              <m:t xml:space="preserve">,</m:t>
            </m:r>
            <m:r>
              <w:rPr>
                <w:rFonts w:ascii="Cambria Math" w:hAnsi="Cambria Math"/>
              </w:rPr>
              <m:t xml:space="preserve">a</m:t>
            </m:r>
          </m:sub>
        </m:sSub>
        <m:sSub>
          <m:e>
            <m:r>
              <w:rPr>
                <w:rFonts w:ascii="Cambria Math" w:hAnsi="Cambria Math"/>
              </w:rPr>
              <m:t xml:space="preserve">q</m:t>
            </m:r>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t</m:t>
            </m:r>
          </m:sub>
        </m:sSub>
        <m:sSub>
          <m:e>
            <m:acc>
              <m:accPr>
                <m:chr m:val="̂"/>
              </m:accPr>
              <m:e>
                <m:r>
                  <w:rPr>
                    <w:rFonts w:ascii="Cambria Math" w:hAnsi="Cambria Math"/>
                  </w:rPr>
                  <m:t xml:space="preserve">N</m:t>
                </m:r>
              </m:e>
            </m:acc>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L</m:t>
            </m:r>
          </m:e>
          <m:sub>
            <m:r>
              <w:rPr>
                <w:rFonts w:ascii="Cambria Math" w:hAnsi="Cambria Math"/>
              </w:rPr>
              <m:t xml:space="preserve">j</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
              <m:e>
                <m:acc>
                  <m:accPr>
                    <m:chr m:val="̂"/>
                  </m:accPr>
                  <m:e>
                    <m:r>
                      <w:rPr>
                        <w:rFonts w:ascii="Cambria Math" w:hAnsi="Cambria Math"/>
                      </w:rPr>
                      <m:t xml:space="preserve">E</m:t>
                    </m:r>
                  </m:e>
                </m:acc>
              </m:e>
              <m:sub>
                <m:r>
                  <w:rPr>
                    <w:rFonts w:ascii="Cambria Math" w:hAnsi="Cambria Math"/>
                  </w:rPr>
                  <m:t xml:space="preserve">j</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j</m:t>
                </m:r>
                <m:r>
                  <w:rPr>
                    <w:rFonts w:ascii="Cambria Math" w:hAnsi="Cambria Math"/>
                  </w:rPr>
                  <m:t xml:space="preserve">,</m:t>
                </m:r>
                <m:r>
                  <w:rPr>
                    <w:rFonts w:ascii="Cambria Math" w:hAnsi="Cambria Math"/>
                  </w:rPr>
                  <m:t xml:space="preserve">t</m:t>
                </m:r>
              </m:sub>
            </m:sSub>
          </m:den>
        </m:f>
      </m:oMath>
    </w:p>
    <w:p>
      <w:r/>
      <w:r>
        <w:rPr>
          <w:b/>
        </w:rPr>
        <w:t xml:space="preserve">Обозначения. </w:t>
      </w:r>
      <w:r>
        <w:t>Ê — ожидаемое число учащихся учреждения j; N̂ — прогноз детей соответствующего возраста и места проживания; q — доля этой группы, обучающаяся в учреждении; K — сопоставимая доступная мощность; L — расчетная загрузка. q оценивают по контингенту и потокам учащихся; возраст сам по себе не определяет место обучения.</w:t>
      </w:r>
    </w:p>
    <w:p>
      <w:r/>
      <w:r>
        <w:rPr>
          <w:b/>
        </w:rPr>
        <w:t xml:space="preserve">Применение. </w:t>
      </w:r>
      <w:r>
        <w:t>Прогнозировать набор в первый класс, потребность в учебниках, питании и подвозе. Для детских садов учитывать охват дошкольным образованием; для колледжей — переход после школы и приток из других МО. Закупочный спрос рассчитывать по подтвержденным нормам и наличию имущества, а не только числу жителей.</w:t>
      </w:r>
    </w:p>
    <w:p>
      <w:pPr>
        <w:pStyle w:val="Heading2"/>
      </w:pPr>
      <w:r>
        <w:t>Почему затраты на ученика могут расти при убыли</w:t>
      </w:r>
    </w:p>
    <w:p>
      <w:pPr>
        <w:spacing w:before="140" w:after="180"/>
        <w:jc w:val="center"/>
      </w:pPr>
      <m:oMath>
        <m:f>
          <m:num>
            <m:r>
              <w:rPr>
                <w:rFonts w:ascii="Cambria Math" w:hAnsi="Cambria Math"/>
              </w:rPr>
              <m:t xml:space="preserve">H</m:t>
            </m:r>
          </m:num>
          <m:den>
            <m:r>
              <w:rPr>
                <w:rFonts w:ascii="Cambria Math" w:hAnsi="Cambria Math"/>
              </w:rPr>
              <m:t xml:space="preserve">E</m:t>
            </m:r>
          </m:den>
        </m:f>
        <m:r>
          <w:rPr>
            <w:rFonts w:ascii="Cambria Math" w:hAnsi="Cambria Math"/>
          </w:rPr>
          <m:t xml:space="preserve">=</m:t>
        </m:r>
        <m:f>
          <m:num>
            <m:r>
              <w:rPr>
                <w:rFonts w:ascii="Cambria Math" w:hAnsi="Cambria Math"/>
              </w:rPr>
              <m:t xml:space="preserve">H</m:t>
            </m:r>
            <m:r>
              <w:rPr>
                <w:rFonts w:ascii="Cambria Math" w:hAnsi="Cambria Math"/>
              </w:rPr>
              <m:t xml:space="preserve">/</m:t>
            </m:r>
            <m:r>
              <w:rPr>
                <w:rFonts w:ascii="Cambria Math" w:hAnsi="Cambria Math"/>
              </w:rPr>
              <m:t xml:space="preserve">C</m:t>
            </m:r>
          </m:num>
          <m:den>
            <m:r>
              <w:rPr>
                <w:rFonts w:ascii="Cambria Math" w:hAnsi="Cambria Math"/>
              </w:rPr>
              <m:t xml:space="preserve">E</m:t>
            </m:r>
            <m:r>
              <w:rPr>
                <w:rFonts w:ascii="Cambria Math" w:hAnsi="Cambria Math"/>
              </w:rPr>
              <m:t xml:space="preserve">/</m:t>
            </m:r>
            <m:r>
              <w:rPr>
                <w:rFonts w:ascii="Cambria Math" w:hAnsi="Cambria Math"/>
              </w:rPr>
              <m:t xml:space="preserve">C</m:t>
            </m:r>
          </m:den>
        </m:f>
      </m:oMath>
    </w:p>
    <w:p>
      <w:r/>
      <w:r>
        <w:rPr>
          <w:b/>
        </w:rPr>
        <w:t xml:space="preserve">Смысл разложения. </w:t>
      </w:r>
      <w:r>
        <w:t>H — объем учебных часов, E — учащиеся, C — классы. Часы на ученика растут как из-за большего числа часов на класс, так и из-за уменьшения размера класса. Работа 2026 года рассматривает это различие; высокий показатель сам по себе не доказывает неэффективность [5].</w:t>
      </w:r>
    </w:p>
    <w:p>
      <w:r/>
      <w:r>
        <w:rPr>
          <w:b/>
        </w:rPr>
        <w:t xml:space="preserve">Условный пример. </w:t>
      </w:r>
      <w:r>
        <w:t>300 учащихся и 10 классов дают 30 человек на класс. При 240 учащихся и тех же 10 классах размер класса — 24. При неизменных часах на класс показатель часов на ученика вырастет на 25%. Это не означает роста качества на 25%.</w:t>
      </w:r>
    </w:p>
    <w:p>
      <w:r/>
      <w:r>
        <w:rPr>
          <w:b/>
        </w:rPr>
        <w:t xml:space="preserve">Проверка. </w:t>
      </w:r>
      <w:r>
        <w:t>Сопоставить прошлые прогнозы с фактическим набором. Учитывать обучение вне места проживания, сменность, ограничения зданий и время подвоза. Один показатель загрузки не является достаточным основанием для закрытия или расширения школы.</w:t>
      </w:r>
    </w:p>
    <w:p>
      <w:r>
        <w:br w:type="page"/>
      </w:r>
    </w:p>
    <w:p>
      <w:pPr>
        <w:pStyle w:val="Heading1"/>
      </w:pPr>
      <w:r>
        <w:t>7 Пространственная доступность услуг</w:t>
      </w:r>
    </w:p>
    <w:p>
      <w:r>
        <w:t>Приоритет: после получения поселений, учреждений и дорожной сети. Основа — E2SFCA, Luo и Qi, 2009 [8]. Применение к школам и другим услугам является адаптацией.</w:t>
      </w:r>
    </w:p>
    <w:p>
      <w:r>
        <w:t>Показатель «мест на тысячу жителей района» скрывает расстояния. Двухэтапная модель учитывает, сколько людей конкурируют за мощность учреждения и насколько трудно до него добраться.</w:t>
      </w:r>
    </w:p>
    <w:p>
      <w:pPr>
        <w:spacing w:before="140" w:after="180"/>
        <w:jc w:val="center"/>
      </w:pPr>
      <m:oMath>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j</m:t>
                </m:r>
              </m:sub>
            </m:sSub>
          </m:num>
          <m:den>
            <m:sSub>
              <m:e>
                <m:r>
                  <w:rPr>
                    <w:rFonts w:ascii="Cambria Math" w:hAnsi="Cambria Math"/>
                  </w:rPr>
                  <m:t xml:space="preserve">∑</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N</m:t>
                </m:r>
              </m:e>
              <m:sub>
                <m:r>
                  <w:rPr>
                    <w:rFonts w:ascii="Cambria Math" w:hAnsi="Cambria Math"/>
                  </w:rPr>
                  <m:t xml:space="preserve">i</m:t>
                </m:r>
              </m:sub>
            </m:sSub>
            <m:r>
              <w:rPr>
                <w:rFonts w:ascii="Cambria Math" w:hAnsi="Cambria Math"/>
              </w:rPr>
              <m:t xml:space="preserve">w</m:t>
            </m:r>
            <m:r>
              <w:rPr>
                <w:rFonts w:ascii="Cambria Math" w:hAnsi="Cambria Math"/>
              </w:rPr>
              <m:t xml:space="preserve">(</m:t>
            </m:r>
            <m:sSub>
              <m:e>
                <m:r>
                  <w:rPr>
                    <w:rFonts w:ascii="Cambria Math" w:hAnsi="Cambria Math"/>
                  </w:rPr>
                  <m:t xml:space="preserve">d</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den>
        </m:f>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j</m:t>
            </m:r>
          </m:sub>
        </m:sSub>
        <m:r>
          <w:rPr>
            <w:rFonts w:ascii="Cambria Math" w:hAnsi="Cambria Math"/>
          </w:rPr>
          <m:t xml:space="preserve"> </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w</m:t>
        </m:r>
        <m:r>
          <w:rPr>
            <w:rFonts w:ascii="Cambria Math" w:hAnsi="Cambria Math"/>
          </w:rPr>
          <m:t xml:space="preserve">(</m:t>
        </m:r>
        <m:sSub>
          <m:e>
            <m:r>
              <w:rPr>
                <w:rFonts w:ascii="Cambria Math" w:hAnsi="Cambria Math"/>
              </w:rPr>
              <m:t xml:space="preserve">d</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oMath>
    </w:p>
    <w:p>
      <w:r/>
      <w:r>
        <w:rPr>
          <w:b/>
        </w:rPr>
        <w:t xml:space="preserve">Обозначения. </w:t>
      </w:r>
      <w:r>
        <w:t>K — мощность учреждения; N — целевое население поселения; d — время поездки; w — вес доступности, уменьшающийся с временем и равный нулю за пределами выбранной зоны; R — мощность относительно взвешенного спроса; A — доступность для жителей. Параметры зон должны быть обоснованы для конкретной услуги.</w:t>
      </w:r>
    </w:p>
    <w:p>
      <w:r/>
      <w:r>
        <w:rPr>
          <w:b/>
        </w:rPr>
        <w:t xml:space="preserve">Применение в econtypes. </w:t>
      </w:r>
      <w:r>
        <w:t>Построить карту доступности школ, колледжей или иных объектов. Использовать возрастную группу, нуждающуюся в услуге, а не все население. Для общественного транспорта и школьного подвоза считать отдельные варианты времени, а не предполагать наличие автомобиля у всех жителей.</w:t>
      </w:r>
    </w:p>
    <w:p>
      <w:r/>
      <w:r>
        <w:rPr>
          <w:b/>
        </w:rPr>
        <w:t xml:space="preserve">Что станет видно. </w:t>
      </w:r>
      <w:r>
        <w:t>МО может выглядеть обеспеченным по общему числу мест, но иметь удаленные поселения с низкой доступностью. Если население концентрируется около районного центра, средняя обеспеченность улучшится, а положение оставшихся удаленных жителей может не измениться.</w:t>
      </w:r>
    </w:p>
    <w:p>
      <w:r/>
      <w:r>
        <w:rPr>
          <w:b/>
        </w:rPr>
        <w:t xml:space="preserve">Ограничение. </w:t>
      </w:r>
      <w:r>
        <w:t>Взвешенная доступность — расчетный индекс, не гарантированная вероятность получения места. Для школ нужны правила закрепления территории, реальные маршруты и возможность приема. Общая формула не учитывает все ограничения выбора учреждения.</w:t>
      </w:r>
    </w:p>
    <w:p>
      <w:r/>
      <w:r>
        <w:rPr>
          <w:b/>
        </w:rPr>
        <w:t xml:space="preserve">Проверка. </w:t>
      </w:r>
      <w:r>
        <w:t>Сверить расчетные времена с реальными маршрутами на выборке, проверить мощности и провести анализ чувствительности к порогам поездки. Показывать результаты на уровне поселений; расстояние между геометрическими центрами больших районов может быть плохим приближением.</w:t>
      </w:r>
    </w:p>
    <w:p>
      <w:r>
        <w:br w:type="page"/>
      </w:r>
    </w:p>
    <w:p>
      <w:pPr>
        <w:pStyle w:val="Heading1"/>
      </w:pPr>
      <w:r>
        <w:t>8 Байесовское сглаживание малых демографических чисел</w:t>
      </w:r>
    </w:p>
    <w:p>
      <w:r>
        <w:t>Приоритет: для сравнения малых МО. Основа пространственного компонента — модель BYM2, Riebler и соавторы, 2016 [9]. Ниже — схема адаптации к демографическим счетчикам.</w:t>
      </w:r>
    </w:p>
    <w:p>
      <w:pPr>
        <w:spacing w:before="140" w:after="180"/>
        <w:jc w:val="center"/>
      </w:pPr>
      <m:oMath>
        <m:sSub>
          <m:e>
            <m:r>
              <w:rPr>
                <w:rFonts w:ascii="Cambria Math" w:hAnsi="Cambria Math"/>
              </w:rPr>
              <m:t xml:space="preserve">Y</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 </m:t>
        </m:r>
        <m:r>
          <w:rPr>
            <w:rFonts w:ascii="Cambria Math" w:hAnsi="Cambria Math"/>
          </w:rPr>
          <m:t xml:space="preserve">P</m:t>
        </m:r>
        <m:r>
          <w:rPr>
            <w:rFonts w:ascii="Cambria Math" w:hAnsi="Cambria Math"/>
          </w:rPr>
          <m:t xml:space="preserve">o</m:t>
        </m:r>
        <m:r>
          <w:rPr>
            <w:rFonts w:ascii="Cambria Math" w:hAnsi="Cambria Math"/>
          </w:rPr>
          <m:t xml:space="preserve">i</m:t>
        </m:r>
        <m:r>
          <w:rPr>
            <w:rFonts w:ascii="Cambria Math" w:hAnsi="Cambria Math"/>
          </w:rPr>
          <m:t xml:space="preserve">s</m:t>
        </m:r>
        <m:r>
          <w:rPr>
            <w:rFonts w:ascii="Cambria Math" w:hAnsi="Cambria Math"/>
          </w:rPr>
          <m:t xml:space="preserve">s</m:t>
        </m:r>
        <m:r>
          <w:rPr>
            <w:rFonts w:ascii="Cambria Math" w:hAnsi="Cambria Math"/>
          </w:rPr>
          <m:t xml:space="preserve">o</m:t>
        </m:r>
        <m:r>
          <w:rPr>
            <w:rFonts w:ascii="Cambria Math" w:hAnsi="Cambria Math"/>
          </w:rPr>
          <m:t xml:space="preserve">n</m:t>
        </m:r>
        <m:r>
          <w:rPr>
            <w:rFonts w:ascii="Cambria Math" w:hAnsi="Cambria Math"/>
          </w:rPr>
          <m:t xml:space="preserve">(</m:t>
        </m:r>
        <m:sSub>
          <m:e>
            <m:r>
              <w:rPr>
                <w:rFonts w:ascii="Cambria Math" w:hAnsi="Cambria Math"/>
              </w:rPr>
              <m:t xml:space="preserve">E</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sSub>
          <m:e>
            <m:r>
              <w:rPr>
                <w:rFonts w:ascii="Cambria Math" w:hAnsi="Cambria Math"/>
              </w:rPr>
              <m:t xml:space="preserve">r</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log</m:t>
        </m:r>
        <m:r>
          <w:rPr>
            <w:rFonts w:ascii="Cambria Math" w:hAnsi="Cambria Math"/>
          </w:rPr>
          <m:t xml:space="preserve"> </m:t>
        </m:r>
        <m:sSub>
          <m:e>
            <m:r>
              <w:rPr>
                <w:rFonts w:ascii="Cambria Math" w:hAnsi="Cambria Math"/>
              </w:rPr>
              <m:t xml:space="preserve">r</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r>
          <w:rPr>
            <w:rFonts w:ascii="Cambria Math" w:hAnsi="Cambria Math"/>
          </w:rPr>
          <m:t xml:space="preserve">β</m:t>
        </m:r>
        <m:r>
          <w:rPr>
            <w:rFonts w:ascii="Cambria Math" w:hAnsi="Cambria Math"/>
          </w:rPr>
          <m:t xml:space="preserve">+</m:t>
        </m:r>
        <m:sSub>
          <m:e>
            <m:r>
              <w:rPr>
                <w:rFonts w:ascii="Cambria Math" w:hAnsi="Cambria Math"/>
              </w:rPr>
              <m:t xml:space="preserve">b</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t</m:t>
            </m:r>
          </m:sub>
        </m:sSub>
      </m:oMath>
    </w:p>
    <w:p>
      <w:pPr>
        <w:spacing w:before="140" w:after="180"/>
        <w:jc w:val="center"/>
      </w:pPr>
      <m:oMath>
        <m:sSub>
          <m:e>
            <m:r>
              <w:rPr>
                <w:rFonts w:ascii="Cambria Math" w:hAnsi="Cambria Math"/>
              </w:rPr>
              <m:t xml:space="preserve">b</m:t>
            </m:r>
          </m:e>
          <m:sub>
            <m:r>
              <w:rPr>
                <w:rFonts w:ascii="Cambria Math" w:hAnsi="Cambria Math"/>
              </w:rPr>
              <m:t xml:space="preserve">m</m:t>
            </m:r>
          </m:sub>
        </m:sSub>
        <m:r>
          <w:rPr>
            <w:rFonts w:ascii="Cambria Math" w:hAnsi="Cambria Math"/>
          </w:rPr>
          <m:t xml:space="preserve">=</m:t>
        </m:r>
        <m:r>
          <w:rPr>
            <w:rFonts w:ascii="Cambria Math" w:hAnsi="Cambria Math"/>
          </w:rPr>
          <m:t xml:space="preserve">σ</m:t>
        </m:r>
        <m:r>
          <w:rPr>
            <w:rFonts w:ascii="Cambria Math" w:hAnsi="Cambria Math"/>
          </w:rPr>
          <m:t xml:space="preserve"/>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r>
              <w:rPr>
                <w:rFonts w:ascii="Cambria Math" w:hAnsi="Cambria Math"/>
              </w:rPr>
              <m:t xml:space="preserve">φ</m:t>
            </m:r>
          </m:e>
        </m:rad>
        <m:r>
          <w:rPr>
            <w:rFonts w:ascii="Cambria Math" w:hAnsi="Cambria Math"/>
          </w:rPr>
          <m:t xml:space="preserve"> </m:t>
        </m:r>
        <m:sSub>
          <m:e>
            <m:r>
              <w:rPr>
                <w:rFonts w:ascii="Cambria Math" w:hAnsi="Cambria Math"/>
              </w:rPr>
              <m:t xml:space="preserve">z</m:t>
            </m:r>
          </m:e>
          <m:sub>
            <m:r>
              <w:rPr>
                <w:rFonts w:ascii="Cambria Math" w:hAnsi="Cambria Math"/>
              </w:rPr>
              <m:t xml:space="preserve">m</m:t>
            </m:r>
          </m:sub>
        </m:sSub>
        <m:r>
          <w:rPr>
            <w:rFonts w:ascii="Cambria Math" w:hAnsi="Cambria Math"/>
          </w:rPr>
          <m:t xml:space="preserve">+</m:t>
        </m:r>
        <m:rad>
          <m:radPr>
            <m:degHide m:val="1"/>
          </m:radPr>
          <m:deg/>
          <m:e>
            <m:r>
              <w:rPr>
                <w:rFonts w:ascii="Cambria Math" w:hAnsi="Cambria Math"/>
              </w:rPr>
              <m:t xml:space="preserve">φ</m:t>
            </m:r>
          </m:e>
        </m:rad>
        <m:r>
          <w:rPr>
            <w:rFonts w:ascii="Cambria Math" w:hAnsi="Cambria Math"/>
          </w:rPr>
          <m:t xml:space="preserve"> </m:t>
        </m:r>
        <m:sSubSup>
          <m:e>
            <m:r>
              <w:rPr>
                <w:rFonts w:ascii="Cambria Math" w:hAnsi="Cambria Math"/>
              </w:rPr>
              <m:t xml:space="preserve">u</m:t>
            </m:r>
          </m:e>
          <m:sub>
            <m:r>
              <w:rPr>
                <w:rFonts w:ascii="Cambria Math" w:hAnsi="Cambria Math"/>
              </w:rPr>
              <m:t xml:space="preserve">m</m:t>
            </m:r>
          </m:sub>
          <m:sup>
            <m:r>
              <w:rPr>
                <w:rFonts w:ascii="Cambria Math" w:hAnsi="Cambria Math"/>
              </w:rPr>
              <m:t xml:space="preserve">*</m:t>
            </m:r>
          </m:sup>
        </m:sSubSup>
        <m:r>
          <w:rPr>
            <w:rFonts w:ascii="Cambria Math" w:hAnsi="Cambria Math"/>
          </w:rPr>
          <m:t xml:space="preserve"/>
        </m:r>
        <m:r>
          <w:rPr>
            <w:rFonts w:ascii="Cambria Math" w:hAnsi="Cambria Math"/>
          </w:rPr>
          <m:t xml:space="preserve">)</m:t>
        </m:r>
      </m:oMath>
    </w:p>
    <w:p>
      <w:r/>
      <w:r>
        <w:rPr>
          <w:b/>
        </w:rPr>
        <w:t xml:space="preserve">Обозначения. </w:t>
      </w:r>
      <w:r>
        <w:t>Y — число событий; E — соответствующая экспозиция; r — интенсивность; X — признаки; v — временной компонент; z — независимая территориальная вариация; u* — масштабированный пространственный компонент; φ от 0 до 1 — его доля в дисперсии. Это не модель для отрицательного миграционного сальдо: прибытия и выбытия моделируют отдельно.</w:t>
      </w:r>
    </w:p>
    <w:p>
      <w:r/>
      <w:r>
        <w:rPr>
          <w:b/>
        </w:rPr>
        <w:t xml:space="preserve">Пример применения. </w:t>
      </w:r>
      <w:r>
        <w:t>При анализе рождений экспозиция должна учитывать женщин соответствующих возрастов; при анализе общей смертности — возрастной состав либо ожидаемое число смертей по единому возрастному стандарту. Простое деление на все население не устраняет различия возрастной структуры.</w:t>
      </w:r>
    </w:p>
    <w:p>
      <w:r/>
      <w:r>
        <w:rPr>
          <w:b/>
        </w:rPr>
        <w:t xml:space="preserve">Что даст проекту. </w:t>
      </w:r>
      <w:r>
        <w:t>Вместо рейтинга по одному шумному году — сглаженные оценки и интервалы. Можно показывать вероятность превышения выбранного регионального ориентира, явно связывая ее с моделью и допущениями.</w:t>
      </w:r>
    </w:p>
    <w:p>
      <w:r/>
      <w:r>
        <w:rPr>
          <w:b/>
        </w:rPr>
        <w:t xml:space="preserve">Данные. </w:t>
      </w:r>
      <w:r>
        <w:t>Нужны счетчики за несколько лет, надежные знаменатели и граф соседства. Для островных или несвязанных территорий модель должна иметь отдельное корректное правило. Пропуск значения не заменяется нулевым числом событий.</w:t>
      </w:r>
    </w:p>
    <w:p>
      <w:r/>
      <w:r>
        <w:rPr>
          <w:b/>
        </w:rPr>
        <w:t xml:space="preserve">Проверка. </w:t>
      </w:r>
      <w:r>
        <w:t>Сравнить модель с независимым частичным объединением оценок и с простым ориентиром. Проверить сверхдисперсию, остатки и чувствительность к априорным распределениям. Если географическое соседство не улучшает проверочный прогноз, не сохранять его только ради сложной карты.</w:t>
      </w:r>
    </w:p>
    <w:p>
      <w:r>
        <w:br w:type="page"/>
      </w:r>
    </w:p>
    <w:p>
      <w:pPr>
        <w:pStyle w:val="Heading1"/>
      </w:pPr>
      <w:r>
        <w:t>9 Прогноз на уровне поселений и пространственной сетки</w:t>
      </w:r>
    </w:p>
    <w:p>
      <w:r>
        <w:t>Приоритет: после муниципального прогноза и получения надежной пространственной базы. Свежий источник — Lee и Jeong, онлайн 2025, выпуск 2026 [4].</w:t>
      </w:r>
    </w:p>
    <w:p>
      <w:r>
        <w:t>Авторы распределяют прогноз муниципалитета по ячейкам 500 м с учетом возрастно-половой структуры. Для econtypes идея полезна тем, что районный итог может скрывать одновременно рост пригородов и сокращение удаленных сел.</w:t>
      </w:r>
    </w:p>
    <w:p>
      <w:pPr>
        <w:spacing w:before="140" w:after="180"/>
        <w:jc w:val="center"/>
      </w:pPr>
      <m:oMath>
        <m:sSub>
          <m:e>
            <m:acc>
              <m:accPr>
                <m:chr m:val="̂"/>
              </m:accPr>
              <m:e>
                <m:r>
                  <w:rPr>
                    <w:rFonts w:ascii="Cambria Math" w:hAnsi="Cambria Math"/>
                  </w:rPr>
                  <m:t xml:space="preserve">N</m:t>
                </m:r>
              </m:e>
            </m:acc>
          </m:e>
          <m:sub>
            <m:r>
              <w:rPr>
                <w:rFonts w:ascii="Cambria Math" w:hAnsi="Cambria Math"/>
              </w:rPr>
              <m:t xml:space="preserve">g</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acc>
              <m:accPr>
                <m:chr m:val="̂"/>
              </m:accPr>
              <m:e>
                <m:r>
                  <w:rPr>
                    <w:rFonts w:ascii="Cambria Math" w:hAnsi="Cambria Math"/>
                  </w:rPr>
                  <m:t xml:space="preserve">N</m:t>
                </m:r>
              </m:e>
            </m:acc>
          </m:e>
          <m:sub>
            <m:r>
              <w:rPr>
                <w:rFonts w:ascii="Cambria Math" w:hAnsi="Cambria Math"/>
              </w:rPr>
              <m:t xml:space="preserve">m</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f>
          <m:num>
            <m:sSub>
              <m:e>
                <m:r>
                  <w:rPr>
                    <w:rFonts w:ascii="Cambria Math" w:hAnsi="Cambria Math"/>
                  </w:rPr>
                  <m:t xml:space="preserve">w</m:t>
                </m:r>
              </m:e>
              <m:sub>
                <m:r>
                  <w:rPr>
                    <w:rFonts w:ascii="Cambria Math" w:hAnsi="Cambria Math"/>
                  </w:rPr>
                  <m:t xml:space="preserve">g</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m:t>
                </m:r>
              </m:e>
              <m:sub>
                <m:r>
                  <w:rPr>
                    <w:rFonts w:ascii="Cambria Math" w:hAnsi="Cambria Math"/>
                  </w:rPr>
                  <m:t xml:space="preserve">h</m:t>
                </m:r>
                <m:r>
                  <w:rPr>
                    <w:rFonts w:ascii="Cambria Math" w:hAnsi="Cambria Math"/>
                  </w:rPr>
                  <m:t xml:space="preserve">∈</m:t>
                </m:r>
                <m:r>
                  <w:rPr>
                    <w:rFonts w:ascii="Cambria Math" w:hAnsi="Cambria Math"/>
                  </w:rPr>
                  <m:t xml:space="preserve"> </m:t>
                </m:r>
                <m:r>
                  <w:rPr>
                    <w:rFonts w:ascii="Cambria Math" w:hAnsi="Cambria Math"/>
                  </w:rPr>
                  <m:t xml:space="preserve">m</m:t>
                </m:r>
              </m:sub>
            </m:sSub>
            <m:sSub>
              <m:e>
                <m:r>
                  <w:rPr>
                    <w:rFonts w:ascii="Cambria Math" w:hAnsi="Cambria Math"/>
                  </w:rPr>
                  <m:t xml:space="preserve">w</m:t>
                </m:r>
              </m:e>
              <m:sub>
                <m:r>
                  <w:rPr>
                    <w:rFonts w:ascii="Cambria Math" w:hAnsi="Cambria Math"/>
                  </w:rPr>
                  <m:t xml:space="preserve">h</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den>
        </m:f>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g</m:t>
        </m:r>
        <m:r>
          <w:rPr>
            <w:rFonts w:ascii="Cambria Math" w:hAnsi="Cambria Math"/>
          </w:rPr>
          <m:t xml:space="preserve">∈</m:t>
        </m:r>
        <m:r>
          <w:rPr>
            <w:rFonts w:ascii="Cambria Math" w:hAnsi="Cambria Math"/>
          </w:rPr>
          <m:t xml:space="preserve"> </m:t>
        </m:r>
        <m:r>
          <w:rPr>
            <w:rFonts w:ascii="Cambria Math" w:hAnsi="Cambria Math"/>
          </w:rPr>
          <m:t xml:space="preserve">m</m:t>
        </m:r>
      </m:oMath>
    </w:p>
    <w:p>
      <w:r/>
      <w:r>
        <w:rPr>
          <w:b/>
        </w:rPr>
        <w:t xml:space="preserve">Обозначения. </w:t>
      </w:r>
      <w:r>
        <w:t>g — ячейка или поселение внутри МО m; a и s — возраст и пол; w — неотрицательный вес пространственного распределения, основанный на данных и демографической структуре. При положительном знаменателе сумма ячеек точно совпадает с муниципальным прогнозом.</w:t>
      </w:r>
    </w:p>
    <w:p>
      <w:r/>
      <w:r>
        <w:rPr>
          <w:b/>
        </w:rPr>
        <w:t xml:space="preserve">Что взять для проекта. </w:t>
      </w:r>
      <w:r>
        <w:t>Начать с населенных пунктов, если их численность надежнее сетки. На карте различать фактическую базу и модельную проекцию. Наличие домов или яркость ночного освещения могут быть дополнительными признаками, но не заменяют наблюдаемое число жителей.</w:t>
      </w:r>
    </w:p>
    <w:p>
      <w:r/>
      <w:r>
        <w:rPr>
          <w:b/>
        </w:rPr>
        <w:t xml:space="preserve">Что учесть. </w:t>
      </w:r>
      <w:r>
        <w:t>Открытая статья отдельно указывает ограничение: перераспределение жителей между ячейками одного муниципалитета из-за нового жилья или инфраструктуры не моделируется полноценно [4]. Для пригородов Уфы такое упрощение может оказаться существенным.</w:t>
      </w:r>
    </w:p>
    <w:p>
      <w:r/>
      <w:r>
        <w:rPr>
          <w:b/>
        </w:rPr>
        <w:t xml:space="preserve">Риск ложной точности. </w:t>
      </w:r>
      <w:r>
        <w:t>Если имеем только общую численность района, раскрашивание мелкой сетки не создает новые знания о каждой ячейке. Все смоделированные значения должны сопровождаться происхождением весов, разрешением и ограничениями.</w:t>
      </w:r>
    </w:p>
    <w:p>
      <w:r/>
      <w:r>
        <w:rPr>
          <w:b/>
        </w:rPr>
        <w:t xml:space="preserve">Проверка. </w:t>
      </w:r>
      <w:r>
        <w:t>Контроль сумм по МО и возрастам обязателен. Качество распределения проверять по независимым данным поселений или следующей переписи, если доступны. Границы должны совпадать между базой населения, картой и учрежденческой сетью.</w:t>
      </w:r>
    </w:p>
    <w:p>
      <w:r>
        <w:br w:type="page"/>
      </w:r>
    </w:p>
    <w:p>
      <w:pPr>
        <w:pStyle w:val="Heading1"/>
      </w:pPr>
      <w:r>
        <w:t>10 Какие условия связаны с ростом и убылью населения</w:t>
      </w:r>
    </w:p>
    <w:p>
      <w:r>
        <w:t>Приоритет: после подготовки длинной панели. Свежий ориентир — рабочая статья JRC от 19 июня 2026 года [6].</w:t>
      </w:r>
    </w:p>
    <w:p>
      <w:r>
        <w:t>JRC рассматривает связи изменения населения поселений ЕС с занятостью, возрастной структурой, инфраструктурой и доступностью услуг. Для Башкортостана это источник гипотез и набора факторов; обнаруженные в ЕС связи требуют местной проверки.</w:t>
      </w:r>
    </w:p>
    <w:p>
      <w:pPr>
        <w:spacing w:before="140" w:after="180"/>
        <w:jc w:val="center"/>
      </w:pPr>
      <m:oMath>
        <m:sSub>
          <m:e>
            <m:r>
              <w:rPr>
                <w:rFonts w:ascii="Cambria Math" w:hAnsi="Cambria Math"/>
              </w:rPr>
              <m:t xml:space="preserve">g</m:t>
            </m:r>
          </m:e>
          <m:sub>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h</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h</m:t>
            </m:r>
          </m:den>
        </m:f>
        <m:r>
          <w:rPr>
            <w:rFonts w:ascii="Cambria Math" w:hAnsi="Cambria Math"/>
          </w:rPr>
          <m:t xml:space="preserve">log</m:t>
        </m:r>
        <m:f>
          <m:num>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h</m:t>
                </m:r>
              </m:sub>
            </m:sSub>
          </m:num>
          <m:den>
            <m:sSub>
              <m:e>
                <m:r>
                  <w:rPr>
                    <w:rFonts w:ascii="Cambria Math" w:hAnsi="Cambria Math"/>
                  </w:rPr>
                  <m:t xml:space="preserve">N</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den>
        </m:f>
        <m:r>
          <w:rPr>
            <w:rFonts w:ascii="Cambria Math" w:hAnsi="Cambria Math"/>
          </w:rPr>
          <m:t xml:space="preserve">,</m:t>
        </m:r>
        <m:r>
          <w:rPr>
            <w:rFonts w:ascii="Cambria Math" w:hAnsi="Cambria Math"/>
          </w:rPr>
          <m:t xml:space="preserve">    </m:t>
        </m:r>
        <m:r>
          <w:rPr>
            <w:rFonts w:ascii="Cambria Math" w:hAnsi="Cambria Math"/>
          </w:rPr>
          <m:t xml:space="preserve"> </m:t>
        </m:r>
        <m:sSub>
          <m:e>
            <m:acc>
              <m:accPr>
                <m:chr m:val="̂"/>
              </m:accPr>
              <m:e>
                <m:r>
                  <w:rPr>
                    <w:rFonts w:ascii="Cambria Math" w:hAnsi="Cambria Math"/>
                  </w:rPr>
                  <m:t xml:space="preserve">g</m:t>
                </m:r>
              </m:e>
            </m:acc>
          </m:e>
          <m:sub>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h</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r>
          <w:rPr>
            <w:rFonts w:ascii="Cambria Math" w:hAnsi="Cambria Math"/>
          </w:rPr>
          <m:t xml:space="preserve">)</m:t>
        </m:r>
      </m:oMath>
    </w:p>
    <w:p>
      <w:r/>
      <w:r>
        <w:rPr>
          <w:b/>
        </w:rPr>
        <w:t xml:space="preserve">Смысл формулы. </w:t>
      </w:r>
      <w:r>
        <w:t>g — средний годовой логарифмический темп изменения населения за h лет, определенный для положительных численностей. X — признаки, доступные в момент t. Это предлагаемая прогнозная постановка для econtypes, а не точная спецификация модели JRC.</w:t>
      </w:r>
    </w:p>
    <w:p>
      <w:r/>
      <w:r>
        <w:rPr>
          <w:b/>
        </w:rPr>
        <w:t xml:space="preserve">Факторы для проверки. </w:t>
      </w:r>
      <w:r>
        <w:t>Возрастная структура, занятость, плотность МСП, отраслевая специализация, доступность Уфы и других центров, жилищное строительство, школы и транспорт. Из закупок можно взять проверенные характеристики спроса, сохранив различие между суммой контрактов и фактическим исполнением.</w:t>
      </w:r>
    </w:p>
    <w:p>
      <w:r/>
      <w:r>
        <w:rPr>
          <w:b/>
        </w:rPr>
        <w:t xml:space="preserve">Какие модели сравнить. </w:t>
      </w:r>
      <w:r>
        <w:t>Сначала неизменный темп, простую регрессию с регуляризацией и иерархическую модель. Затем бустинг или TabPFN из основного обзора. Для 63 строк выбирать небольшое число факторов; панельные наблюдения одного МО остаются зависимыми.</w:t>
      </w:r>
    </w:p>
    <w:p>
      <w:r/>
      <w:r>
        <w:rPr>
          <w:b/>
        </w:rPr>
        <w:t xml:space="preserve">Главная ловушка. </w:t>
      </w:r>
      <w:r>
        <w:t>Величины «МСП на душу» и темп населения имеют общий знаменатель: падение населения само повышает первый показатель даже без новых фирм. Проверять абсолютные уровни, временные лаги и альтернативные спецификации. SHAP или важность признака не доказывают причину изменения населения.</w:t>
      </w:r>
    </w:p>
    <w:p>
      <w:r/>
      <w:r>
        <w:rPr>
          <w:b/>
        </w:rPr>
        <w:t xml:space="preserve">Результат. </w:t>
      </w:r>
      <w:r>
        <w:t>Карта прогнозируемых изменений с интервалом и сравнением с простым ориентиром. Причины, по которым жители уезжают, нельзя окончательно установить только по агрегированной таблице. Для причинных выводов нужен отдельный дизайн исследования.</w:t>
      </w:r>
    </w:p>
    <w:p>
      <w:r>
        <w:br w:type="page"/>
      </w:r>
    </w:p>
    <w:p>
      <w:pPr>
        <w:pStyle w:val="Heading1"/>
      </w:pPr>
      <w:r>
        <w:t>Какие данные искать по Башкортостану</w:t>
      </w:r>
    </w:p>
    <w:p>
      <w:r>
        <w:t>В официальном каталоге Башкортостанстата найдены разделы ниже [11–13]. Дата публикации файла не равна дате, к которой относится население. Содержимое самих выгрузок и полнота рядов для всех 63 МО в этой работе не проверялись.</w:t>
      </w:r>
    </w:p>
    <w:tbl>
      <w:tblPr>
        <w:tblW w:type="auto" w:w="0"/>
        <w:jc w:val="center"/>
        <w:tblLayout w:type="fixed"/>
        <w:tblLook w:firstColumn="1" w:firstRow="1" w:lastColumn="0" w:lastRow="0" w:noHBand="0" w:noVBand="1" w:val="04A0"/>
      </w:tblPr>
      <w:tblGrid>
        <w:gridCol w:w="1930"/>
        <w:gridCol w:w="5861"/>
        <w:gridCol w:w="2174"/>
      </w:tblGrid>
      <w:tr>
        <w:trPr>
          <w:cantSplit/>
          <w:tblHeader/>
        </w:trPr>
        <w:tc>
          <w:tcPr>
            <w:tcW w:type="dxa" w:w="19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Раздел</w:t>
            </w:r>
          </w:p>
        </w:tc>
        <w:tc>
          <w:tcPr>
            <w:tcW w:type="dxa" w:w="586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Что найдено или следует проверить</w:t>
            </w:r>
          </w:p>
        </w:tc>
        <w:tc>
          <w:tcPr>
            <w:tcW w:type="dxa" w:w="21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Для каких методов</w:t>
            </w:r>
          </w:p>
        </w:tc>
      </w:tr>
      <w:tr>
        <w:trPr>
          <w:cantSplit/>
        </w:trPr>
        <w:tc>
          <w:tcPr>
            <w:tcW w:type="dxa" w:w="19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Население [11]</w:t>
            </w:r>
          </w:p>
        </w:tc>
        <w:tc>
          <w:tcPr>
            <w:tcW w:type="dxa" w:w="586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Численность по МР и ГО на 01.01.2025; распределение по возрастным группам. У каждой таблицы проверить территориальный уровень.</w:t>
            </w:r>
          </w:p>
        </w:tc>
        <w:tc>
          <w:tcPr>
            <w:tcW w:type="dxa" w:w="21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Баланс, возрастная структура, прогноз</w:t>
            </w:r>
          </w:p>
        </w:tc>
      </w:tr>
      <w:tr>
        <w:trPr>
          <w:cantSplit/>
        </w:trPr>
        <w:tc>
          <w:tcPr>
            <w:tcW w:type="dxa" w:w="19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Итоги переписи [12]</w:t>
            </w:r>
          </w:p>
        </w:tc>
        <w:tc>
          <w:tcPr>
            <w:tcW w:type="dxa" w:w="586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Таблицы населения по возрастным группам и полу по МР и ГО. Проверить год переписи; дата размещения 2025 не означает население 2025 года.</w:t>
            </w:r>
          </w:p>
        </w:tc>
        <w:tc>
          <w:tcPr>
            <w:tcW w:type="dxa" w:w="21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Возрастная база, сверка структуры</w:t>
            </w:r>
          </w:p>
        </w:tc>
      </w:tr>
      <w:tr>
        <w:trPr>
          <w:cantSplit/>
        </w:trPr>
        <w:tc>
          <w:tcPr>
            <w:tcW w:type="dxa" w:w="19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Муниципальная статистика [13]</w:t>
            </w:r>
          </w:p>
        </w:tc>
        <w:tc>
          <w:tcPr>
            <w:tcW w:type="dxa" w:w="586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БД ПМО и паспорта муниципалитетов. Проверить наличие рядов численности, рождений, смертей, миграции, образования и жилья.</w:t>
            </w:r>
          </w:p>
        </w:tc>
        <w:tc>
          <w:tcPr>
            <w:tcW w:type="dxa" w:w="21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Панель МО и объясняющие факторы</w:t>
            </w:r>
          </w:p>
        </w:tc>
      </w:tr>
      <w:tr>
        <w:trPr>
          <w:cantSplit/>
        </w:trPr>
        <w:tc>
          <w:tcPr>
            <w:tcW w:type="dxa" w:w="19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Данные учреждений</w:t>
            </w:r>
          </w:p>
        </w:tc>
        <w:tc>
          <w:tcPr>
            <w:tcW w:type="dxa" w:w="586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Контингент по классам, возрасту и месту жительства; мощности, адреса, маршруты подвоза. Использовать агрегаты.</w:t>
            </w:r>
          </w:p>
        </w:tc>
        <w:tc>
          <w:tcPr>
            <w:tcW w:type="dxa" w:w="21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Прогноз набора и доступность</w:t>
            </w:r>
          </w:p>
        </w:tc>
      </w:tr>
      <w:tr>
        <w:trPr>
          <w:cantSplit/>
        </w:trPr>
        <w:tc>
          <w:tcPr>
            <w:tcW w:type="dxa" w:w="19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Исторические сопоставления</w:t>
            </w:r>
          </w:p>
        </w:tc>
        <w:tc>
          <w:tcPr>
            <w:tcW w:type="dxa" w:w="586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Изменения границ и ОКТМО, пересмотры численности после переписи, одинаковые даты и определения.</w:t>
            </w:r>
          </w:p>
        </w:tc>
        <w:tc>
          <w:tcPr>
            <w:tcW w:type="dxa" w:w="217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Все сравнения во времени</w:t>
            </w:r>
          </w:p>
        </w:tc>
      </w:tr>
    </w:tbl>
    <w:p>
      <w:pPr>
        <w:spacing w:after="20"/>
      </w:pPr>
      <w:r/>
    </w:p>
    <w:p>
      <w:pPr>
        <w:pStyle w:val="Heading2"/>
      </w:pPr>
      <w:r>
        <w:t>Минимальный набор для первого результата</w:t>
      </w:r>
    </w:p>
    <w:p>
      <w:r>
        <w:t>Если есть лишь общая численность по годам — построить баланс, темпы и описательную карту. Если есть возраст и пол на одну дату — добавить пирамиды и возрастные отношения. При двух сопоставимых возрастных срезах становится возможен прототип Hamilton Perry. Подробный вероятностный прогноз требует более богатой истории компонентов.</w:t>
      </w:r>
    </w:p>
    <w:p>
      <w:r>
        <w:t>Предпочтительно искать историю до 2023 года, чтобы было достаточно периодов для проверки. При отсутствии длительного ряда 2023–2026 годы нельзя искусственно расширять интерполяцией и затем считать полученные строки независимыми наблюдениями.</w:t>
      </w:r>
    </w:p>
    <w:p>
      <w:r>
        <w:t>Год 2026 еще не завершен. Частичные рождения, смерти и миграцию сопоставлять с теми же месяцами прошлых лет, а не с полным прошлым годом. Годовую численность на определенную дату не превращать в фактически наблюдавшийся ежемесячный ряд.</w:t>
      </w:r>
    </w:p>
    <w:p>
      <w:r>
        <w:br w:type="page"/>
      </w:r>
    </w:p>
    <w:p>
      <w:pPr>
        <w:pStyle w:val="Heading1"/>
      </w:pPr>
      <w:r>
        <w:t>Что именно добавить в econtypes первым</w:t>
      </w:r>
    </w:p>
    <w:p>
      <w:pPr>
        <w:pStyle w:val="Heading2"/>
      </w:pPr>
      <w:r>
        <w:t>Четыре результата для первой версии</w:t>
      </w:r>
    </w:p>
    <w:tbl>
      <w:tblPr>
        <w:tblW w:type="auto" w:w="0"/>
        <w:jc w:val="center"/>
        <w:tblLayout w:type="fixed"/>
        <w:tblLook w:firstColumn="1" w:firstRow="1" w:lastColumn="0" w:lastRow="0" w:noHBand="0" w:noVBand="1" w:val="04A0"/>
      </w:tblPr>
      <w:tblGrid>
        <w:gridCol w:w="2304"/>
        <w:gridCol w:w="5299"/>
        <w:gridCol w:w="2362"/>
      </w:tblGrid>
      <w:tr>
        <w:trPr>
          <w:cantSplit/>
          <w:tblHeader/>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Модуль</w:t>
            </w:r>
          </w:p>
        </w:tc>
        <w:tc>
          <w:tcPr>
            <w:tcW w:type="dxa" w:w="529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Что увидит пользователь</w:t>
            </w:r>
          </w:p>
        </w:tc>
        <w:tc>
          <w:tcPr>
            <w:tcW w:type="dxa" w:w="236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Условие запуска</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Причины изменения населения</w:t>
            </w:r>
          </w:p>
        </w:tc>
        <w:tc>
          <w:tcPr>
            <w:tcW w:type="dxa" w:w="529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Естественный и миграционный вклад, пересмотры, известный остаток.</w:t>
            </w:r>
          </w:p>
        </w:tc>
        <w:tc>
          <w:tcPr>
            <w:tcW w:type="dxa" w:w="236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Сопоставимые компоненты баланса</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Возрастные когорты</w:t>
            </w:r>
          </w:p>
        </w:tc>
        <w:tc>
          <w:tcPr>
            <w:tcW w:type="dxa" w:w="529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Дети, молодежь, средние и старшие возраста; отдельные отношения нагрузки.</w:t>
            </w:r>
          </w:p>
        </w:tc>
        <w:tc>
          <w:tcPr>
            <w:tcW w:type="dxa" w:w="236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Возрастно-половые данные</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Потребность в образовании</w:t>
            </w:r>
          </w:p>
        </w:tc>
        <w:tc>
          <w:tcPr>
            <w:tcW w:type="dxa" w:w="529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Сценарии набора, загрузки и подвоза; диапазон будущей потребности.</w:t>
            </w:r>
          </w:p>
        </w:tc>
        <w:tc>
          <w:tcPr>
            <w:tcW w:type="dxa" w:w="236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Прогноз детей и реальные школьные данные</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Демография и местная экономика</w:t>
            </w:r>
          </w:p>
        </w:tc>
        <w:tc>
          <w:tcPr>
            <w:tcW w:type="dxa" w:w="529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Будущие возрастные изменения рядом с занятостью, МСП и спросом.</w:t>
            </w:r>
          </w:p>
        </w:tc>
        <w:tc>
          <w:tcPr>
            <w:tcW w:type="dxa" w:w="236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Сопоставимые годы и проверенная география</w:t>
            </w:r>
          </w:p>
        </w:tc>
      </w:tr>
    </w:tbl>
    <w:p>
      <w:pPr>
        <w:spacing w:after="20"/>
      </w:pPr>
      <w:r/>
    </w:p>
    <w:p>
      <w:pPr>
        <w:pStyle w:val="Heading2"/>
      </w:pPr>
      <w:r>
        <w:t>Как проверять качество</w:t>
      </w:r>
    </w:p>
    <w:p>
      <w:r>
        <w:t>Для прогноза выбрать прошлую дату отсечения и скрыть более поздние исходы. Сравнить модели на одинаковых возрастах, МО и горизонтах. Проверять абсолютную ошибку, ошибку возрастной структуры и покрытие интервалов. Процентная ошибка нестабильна для маленьких и нулевых групп.</w:t>
      </w:r>
    </w:p>
    <w:p>
      <w:r>
        <w:t>Задачи «будущее известных МО» и «перенос на новую территорию» проверять отдельно. Для пространственных моделей учитывать соседство и зависимость наблюдений; при 63 территориях показывать индивидуальные ошибки и чувствительность к Уфе.</w:t>
      </w:r>
    </w:p>
    <w:p>
      <w:pPr>
        <w:pStyle w:val="Heading2"/>
      </w:pPr>
      <w:r>
        <w:t>Как связать с закупками и МСП</w:t>
      </w:r>
    </w:p>
    <w:p>
      <w:r>
        <w:t>Число школьников помогает оценивать спрос на питание и учебники; возрастная структура — сценарии спроса на услуги; молодежные когорты — будущий кадровый резерв. Однако возраст не равен платежеспособному спросу, а рост закупок не означает автоматически рост местного бизнеса. Нужны нормы потребления, бюджетные ограничения и подтвержденные поставщики.</w:t>
      </w:r>
    </w:p>
    <w:p>
      <w:r>
        <w:t>Научно наиболее интересный пилот — сопоставить простой когортный прогноз с вероятностным методом для малых регионов 2026 года. Практически наиболее полезный первый результат — карта возрастных изменений и потребности в образовании. Оба направления можно развивать отдельно от неизменной базовой версии econtypes.</w:t>
      </w:r>
    </w:p>
    <w:p>
      <w:r>
        <w:br w:type="page"/>
      </w:r>
    </w:p>
    <w:p>
      <w:pPr>
        <w:pStyle w:val="Heading1"/>
      </w:pPr>
      <w:r>
        <w:t>Источники новых исследований</w:t>
      </w:r>
    </w:p>
    <w:p>
      <w:r>
        <w:t>Поиск выполнен по состоянию на 8 октября 2026 года. Номера соответствуют ссылкам в тексте; веб-ссылки активны.</w:t>
      </w:r>
    </w:p>
    <w:p>
      <w:pPr>
        <w:keepNext/>
      </w:pPr>
      <w:r>
        <w:t>[1] Goes J., Engelhardt H. Probabilistic population forecasts for small regions. Demographic Research 54(23), 719–762. 14.04.2026. DOI 10.4054/DemRes.2026.54.23. Рецензируемая статья.</w:t>
      </w:r>
    </w:p>
    <w:p>
      <w:pPr>
        <w:spacing w:after="240"/>
      </w:pPr>
      <w:r/>
      <w:hyperlink r:id="rId11">
        <w:r>
          <w:rPr>
            <w:color w:val="245B85"/>
            <w:sz w:val="20"/>
          </w:rPr>
          <w:t>https://www.demographic-research.org/articles/volume/54/23</w:t>
        </w:r>
      </w:hyperlink>
    </w:p>
    <w:p>
      <w:pPr>
        <w:keepNext/>
      </w:pPr>
      <w:r>
        <w:t>[2] Statistics Canada. Population Projections for Census Divisions and Subdivisions, 2025 to 2050 Technical Report. 18.02.2026. Официальная методика.</w:t>
      </w:r>
    </w:p>
    <w:p>
      <w:pPr>
        <w:spacing w:after="240"/>
      </w:pPr>
      <w:r/>
      <w:hyperlink r:id="rId12">
        <w:r>
          <w:rPr>
            <w:color w:val="245B85"/>
            <w:sz w:val="20"/>
          </w:rPr>
          <w:t>https://www150.statcan.gc.ca/n1/pub/17-20-0003/172000032026003-eng.htm</w:t>
        </w:r>
      </w:hyperlink>
    </w:p>
    <w:p>
      <w:pPr>
        <w:keepNext/>
      </w:pPr>
      <w:r>
        <w:t>[3] Wiśniowski A., Raymer J. Multiregional Population Forecasting A Unifying Probabilistic Approach for Modelling the Components of Change. European Journal of Population 41, 11. 10.04.2025.</w:t>
      </w:r>
    </w:p>
    <w:p>
      <w:pPr>
        <w:spacing w:after="240"/>
      </w:pPr>
      <w:r/>
      <w:hyperlink r:id="rId13">
        <w:r>
          <w:rPr>
            <w:color w:val="245B85"/>
            <w:sz w:val="20"/>
          </w:rPr>
          <w:t>https://link.springer.com/article/10.1007/s10680-025-09729-7</w:t>
        </w:r>
      </w:hyperlink>
    </w:p>
    <w:p>
      <w:pPr>
        <w:keepNext/>
      </w:pPr>
      <w:r>
        <w:t>[4] Lee B., Jeong B. Development of Grid Based Population Projection Method A Modified Cohort Component Approach Applied to South Korea. Population, Space and Place 32(1), e70161, 2026. Впервые онлайн 18.11.2025.</w:t>
      </w:r>
    </w:p>
    <w:p>
      <w:pPr>
        <w:spacing w:after="240"/>
      </w:pPr>
      <w:r/>
      <w:hyperlink r:id="rId14">
        <w:r>
          <w:rPr>
            <w:color w:val="245B85"/>
            <w:sz w:val="20"/>
          </w:rPr>
          <w:t>https://onlinelibrary.wiley.com/doi/full/10.1002/psp.70161</w:t>
        </w:r>
      </w:hyperlink>
    </w:p>
    <w:p>
      <w:pPr>
        <w:keepNext/>
      </w:pPr>
      <w:r>
        <w:t>[5] Béres A., Péterffy B. Spatially uneven service pressure under population decline evidence from Hungarian primary education. GeoJournal 91, 111. 09.07.2026.</w:t>
      </w:r>
    </w:p>
    <w:p>
      <w:pPr>
        <w:spacing w:after="240"/>
      </w:pPr>
      <w:r/>
      <w:hyperlink r:id="rId15">
        <w:r>
          <w:rPr>
            <w:color w:val="245B85"/>
            <w:sz w:val="20"/>
          </w:rPr>
          <w:t>https://link.springer.com/article/10.1007/s10708-026-11657-w</w:t>
        </w:r>
      </w:hyperlink>
    </w:p>
    <w:p>
      <w:pPr>
        <w:keepNext/>
      </w:pPr>
      <w:r>
        <w:t>[6] Kompil M., Proietti P., Dorati C., Jacobs-Crisioni C., Dijkstra L. Strong villages and towns understanding the determinants of population change in EU settlements. JRC Working Papers on Territorial Modelling and Analysis 04/2026. 19.06.2026. Рабочая статья.</w:t>
      </w:r>
    </w:p>
    <w:p>
      <w:pPr>
        <w:spacing w:after="240"/>
      </w:pPr>
      <w:r/>
      <w:hyperlink r:id="rId16">
        <w:r>
          <w:rPr>
            <w:color w:val="245B85"/>
            <w:sz w:val="20"/>
          </w:rPr>
          <w:t>https://publications.jrc.ec.europa.eu/repository/handle/JRC146884</w:t>
        </w:r>
      </w:hyperlink>
    </w:p>
    <w:p>
      <w:r>
        <w:br w:type="page"/>
      </w:r>
    </w:p>
    <w:p>
      <w:pPr>
        <w:pStyle w:val="Heading1"/>
      </w:pPr>
      <w:r>
        <w:t>Методические источники и данные</w:t>
      </w:r>
    </w:p>
    <w:p>
      <w:r>
        <w:t>Поиск выполнен по состоянию на 8 октября 2026 года. Номера соответствуют ссылкам в тексте; веб-ссылки активны.</w:t>
      </w:r>
    </w:p>
    <w:p>
      <w:pPr>
        <w:keepNext/>
      </w:pPr>
      <w:r>
        <w:t>[7] Sanderson W. C., Scherbov S. Faster Increases in Human Life Expectancy Could Lead to Slower Population Aging. PLOS ONE 10(4), e0121922. 15.04.2015.</w:t>
      </w:r>
    </w:p>
    <w:p>
      <w:pPr>
        <w:spacing w:after="240"/>
      </w:pPr>
      <w:r/>
      <w:hyperlink r:id="rId17">
        <w:r>
          <w:rPr>
            <w:color w:val="245B85"/>
            <w:sz w:val="20"/>
          </w:rPr>
          <w:t>https://journals.plos.org/plosone/article?id=10.1371/journal.pone.0121922</w:t>
        </w:r>
      </w:hyperlink>
    </w:p>
    <w:p>
      <w:pPr>
        <w:keepNext/>
      </w:pPr>
      <w:r>
        <w:t>[8] Luo W., Qi Y. An enhanced two step floating catchment area method for measuring spatial accessibility to primary care physicians. Health &amp; Place 15(4), 1100–1107, 2009. DOI 10.1016/j.healthplace.2009.06.002.</w:t>
      </w:r>
    </w:p>
    <w:p>
      <w:pPr>
        <w:spacing w:after="240"/>
      </w:pPr>
      <w:r/>
      <w:hyperlink r:id="rId18">
        <w:r>
          <w:rPr>
            <w:color w:val="245B85"/>
            <w:sz w:val="20"/>
          </w:rPr>
          <w:t>https://www.sciencedirect.com/science/article/pii/S1353829209000574</w:t>
        </w:r>
      </w:hyperlink>
    </w:p>
    <w:p>
      <w:pPr>
        <w:keepNext/>
      </w:pPr>
      <w:r>
        <w:t>[9] Riebler A., Sørbye S. H., Simpson D., Rue H. An intuitive Bayesian spatial model for disease mapping that accounts for scaling. Statistical Methods in Medical Research 25(4), 1145–1165, 2016. DOI 10.1177/0962280216660421.</w:t>
      </w:r>
    </w:p>
    <w:p>
      <w:pPr>
        <w:spacing w:after="240"/>
      </w:pPr>
      <w:r/>
      <w:hyperlink r:id="rId19">
        <w:r>
          <w:rPr>
            <w:color w:val="245B85"/>
            <w:sz w:val="20"/>
          </w:rPr>
          <w:t>https://arxiv.org/abs/1601.01180</w:t>
        </w:r>
      </w:hyperlink>
    </w:p>
    <w:p>
      <w:pPr>
        <w:keepNext/>
      </w:pPr>
      <w:r>
        <w:t>[10] U.S. Census Bureau. Demographic Analysis &amp; Population Projection System DAPPS 4.1. Релиз от 03.12.2025; официальное описание программного обеспечения.</w:t>
      </w:r>
    </w:p>
    <w:p>
      <w:pPr>
        <w:spacing w:after="240"/>
      </w:pPr>
      <w:r/>
      <w:hyperlink r:id="rId20">
        <w:r>
          <w:rPr>
            <w:color w:val="245B85"/>
            <w:sz w:val="20"/>
          </w:rPr>
          <w:t>https://www.census.gov/data/software/dapps.html</w:t>
        </w:r>
      </w:hyperlink>
    </w:p>
    <w:p>
      <w:pPr>
        <w:keepNext/>
      </w:pPr>
      <w:r>
        <w:t>[11] Башкортостанстат. Раздел Население. Каталог официальных таблиц; наличие позиций проверено по поисковой выдаче, сами выгрузки не сверялись.</w:t>
      </w:r>
    </w:p>
    <w:p>
      <w:pPr>
        <w:spacing w:after="240"/>
      </w:pPr>
      <w:r/>
      <w:hyperlink r:id="rId21">
        <w:r>
          <w:rPr>
            <w:color w:val="245B85"/>
            <w:sz w:val="20"/>
          </w:rPr>
          <w:t>https://02.rosstat.gov.ru/folder/25491</w:t>
        </w:r>
      </w:hyperlink>
    </w:p>
    <w:p>
      <w:pPr>
        <w:keepNext/>
      </w:pPr>
      <w:r>
        <w:t>[12] Башкортостанстат. Раздел Итоги переписи. Таблицы возрастно-полового состава по муниципальным районам и городским округам. Не путать дату публикации и дату наблюдения.</w:t>
      </w:r>
    </w:p>
    <w:p>
      <w:pPr>
        <w:spacing w:after="240"/>
      </w:pPr>
      <w:r/>
      <w:hyperlink r:id="rId22">
        <w:r>
          <w:rPr>
            <w:color w:val="245B85"/>
            <w:sz w:val="20"/>
          </w:rPr>
          <w:t>https://02.rosstat.gov.ru/folder/49063</w:t>
        </w:r>
      </w:hyperlink>
    </w:p>
    <w:p>
      <w:pPr>
        <w:keepNext/>
      </w:pPr>
      <w:r>
        <w:t>[13] Башкортостанстат. Муниципальная статистика и БД ПМО. Официальная точка входа; полнота отдельных показателей и периодов требует проверки.</w:t>
      </w:r>
    </w:p>
    <w:p>
      <w:pPr>
        <w:spacing w:after="240"/>
      </w:pPr>
      <w:r/>
      <w:hyperlink r:id="rId23">
        <w:r>
          <w:rPr>
            <w:color w:val="245B85"/>
            <w:sz w:val="20"/>
          </w:rPr>
          <w:t>https://02.rosstat.gov.ru/municipal_statistics</w:t>
        </w:r>
      </w:hyperlink>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Обзор на 8 октября 2026 года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ECONTYPES   /   Население и демографические изменения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emographic-research.org/articles/volume/54/23" TargetMode="External"/><Relationship Id="rId12" Type="http://schemas.openxmlformats.org/officeDocument/2006/relationships/hyperlink" Target="https://www150.statcan.gc.ca/n1/pub/17-20-0003/172000032026003-eng.htm" TargetMode="External"/><Relationship Id="rId13" Type="http://schemas.openxmlformats.org/officeDocument/2006/relationships/hyperlink" Target="https://link.springer.com/article/10.1007/s10680-025-09729-7" TargetMode="External"/><Relationship Id="rId14" Type="http://schemas.openxmlformats.org/officeDocument/2006/relationships/hyperlink" Target="https://onlinelibrary.wiley.com/doi/full/10.1002/psp.70161" TargetMode="External"/><Relationship Id="rId15" Type="http://schemas.openxmlformats.org/officeDocument/2006/relationships/hyperlink" Target="https://link.springer.com/article/10.1007/s10708-026-11657-w" TargetMode="External"/><Relationship Id="rId16" Type="http://schemas.openxmlformats.org/officeDocument/2006/relationships/hyperlink" Target="https://publications.jrc.ec.europa.eu/repository/handle/JRC146884" TargetMode="External"/><Relationship Id="rId17" Type="http://schemas.openxmlformats.org/officeDocument/2006/relationships/hyperlink" Target="https://journals.plos.org/plosone/article?id=10.1371/journal.pone.0121922" TargetMode="External"/><Relationship Id="rId18" Type="http://schemas.openxmlformats.org/officeDocument/2006/relationships/hyperlink" Target="https://www.sciencedirect.com/science/article/pii/S1353829209000574" TargetMode="External"/><Relationship Id="rId19" Type="http://schemas.openxmlformats.org/officeDocument/2006/relationships/hyperlink" Target="https://arxiv.org/abs/1601.01180" TargetMode="External"/><Relationship Id="rId20" Type="http://schemas.openxmlformats.org/officeDocument/2006/relationships/hyperlink" Target="https://www.census.gov/data/software/dapps.html" TargetMode="External"/><Relationship Id="rId21" Type="http://schemas.openxmlformats.org/officeDocument/2006/relationships/hyperlink" Target="https://02.rosstat.gov.ru/folder/25491" TargetMode="External"/><Relationship Id="rId22" Type="http://schemas.openxmlformats.org/officeDocument/2006/relationships/hyperlink" Target="https://02.rosstat.gov.ru/folder/49063" TargetMode="External"/><Relationship Id="rId23" Type="http://schemas.openxmlformats.org/officeDocument/2006/relationships/hyperlink" Target="https://02.rosstat.gov.ru/municipal_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Научные методы анализа населения для проекта econtypes</dc:title>
  <dc:subject>10 методов демографического анализа и прогнозирования</dc:subject>
  <dc:creator>Исследовательская записка для команды econtypes</dc:creator>
  <cp:keywords/>
  <dc:description>generated by python-docx</dc:description>
  <cp:lastModifiedBy/>
  <cp:revision>1</cp:revision>
  <dcterms:created xsi:type="dcterms:W3CDTF">2013-12-23T23:15:00Z</dcterms:created>
  <dcterms:modified xsi:type="dcterms:W3CDTF">2013-12-23T23:15:00Z</dcterms:modified>
  <cp:category/>
</cp:coreProperties>
</file>