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Современные научные методы</w:t>
        <w:br/>
        <w:t>для проекта econtypes</w:t>
      </w:r>
    </w:p>
    <w:p>
      <w:pPr>
        <w:pStyle w:val="Subtitle"/>
      </w:pPr>
      <w:r>
        <w:t>Машинное обучение и математический анализ МСП закупок и экономики муниципалитетов</w:t>
      </w:r>
    </w:p>
    <w:p>
      <w:r>
        <w:t>Исследовательская записка • 8 октября 2026 года</w:t>
      </w:r>
    </w:p>
    <w:p>
      <w:pPr>
        <w:pStyle w:val="Heading2"/>
      </w:pPr>
      <w:r>
        <w:t>Что предлагается включить в проект</w:t>
      </w:r>
    </w:p>
    <w:p>
      <w:r>
        <w:t>Первым расширением econtypes предлагаю сделать карту отраслевых возможностей: где есть подтверждённый закупочный спрос, какие местные предприятия потенциально способны его обслуживать и насколько надёжны эти выводы. Для этого полезнее всего сочетать отраслевую специализацию, байесовское сглаживание, близость отраслей и проверку качества сопоставления реестров.</w:t>
      </w:r>
    </w:p>
    <w:p>
      <w:r>
        <w:t>Следующий шаг — сравнить современные модели TabPFN и TabICLv2 с простыми моделями на одной заранее определённой задаче. К прогнозам нужно добавлять интервалы неопределённости. Графовые модели закупок и оценку эффекта мер поддержки имеет смысл подключать после проверки истории контрактов и доступности необходимых полей.</w:t>
      </w:r>
    </w:p>
    <w:p>
      <w:pPr>
        <w:pStyle w:val="Heading2"/>
      </w:pPr>
      <w:r>
        <w:t>Что находится в документе</w:t>
      </w:r>
    </w:p>
    <w:p>
      <w:r>
        <w:t>16 методов с формулами, расшифровкой обозначений, ограничениями и предложениями для проекта. Шесть направлений опираются на публикации 2025–2026 годов; остальные — на проверенные научные основания, без которых новые алгоритмы легко дают вводящие в заблуждение результаты. Все примеры с числами условные.</w:t>
      </w:r>
    </w:p>
    <w:p>
      <w:r>
        <w:t>Это отбор применимых работ, а не исчерпывающий обзор всей математики. Дата отсечения поиска — 08.10.2026. Рецензируемые статьи, технические отчёты и наши собственные адаптации обозначены отдельно. Наличие публикации или высокий результат на зарубежном тестовом наборе не доказывают качество метода на данных Башкортостана.</w:t>
      </w:r>
    </w:p>
    <w:p>
      <w:pPr>
        <w:pStyle w:val="Heading2"/>
      </w:pPr>
      <w:r>
        <w:t>Граница выполненной работы</w:t>
      </w:r>
    </w:p>
    <w:p>
      <w:r>
        <w:t>Учтена описанная в материалах проекта структура: 63 муниципалитета, 7 типов, 32 признака, 13 индексов и 990 пар корреляций; базовый период — 2023–2024 годы [20]. По вашему сообщению, обработка МСП завершена. Итоговые данные этой обработки в рамках данного обзора не пересчитывались; точность новых моделей здесь не измерялась.</w:t>
      </w:r>
    </w:p>
    <w:p>
      <w:r>
        <w:br w:type="page"/>
      </w:r>
    </w:p>
    <w:p>
      <w:pPr>
        <w:pStyle w:val="Heading1"/>
      </w:pPr>
      <w:r>
        <w:t>1 Карта методов и приоритетов</w:t>
      </w:r>
    </w:p>
    <w:p>
      <w:r>
        <w:t>А — внедрять расчётный прототип после проверки данных. Б — сравнивать в отдельном эксперименте. В — отложить до появления специальных данных. Приоритет отражает полезность для econtypes, а не мировой рейтинг алгоритмов.</w:t>
      </w:r>
    </w:p>
    <w:tbl>
      <w:tblPr>
        <w:tblW w:type="auto" w:w="0"/>
        <w:jc w:val="center"/>
        <w:tblLayout w:type="fixed"/>
        <w:tblLook w:firstColumn="1" w:firstRow="1" w:lastColumn="0" w:lastRow="0" w:noHBand="0" w:noVBand="1" w:val="04A0"/>
      </w:tblPr>
      <w:tblGrid>
        <w:gridCol w:w="518"/>
        <w:gridCol w:w="3197"/>
        <w:gridCol w:w="5357"/>
        <w:gridCol w:w="893"/>
      </w:tblGrid>
      <w:tr>
        <w:trPr>
          <w:cantSplit/>
          <w:tblHeader/>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Метод</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Задача проекта</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Этап</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1</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Сглаженная специализация</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Устойчивые профили МСП</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А</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2</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Экономическая сложность</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Разнообразие отраслевых сочетаний</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3</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Близость отраслей</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Реалистичная диверсификация</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А</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4</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Оценка закупочной возможности</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Отбор ниш для проверки</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А</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5</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Оптимальный транспорт</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Сценарий покрытия спроса</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6</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TabPFN 3.5</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Табличный прогноз</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7</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TabICLv2</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Модели на микроданных</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8</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Chronos 2</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Прогноз месячных рядов</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9</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Conformal и LSCP</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Интервалы прогноза</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10</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Графы с учётом пропусков</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Анализ закупочных связей</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В</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11</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Комбинация индикаторов риска</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Очередь ручной проверки</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12</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Double Machine Learning</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Оценка эффекта поддержки</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В</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13</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Synthetic DiD</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Сравнение до и после программы</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14</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Композиционный анализ</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Корректный анализ долей</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А</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15</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e BH</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Контроль ложных находок</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Б</w:t>
            </w:r>
          </w:p>
        </w:tc>
      </w:tr>
      <w:tr>
        <w:trPr>
          <w:cantSplit/>
        </w:trPr>
        <w:tc>
          <w:tcPr>
            <w:tcW w:type="dxa" w:w="51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16</w:t>
            </w:r>
          </w:p>
        </w:tc>
        <w:tc>
          <w:tcPr>
            <w:tcW w:type="dxa" w:w="319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Символьная регрессия</w:t>
            </w:r>
          </w:p>
        </w:tc>
        <w:tc>
          <w:tcPr>
            <w:tcW w:type="dxa" w:w="5357"/>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Поиск простой проверяемой формулы</w:t>
            </w:r>
          </w:p>
        </w:tc>
        <w:tc>
          <w:tcPr>
            <w:tcW w:type="dxa" w:w="89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Б</w:t>
            </w:r>
          </w:p>
        </w:tc>
      </w:tr>
    </w:tbl>
    <w:p>
      <w:pPr>
        <w:spacing w:after="20"/>
      </w:pPr>
      <w:r/>
    </w:p>
    <w:p>
      <w:r>
        <w:t>На 63 строках главные ориентиры — простая регуляризованная модель, устойчивость к исключению одного муниципалитета и понятная экономическая интерпретация. Повторение тех же 63 территорий по месяцам не создаёт столько же независимых наблюдений, сколько строк получается в таблице.</w:t>
      </w:r>
    </w:p>
    <w:p>
      <w:r>
        <w:br w:type="page"/>
      </w:r>
    </w:p>
    <w:p>
      <w:pPr>
        <w:pStyle w:val="Heading1"/>
      </w:pPr>
      <w:r>
        <w:t>2 Что нового в исследованиях 2025 и 2026 годов</w:t>
      </w:r>
    </w:p>
    <w:tbl>
      <w:tblPr>
        <w:tblW w:type="auto" w:w="0"/>
        <w:jc w:val="center"/>
        <w:tblLayout w:type="fixed"/>
        <w:tblLook w:firstColumn="1" w:firstRow="1" w:lastColumn="0" w:lastRow="0" w:noHBand="0" w:noVBand="1" w:val="04A0"/>
      </w:tblPr>
      <w:tblGrid>
        <w:gridCol w:w="2088"/>
        <w:gridCol w:w="3830"/>
        <w:gridCol w:w="4046"/>
      </w:tblGrid>
      <w:tr>
        <w:trPr>
          <w:cantSplit/>
          <w:tblHeader/>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Разработка</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Проверенная дата и статус</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Что полезно проекту</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TabPFN 3.5 [2]</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15.09.2026; версия от 22.09.2026. Технический отчёт arXiv.</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Новый кандидат для табличного прогноза; проверять отдельно от версии из Nature 2025 [1].</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TabICLv2 [4]</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ICML 2026, 6–11 июля. Рецензируемая конференция.</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Классификация и регрессия на больших таблицах; для 63 строк доказательств пока недостаточно [5].</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LSCP [7]</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ICML 2026, 6–11 июля. Рецензируемая конференция.</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Прогнозные интервалы, учитывающие пространственную неоднородность.</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M²DG [9]</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IEEE Access, опубликовано 15.06.2026. Журнальная статья.</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Граф закупок с учётом пропусков и надёжности сообщений.</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Многострановой закупочный скрининг [10]</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International Journal of Industrial Organization, январь 2026.</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Проверка комбинации индикаторов на 73 картелях из 7 европейских стран.</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Chronos 2 [6]</w:t>
            </w:r>
          </w:p>
        </w:tc>
        <w:tc>
          <w:tcPr>
            <w:tcW w:type="dxa" w:w="383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17.10.2025. Технический отчёт arXiv.</w:t>
            </w:r>
          </w:p>
        </w:tc>
        <w:tc>
          <w:tcPr>
            <w:tcW w:type="dxa" w:w="404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Предобученный прогноз взаимосвязанных рядов с дополнительными признаками.</w:t>
            </w:r>
          </w:p>
        </w:tc>
      </w:tr>
    </w:tbl>
    <w:p>
      <w:pPr>
        <w:spacing w:after="20"/>
      </w:pPr>
      <w:r/>
    </w:p>
    <w:p>
      <w:pPr>
        <w:pStyle w:val="Heading2"/>
      </w:pPr>
      <w:r>
        <w:t>Какие результаты являются математическими</w:t>
      </w:r>
    </w:p>
    <w:p>
      <w:r>
        <w:t>LSCP исследует условия покрытия прогнозных интервалов при пространственной зависимости. Теория e-values даёт способ контролировать долю ложных открытий даже при зависимых тестах. Это результаты об условиях и гарантиях статистических процедур. TabPFN, TabICL и Chronos — новые модели и алгоритмы с экспериментальными результатами; их нельзя представлять как универсально доказанные законы экономики.</w:t>
      </w:r>
    </w:p>
    <w:p>
      <w:r>
        <w:t>Для каждой карточки ниже общая формула метода отделена от предлагаемого применения. Там, где приведена упрощённая схема сложной нейросети, она так и названа. Новая формула, придуманная для проекта, не выдаётся за опубликованное научное открытие.</w:t>
      </w:r>
    </w:p>
    <w:p>
      <w:r>
        <w:br w:type="page"/>
      </w:r>
    </w:p>
    <w:p>
      <w:pPr>
        <w:pStyle w:val="Heading1"/>
      </w:pPr>
      <w:r>
        <w:t>3 Метод 1 Сглаженная отраслевая специализация</w:t>
      </w:r>
    </w:p>
    <w:p>
      <w:r>
        <w:t>Статус: проверенная статистическая основа. Приоритет А. Идеи RCA и частичного объединения оценок — [11, 13].</w:t>
      </w:r>
    </w:p>
    <w:p>
      <w:r>
        <w:t>Обычный коэффициент локализации показывает, насколько доля отрасли в муниципалитете выше её доли в регионе. В малом муниципалитете одна фирма может резко изменить коэффициент. Байесовское сглаживание уменьшает такие скачки.</w:t>
      </w:r>
    </w:p>
    <w:p>
      <w:pPr>
        <w:spacing w:before="140" w:after="180"/>
        <w:jc w:val="center"/>
      </w:pPr>
      <m:oMath>
        <m:r>
          <w:rPr>
            <w:rFonts w:ascii="Cambria Math" w:hAnsi="Cambria Math"/>
          </w:rPr>
          <m:t xml:space="preserve">L</m:t>
        </m:r>
        <m:sSub>
          <m:e>
            <m:r>
              <w:rPr>
                <w:rFonts w:ascii="Cambria Math" w:hAnsi="Cambria Math"/>
              </w:rPr>
              <m:t xml:space="preserve">Q</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m:t>
                </m:r>
              </m:sub>
            </m:sSub>
          </m:num>
          <m:den>
            <m:sSub>
              <m:e>
                <m:r>
                  <w:rPr>
                    <w:rFonts w:ascii="Cambria Math" w:hAnsi="Cambria Math"/>
                  </w:rPr>
                  <m:t xml:space="preserve">p</m:t>
                </m:r>
              </m:e>
              <m:sub>
                <m:r>
                  <w:rPr>
                    <w:rFonts w:ascii="Cambria Math" w:hAnsi="Cambria Math"/>
                  </w:rPr>
                  <m:t xml:space="preserve">k</m:t>
                </m:r>
              </m:sub>
            </m:sSub>
          </m:den>
        </m:f>
        <m:r>
          <w:rPr>
            <w:rFonts w:ascii="Cambria Math" w:hAnsi="Cambria Math"/>
          </w:rPr>
          <m:t xml:space="preserve">,</m:t>
        </m:r>
        <m:r>
          <w:rPr>
            <w:rFonts w:ascii="Cambria Math" w:hAnsi="Cambria Math"/>
          </w:rPr>
          <m:t xml:space="preserve">    </m:t>
        </m:r>
        <m:r>
          <w:rPr>
            <w:rFonts w:ascii="Cambria Math" w:hAnsi="Cambria Math"/>
          </w:rPr>
          <m:t xml:space="preserve"> </m:t>
        </m:r>
        <m:sSub>
          <m:e>
            <m:acc>
              <m:accPr>
                <m:chr m:val="̃"/>
              </m:accPr>
              <m:e>
                <m:r>
                  <w:rPr>
                    <w:rFonts w:ascii="Cambria Math" w:hAnsi="Cambria Math"/>
                  </w:rPr>
                  <m:t xml:space="preserve">p</m:t>
                </m:r>
              </m:e>
            </m:acc>
          </m:e>
          <m:sub>
            <m:r>
              <w:rPr>
                <w:rFonts w:ascii="Cambria Math" w:hAnsi="Cambria Math"/>
              </w:rPr>
              <m:t xml:space="preserve">m</m:t>
            </m:r>
            <m:r>
              <w:rPr>
                <w:rFonts w:ascii="Cambria Math" w:hAnsi="Cambria Math"/>
              </w:rPr>
              <m:t xml:space="preserve">k</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r>
              <w:rPr>
                <w:rFonts w:ascii="Cambria Math" w:hAnsi="Cambria Math"/>
              </w:rPr>
              <m:t xml:space="preserve">λ</m:t>
            </m:r>
            <m:r>
              <w:rPr>
                <w:rFonts w:ascii="Cambria Math" w:hAnsi="Cambria Math"/>
              </w:rPr>
              <m:t xml:space="preserve"> </m:t>
            </m:r>
            <m:sSub>
              <m:e>
                <m:r>
                  <w:rPr>
                    <w:rFonts w:ascii="Cambria Math" w:hAnsi="Cambria Math"/>
                  </w:rPr>
                  <m:t xml:space="preserve">p</m:t>
                </m:r>
              </m:e>
              <m:sub>
                <m:r>
                  <w:rPr>
                    <w:rFonts w:ascii="Cambria Math" w:hAnsi="Cambria Math"/>
                  </w:rPr>
                  <m:t xml:space="preserve">k</m:t>
                </m:r>
              </m:sub>
            </m:sSub>
          </m:num>
          <m:den>
            <m:sSub>
              <m:e>
                <m:r>
                  <w:rPr>
                    <w:rFonts w:ascii="Cambria Math" w:hAnsi="Cambria Math"/>
                  </w:rPr>
                  <m:t xml:space="preserve">n</m:t>
                </m:r>
              </m:e>
              <m:sub>
                <m:r>
                  <w:rPr>
                    <w:rFonts w:ascii="Cambria Math" w:hAnsi="Cambria Math"/>
                  </w:rPr>
                  <m:t xml:space="preserve">m</m:t>
                </m:r>
              </m:sub>
            </m:sSub>
            <m:r>
              <w:rPr>
                <w:rFonts w:ascii="Cambria Math" w:hAnsi="Cambria Math"/>
              </w:rPr>
              <m:t xml:space="preserve">+</m:t>
            </m:r>
            <m:r>
              <w:rPr>
                <w:rFonts w:ascii="Cambria Math" w:hAnsi="Cambria Math"/>
              </w:rPr>
              <m:t xml:space="preserve">λ</m:t>
            </m:r>
          </m:den>
        </m:f>
        <m:r>
          <w:rPr>
            <w:rFonts w:ascii="Cambria Math" w:hAnsi="Cambria Math"/>
          </w:rPr>
          <m:t xml:space="preserve">,</m:t>
        </m:r>
        <m:r>
          <w:rPr>
            <w:rFonts w:ascii="Cambria Math" w:hAnsi="Cambria Math"/>
          </w:rPr>
          <m:t xml:space="preserve">    </m:t>
        </m:r>
        <m:r>
          <w:rPr>
            <w:rFonts w:ascii="Cambria Math" w:hAnsi="Cambria Math"/>
          </w:rPr>
          <m:t xml:space="preserve"> </m:t>
        </m:r>
        <m:sSub>
          <m:e>
            <m:acc>
              <m:accPr>
                <m:chr m:val="̃"/>
              </m:accPr>
              <m:e>
                <m:r>
                  <w:rPr>
                    <w:rFonts w:ascii="Cambria Math" w:hAnsi="Cambria Math"/>
                  </w:rPr>
                  <m:t xml:space="preserve">L</m:t>
                </m:r>
                <m:r>
                  <w:rPr>
                    <w:rFonts w:ascii="Cambria Math" w:hAnsi="Cambria Math"/>
                  </w:rPr>
                  <m:t xml:space="preserve">Q</m:t>
                </m:r>
              </m:e>
            </m:acc>
          </m:e>
          <m:sub>
            <m:r>
              <w:rPr>
                <w:rFonts w:ascii="Cambria Math" w:hAnsi="Cambria Math"/>
              </w:rPr>
              <m:t xml:space="preserve">m</m:t>
            </m:r>
            <m:r>
              <w:rPr>
                <w:rFonts w:ascii="Cambria Math" w:hAnsi="Cambria Math"/>
              </w:rPr>
              <m:t xml:space="preserve">k</m:t>
            </m:r>
          </m:sub>
        </m:sSub>
        <m:r>
          <w:rPr>
            <w:rFonts w:ascii="Cambria Math" w:hAnsi="Cambria Math"/>
          </w:rPr>
          <m:t xml:space="preserve">=</m:t>
        </m:r>
        <m:f>
          <m:num>
            <m:sSub>
              <m:e>
                <m:acc>
                  <m:accPr>
                    <m:chr m:val="̃"/>
                  </m:accPr>
                  <m:e>
                    <m:r>
                      <w:rPr>
                        <w:rFonts w:ascii="Cambria Math" w:hAnsi="Cambria Math"/>
                      </w:rPr>
                      <m:t xml:space="preserve">p</m:t>
                    </m:r>
                  </m:e>
                </m:acc>
              </m:e>
              <m:sub>
                <m:r>
                  <w:rPr>
                    <w:rFonts w:ascii="Cambria Math" w:hAnsi="Cambria Math"/>
                  </w:rPr>
                  <m:t xml:space="preserve">m</m:t>
                </m:r>
                <m:r>
                  <w:rPr>
                    <w:rFonts w:ascii="Cambria Math" w:hAnsi="Cambria Math"/>
                  </w:rPr>
                  <m:t xml:space="preserve">k</m:t>
                </m:r>
              </m:sub>
            </m:sSub>
          </m:num>
          <m:den>
            <m:sSub>
              <m:e>
                <m:r>
                  <w:rPr>
                    <w:rFonts w:ascii="Cambria Math" w:hAnsi="Cambria Math"/>
                  </w:rPr>
                  <m:t xml:space="preserve">p</m:t>
                </m:r>
              </m:e>
              <m:sub>
                <m:r>
                  <w:rPr>
                    <w:rFonts w:ascii="Cambria Math" w:hAnsi="Cambria Math"/>
                  </w:rPr>
                  <m:t xml:space="preserve">k</m:t>
                </m:r>
              </m:sub>
            </m:sSub>
          </m:den>
        </m:f>
      </m:oMath>
    </w:p>
    <w:p>
      <w:r/>
      <w:r>
        <w:rPr>
          <w:b/>
        </w:rPr>
        <w:t xml:space="preserve">Обозначения. </w:t>
      </w:r>
      <w:r>
        <w:t>m — муниципалитет; k — отрасль; nₘₖ — число предприятий этой отрасли; nₘ — число всех предприятий выбранного охвата; pₖ — региональная доля отрасли; λ — сила сглаживания. Это среднее апостериорной доли при согласованной модели Дирихле — мультиномиальное распределение.</w:t>
      </w:r>
    </w:p>
    <w:p>
      <w:r/>
      <w:r>
        <w:rPr>
          <w:b/>
        </w:rPr>
        <w:t xml:space="preserve">Применение в econtypes. </w:t>
      </w:r>
      <w:r>
        <w:t>Считать на один и тот же снимок МСП, сначала по основному ОКВЭД на устойчивом уровне группировки. Дополнительные ОКВЭД анализировать отдельно: многократный учёт одной фирмы меняет смысл долей. Параллельно показывать абсолютное число фирм и, где есть корректные данные, занятость.</w:t>
      </w:r>
    </w:p>
    <w:p>
      <w:r/>
      <w:r>
        <w:rPr>
          <w:b/>
        </w:rPr>
        <w:t xml:space="preserve">Условный пример. </w:t>
      </w:r>
      <w:r>
        <w:t>В отрасли 8 из 40 местных фирм, региональная доля 10%. Обычный LQ равен 2. При λ = 60 сглаженная доля составляет (8 + 6) / 100 = 14%, а LQ — 1,4. Значение λ = 60 взято только для иллюстрации; в проекте его выбирают по модели или проверяют диапазон значений.</w:t>
      </w:r>
    </w:p>
    <w:p>
      <w:r/>
      <w:r>
        <w:rPr>
          <w:b/>
        </w:rPr>
        <w:t xml:space="preserve">Что получим. </w:t>
      </w:r>
      <w:r>
        <w:t>Карту специализации с пометками «мало наблюдений», интервалы для отраслевых долей и список профилей, устойчивых к сглаживанию. Региональную базу и правила включения фирм фиксируем в паспорте расчёта.</w:t>
      </w:r>
    </w:p>
    <w:p>
      <w:r/>
      <w:r>
        <w:rPr>
          <w:b/>
        </w:rPr>
        <w:t xml:space="preserve">Ограничение. </w:t>
      </w:r>
      <w:r>
        <w:t>Регистрация фирмы не доказывает производство в данном месте. Сглаживание не восстанавливает отсутствующие предприятия. При pₖ = 0 коэффициент не определён; такую отрасль надо исключить или укрупнить, а не делить на искусственно малое число.</w:t>
      </w:r>
    </w:p>
    <w:p>
      <w:r>
        <w:br w:type="page"/>
      </w:r>
    </w:p>
    <w:p>
      <w:pPr>
        <w:pStyle w:val="Heading1"/>
      </w:pPr>
      <w:r>
        <w:t>4 Метод 2 Экономическая сложность</w:t>
      </w:r>
    </w:p>
    <w:p>
      <w:r>
        <w:t>Статус: научная основа 2009 года, наша муниципальная адаптация. Приоритет Б. Источник — Hidalgo и Hausmann [11].</w:t>
      </w:r>
    </w:p>
    <w:p>
      <w:r>
        <w:t>Идея экономической сложности — учитывать одновременно разнообразие специализаций территории и распространённость этих специализаций у других территорий. Это позволяет отличать одинаковое число отраслей с разной структурой сочетаний.</w:t>
      </w:r>
    </w:p>
    <w:p>
      <w:pPr>
        <w:spacing w:before="140" w:after="180"/>
        <w:jc w:val="center"/>
      </w:pPr>
      <m:oMath>
        <m:sSub>
          <m:e>
            <m:r>
              <w:rPr>
                <w:rFonts w:ascii="Cambria Math" w:hAnsi="Cambria Math"/>
              </w:rPr>
              <m:t xml:space="preserve">M</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L</m:t>
        </m:r>
        <m:sSub>
          <m:e>
            <m:r>
              <w:rPr>
                <w:rFonts w:ascii="Cambria Math" w:hAnsi="Cambria Math"/>
              </w:rPr>
              <m:t xml:space="preserve">Q</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d</m:t>
            </m:r>
          </m:e>
          <m:sub>
            <m:r>
              <w:rPr>
                <w:rFonts w:ascii="Cambria Math" w:hAnsi="Cambria Math"/>
              </w:rPr>
              <m:t xml:space="preserve">m</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k</m:t>
            </m:r>
          </m:sub>
        </m:sSub>
        <m:r>
          <w:rPr>
            <w:rFonts w:ascii="Cambria Math" w:hAnsi="Cambria Math"/>
          </w:rPr>
          <m:t xml:space="preserve"> </m:t>
        </m:r>
        <m:sSub>
          <m:e>
            <m:r>
              <w:rPr>
                <w:rFonts w:ascii="Cambria Math" w:hAnsi="Cambria Math"/>
              </w:rPr>
              <m:t xml:space="preserve">M</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m</m:t>
            </m:r>
          </m:sub>
        </m:sSub>
        <m:r>
          <w:rPr>
            <w:rFonts w:ascii="Cambria Math" w:hAnsi="Cambria Math"/>
          </w:rPr>
          <m:t xml:space="preserve"> </m:t>
        </m:r>
        <m:sSub>
          <m:e>
            <m:r>
              <w:rPr>
                <w:rFonts w:ascii="Cambria Math" w:hAnsi="Cambria Math"/>
              </w:rPr>
              <m:t xml:space="preserve">M</m:t>
            </m:r>
          </m:e>
          <m:sub>
            <m:r>
              <w:rPr>
                <w:rFonts w:ascii="Cambria Math" w:hAnsi="Cambria Math"/>
              </w:rPr>
              <m:t xml:space="preserve">m</m:t>
            </m:r>
            <m:r>
              <w:rPr>
                <w:rFonts w:ascii="Cambria Math" w:hAnsi="Cambria Math"/>
              </w:rPr>
              <m:t xml:space="preserve">k</m:t>
            </m:r>
          </m:sub>
        </m:sSub>
      </m:oMath>
    </w:p>
    <w:p>
      <w:pPr>
        <w:spacing w:before="140" w:after="180"/>
        <w:jc w:val="center"/>
      </w:pPr>
      <m:oMath>
        <m:sSub>
          <m:e>
            <m:r>
              <w:rPr>
                <w:rFonts w:ascii="Cambria Math" w:hAnsi="Cambria Math"/>
              </w:rPr>
              <m:t xml:space="preserve">T</m:t>
            </m:r>
          </m:e>
          <m:sub>
            <m:r>
              <w:rPr>
                <w:rFonts w:ascii="Cambria Math" w:hAnsi="Cambria Math"/>
              </w:rPr>
              <m:t xml:space="preserve">m</m:t>
            </m:r>
            <m:sSup>
              <m:e>
                <m:r>
                  <w:rPr>
                    <w:rFonts w:ascii="Cambria Math" w:hAnsi="Cambria Math"/>
                  </w:rPr>
                  <m:t xml:space="preserve">m</m:t>
                </m:r>
              </m:e>
              <m:sup>
                <m:r>
                  <w:rPr>
                    <w:rFonts w:ascii="Cambria Math" w:hAnsi="Cambria Math"/>
                  </w:rPr>
                  <m:t xml:space="preserve">′</m:t>
                </m:r>
              </m:sup>
            </m:sSup>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d</m:t>
                </m:r>
              </m:e>
              <m:sub>
                <m:r>
                  <w:rPr>
                    <w:rFonts w:ascii="Cambria Math" w:hAnsi="Cambria Math"/>
                  </w:rPr>
                  <m:t xml:space="preserve">m</m:t>
                </m:r>
              </m:sub>
            </m:sSub>
          </m:den>
        </m:f>
        <m:sSub>
          <m:e>
            <m:r>
              <w:rPr>
                <w:rFonts w:ascii="Cambria Math" w:hAnsi="Cambria Math"/>
              </w:rPr>
              <m:t xml:space="preserve">∑</m:t>
            </m:r>
          </m:e>
          <m:sub>
            <m:r>
              <w:rPr>
                <w:rFonts w:ascii="Cambria Math" w:hAnsi="Cambria Math"/>
              </w:rPr>
              <m:t xml:space="preserve">k</m:t>
            </m:r>
          </m:sub>
        </m:sSub>
        <m:f>
          <m:num>
            <m:sSub>
              <m:e>
                <m:r>
                  <w:rPr>
                    <w:rFonts w:ascii="Cambria Math" w:hAnsi="Cambria Math"/>
                  </w:rPr>
                  <m:t xml:space="preserve">M</m:t>
                </m:r>
              </m:e>
              <m:sub>
                <m:r>
                  <w:rPr>
                    <w:rFonts w:ascii="Cambria Math" w:hAnsi="Cambria Math"/>
                  </w:rPr>
                  <m:t xml:space="preserve">m</m:t>
                </m:r>
                <m:r>
                  <w:rPr>
                    <w:rFonts w:ascii="Cambria Math" w:hAnsi="Cambria Math"/>
                  </w:rPr>
                  <m:t xml:space="preserve">k</m:t>
                </m:r>
              </m:sub>
            </m:sSub>
            <m:sSub>
              <m:e>
                <m:r>
                  <w:rPr>
                    <w:rFonts w:ascii="Cambria Math" w:hAnsi="Cambria Math"/>
                  </w:rPr>
                  <m:t xml:space="preserve">M</m:t>
                </m:r>
              </m:e>
              <m:sub>
                <m:sSup>
                  <m:e>
                    <m:r>
                      <w:rPr>
                        <w:rFonts w:ascii="Cambria Math" w:hAnsi="Cambria Math"/>
                      </w:rPr>
                      <m:t xml:space="preserve">m</m:t>
                    </m:r>
                  </m:e>
                  <m:sup>
                    <m:r>
                      <w:rPr>
                        <w:rFonts w:ascii="Cambria Math" w:hAnsi="Cambria Math"/>
                      </w:rPr>
                      <m:t xml:space="preserve">′</m:t>
                    </m:r>
                  </m:sup>
                </m:sSup>
                <m:r>
                  <w:rPr>
                    <w:rFonts w:ascii="Cambria Math" w:hAnsi="Cambria Math"/>
                  </w:rPr>
                  <m:t xml:space="preserve"> </m:t>
                </m:r>
                <m:r>
                  <w:rPr>
                    <w:rFonts w:ascii="Cambria Math" w:hAnsi="Cambria Math"/>
                  </w:rPr>
                  <m:t xml:space="preserve">k</m:t>
                </m:r>
              </m:sub>
            </m:sSub>
          </m:num>
          <m:den>
            <m:sSub>
              <m:e>
                <m:r>
                  <w:rPr>
                    <w:rFonts w:ascii="Cambria Math" w:hAnsi="Cambria Math"/>
                  </w:rPr>
                  <m:t xml:space="preserve">u</m:t>
                </m:r>
              </m:e>
              <m:sub>
                <m:r>
                  <w:rPr>
                    <w:rFonts w:ascii="Cambria Math" w:hAnsi="Cambria Math"/>
                  </w:rPr>
                  <m:t xml:space="preserve">k</m:t>
                </m:r>
              </m:sub>
            </m:sSub>
          </m:den>
        </m:f>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E</m:t>
        </m:r>
        <m:r>
          <w:rPr>
            <w:rFonts w:ascii="Cambria Math" w:hAnsi="Cambria Math"/>
          </w:rPr>
          <m:t xml:space="preserve">C</m:t>
        </m:r>
        <m:sSub>
          <m:e>
            <m:r>
              <w:rPr>
                <w:rFonts w:ascii="Cambria Math" w:hAnsi="Cambria Math"/>
              </w:rPr>
              <m:t xml:space="preserve">I</m:t>
            </m:r>
          </m:e>
          <m:sub>
            <m:r>
              <w:rPr>
                <w:rFonts w:ascii="Cambria Math" w:hAnsi="Cambria Math"/>
              </w:rPr>
              <m:t xml:space="preserve">m</m:t>
            </m:r>
          </m:sub>
        </m:sSub>
        <m:r>
          <w:rPr>
            <w:rFonts w:ascii="Cambria Math" w:hAnsi="Cambria Math"/>
          </w:rPr>
          <m:t xml:space="preserve">=</m:t>
        </m:r>
        <m:f>
          <m:num>
            <m:sSub>
              <m:e>
                <m:r>
                  <w:rPr>
                    <w:rFonts w:ascii="Cambria Math" w:hAnsi="Cambria Math"/>
                  </w:rPr>
                  <m:t xml:space="preserve">v</m:t>
                </m:r>
              </m:e>
              <m:sub>
                <m:r>
                  <w:rPr>
                    <w:rFonts w:ascii="Cambria Math" w:hAnsi="Cambria Math"/>
                  </w:rPr>
                  <m:t xml:space="preserve">m</m:t>
                </m:r>
              </m:sub>
            </m:sSub>
            <m:r>
              <w:rPr>
                <w:rFonts w:ascii="Cambria Math" w:hAnsi="Cambria Math"/>
              </w:rPr>
              <m:t xml:space="preserve">-</m:t>
            </m:r>
            <m:acc>
              <m:accPr>
                <m:chr m:val="̄"/>
              </m:accPr>
              <m:e>
                <m:r>
                  <w:rPr>
                    <w:rFonts w:ascii="Cambria Math" w:hAnsi="Cambria Math"/>
                  </w:rPr>
                  <m:t xml:space="preserve">v</m:t>
                </m:r>
              </m:e>
            </m:acc>
          </m:num>
          <m:den>
            <m:sSub>
              <m:e>
                <m:r>
                  <w:rPr>
                    <w:rFonts w:ascii="Cambria Math" w:hAnsi="Cambria Math"/>
                  </w:rPr>
                  <m:t xml:space="preserve">s</m:t>
                </m:r>
              </m:e>
              <m:sub>
                <m:r>
                  <w:rPr>
                    <w:rFonts w:ascii="Cambria Math" w:hAnsi="Cambria Math"/>
                  </w:rPr>
                  <m:t xml:space="preserve">v</m:t>
                </m:r>
              </m:sub>
            </m:sSub>
          </m:den>
        </m:f>
      </m:oMath>
    </w:p>
    <w:p>
      <w:r/>
      <w:r>
        <w:rPr>
          <w:b/>
        </w:rPr>
        <w:t xml:space="preserve">Обозначения. </w:t>
      </w:r>
      <w:r>
        <w:t>M — бинарная матрица специализаций; d — число специализаций территории; u — распространённость отрасли; T — оператор двух шагов по сети «территория — отрасль»; v — нетривиальный собственный вектор T, соответствующий второму по величине собственному значению. Среднее и стандартное отклонение v обозначены v̄ и sᵥ.</w:t>
      </w:r>
    </w:p>
    <w:p>
      <w:r/>
      <w:r>
        <w:rPr>
          <w:b/>
        </w:rPr>
        <w:t xml:space="preserve">Применение в econtypes. </w:t>
      </w:r>
      <w:r>
        <w:t>Построить экспериментальный индекс структуры МСП по основной деятельности. Называть его муниципальной адаптацией ECI по зарегистрированным МСП: исходная экспортная интерпретация показателя сюда автоматически не переносится. Рассчитать рядом число отраслей и концентрацию, чтобы было видно, какую дополнительную информацию даёт ECI.</w:t>
      </w:r>
    </w:p>
    <w:p>
      <w:r/>
      <w:r>
        <w:rPr>
          <w:b/>
        </w:rPr>
        <w:t xml:space="preserve">Проверка. </w:t>
      </w:r>
      <w:r>
        <w:t>Сравнить результат на нескольких уровнях ОКВЭД и порогах LQ; повторить с исключением Уфы и по доступным историческим снимкам. Знак собственного вектора фиксировать один раз по прозрачному правилу и сохранять для сопоставлений. Для динамики нужна общая база или явное выравнивание шкал.</w:t>
      </w:r>
    </w:p>
    <w:p>
      <w:r/>
      <w:r>
        <w:rPr>
          <w:b/>
        </w:rPr>
        <w:t xml:space="preserve">Ограничение. </w:t>
      </w:r>
      <w:r>
        <w:t>Удалить нулевые строки и столбцы с объяснением причин. При несвязной сети или почти кратных собственных значениях ранги могут быть неустойчивыми. Не трактовать ECI как прямую меру доходов, технологичности или будущего роста без отдельной проверки этих связей.</w:t>
      </w:r>
    </w:p>
    <w:p>
      <w:r>
        <w:br w:type="page"/>
      </w:r>
    </w:p>
    <w:p>
      <w:pPr>
        <w:pStyle w:val="Heading1"/>
      </w:pPr>
      <w:r>
        <w:t>5 Метод 3 Близость отраслей и диверсификация</w:t>
      </w:r>
    </w:p>
    <w:p>
      <w:r>
        <w:t>Статус: проверенная исследовательская линия, публикация о принципе relatedness — 2018. Приоритет А. Источник [12].</w:t>
      </w:r>
    </w:p>
    <w:p>
      <w:r>
        <w:t>Если в территории уже присутствуют отрасли, часто встречающиеся вместе с целевой отраслью, появление нового направления может быть реалистичнее. Близость здесь означает совместную встречаемость специализаций; технологическую совместимость нужно проверять отдельно.</w:t>
      </w:r>
    </w:p>
    <w:p>
      <w:pPr>
        <w:spacing w:before="140" w:after="180"/>
        <w:jc w:val="center"/>
      </w:pPr>
      <m:oMath>
        <m:sSub>
          <m:e>
            <m:r>
              <w:rPr>
                <w:rFonts w:ascii="Cambria Math" w:hAnsi="Cambria Math"/>
              </w:rPr>
              <m:t xml:space="preserve">φ</m:t>
            </m:r>
          </m:e>
          <m:sub>
            <m:r>
              <w:rPr>
                <w:rFonts w:ascii="Cambria Math" w:hAnsi="Cambria Math"/>
              </w:rPr>
              <m:t xml:space="preserve">k</m:t>
            </m:r>
            <m:r>
              <w:rPr>
                <w:rFonts w:ascii="Cambria Math" w:hAnsi="Cambria Math"/>
              </w:rPr>
              <m:t xml:space="preserve">l</m:t>
            </m:r>
          </m:sub>
        </m:sSub>
        <m:r>
          <w:rPr>
            <w:rFonts w:ascii="Cambria Math" w:hAnsi="Cambria Math"/>
          </w:rPr>
          <m:t xml:space="preserve">=</m:t>
        </m:r>
        <m:f>
          <m:num>
            <m:sSub>
              <m:e>
                <m:r>
                  <w:rPr>
                    <w:rFonts w:ascii="Cambria Math" w:hAnsi="Cambria Math"/>
                  </w:rPr>
                  <m:t xml:space="preserve">∑</m:t>
                </m:r>
              </m:e>
              <m:sub>
                <m:r>
                  <w:rPr>
                    <w:rFonts w:ascii="Cambria Math" w:hAnsi="Cambria Math"/>
                  </w:rPr>
                  <m:t xml:space="preserve">m</m:t>
                </m:r>
              </m:sub>
            </m:sSub>
            <m:r>
              <w:rPr>
                <w:rFonts w:ascii="Cambria Math" w:hAnsi="Cambria Math"/>
              </w:rPr>
              <m:t xml:space="preserve"> </m:t>
            </m:r>
            <m:sSub>
              <m:e>
                <m:r>
                  <w:rPr>
                    <w:rFonts w:ascii="Cambria Math" w:hAnsi="Cambria Math"/>
                  </w:rPr>
                  <m:t xml:space="preserve">M</m:t>
                </m:r>
              </m:e>
              <m:sub>
                <m:r>
                  <w:rPr>
                    <w:rFonts w:ascii="Cambria Math" w:hAnsi="Cambria Math"/>
                  </w:rPr>
                  <m:t xml:space="preserve">m</m:t>
                </m:r>
                <m:r>
                  <w:rPr>
                    <w:rFonts w:ascii="Cambria Math" w:hAnsi="Cambria Math"/>
                  </w:rPr>
                  <m:t xml:space="preserve">k</m:t>
                </m:r>
              </m:sub>
            </m:sSub>
            <m:sSub>
              <m:e>
                <m:r>
                  <w:rPr>
                    <w:rFonts w:ascii="Cambria Math" w:hAnsi="Cambria Math"/>
                  </w:rPr>
                  <m:t xml:space="preserve">M</m:t>
                </m:r>
              </m:e>
              <m:sub>
                <m:r>
                  <w:rPr>
                    <w:rFonts w:ascii="Cambria Math" w:hAnsi="Cambria Math"/>
                  </w:rPr>
                  <m:t xml:space="preserve">m</m:t>
                </m:r>
                <m:r>
                  <w:rPr>
                    <w:rFonts w:ascii="Cambria Math" w:hAnsi="Cambria Math"/>
                  </w:rPr>
                  <m:t xml:space="preserve">l</m:t>
                </m:r>
              </m:sub>
            </m:sSub>
          </m:num>
          <m:den>
            <m:r>
              <w:rPr>
                <w:rFonts w:ascii="Cambria Math" w:hAnsi="Cambria Math"/>
              </w:rPr>
              <m:t xml:space="preserve">max</m:t>
            </m:r>
            <m:r>
              <w:rPr>
                <w:rFonts w:ascii="Cambria Math" w:hAnsi="Cambria Math"/>
              </w:rPr>
              <m:t xml:space="preserve">(</m:t>
            </m:r>
            <m:sSub>
              <m:e>
                <m:r>
                  <w:rPr>
                    <w:rFonts w:ascii="Cambria Math" w:hAnsi="Cambria Math"/>
                  </w:rPr>
                  <m:t xml:space="preserve">u</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l</m:t>
                </m:r>
              </m:sub>
            </m:sSub>
            <m:r>
              <w:rPr>
                <w:rFonts w:ascii="Cambria Math" w:hAnsi="Cambria Math"/>
              </w:rPr>
              <m:t xml:space="preserve">)</m:t>
            </m:r>
          </m:den>
        </m:f>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ρ</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f>
          <m:num>
            <m:sSub>
              <m:e>
                <m:r>
                  <w:rPr>
                    <w:rFonts w:ascii="Cambria Math" w:hAnsi="Cambria Math"/>
                  </w:rPr>
                  <m:t xml:space="preserve">∑</m:t>
                </m:r>
              </m:e>
              <m:sub>
                <m:r>
                  <w:rPr>
                    <w:rFonts w:ascii="Cambria Math" w:hAnsi="Cambria Math"/>
                  </w:rPr>
                  <m:t xml:space="preserve">l</m:t>
                </m:r>
                <m:r>
                  <w:rPr>
                    <w:rFonts w:ascii="Cambria Math" w:hAnsi="Cambria Math"/>
                  </w:rPr>
                  <m:t xml:space="preserve">≠</m:t>
                </m:r>
                <m:r>
                  <w:rPr>
                    <w:rFonts w:ascii="Cambria Math" w:hAnsi="Cambria Math"/>
                  </w:rPr>
                  <m:t xml:space="preserve"> </m:t>
                </m:r>
                <m:r>
                  <w:rPr>
                    <w:rFonts w:ascii="Cambria Math" w:hAnsi="Cambria Math"/>
                  </w:rPr>
                  <m:t xml:space="preserve">k</m:t>
                </m:r>
              </m:sub>
            </m:sSub>
            <m:sSub>
              <m:e>
                <m:r>
                  <w:rPr>
                    <w:rFonts w:ascii="Cambria Math" w:hAnsi="Cambria Math"/>
                  </w:rPr>
                  <m:t xml:space="preserve">φ</m:t>
                </m:r>
              </m:e>
              <m:sub>
                <m:r>
                  <w:rPr>
                    <w:rFonts w:ascii="Cambria Math" w:hAnsi="Cambria Math"/>
                  </w:rPr>
                  <m:t xml:space="preserve">k</m:t>
                </m:r>
                <m:r>
                  <w:rPr>
                    <w:rFonts w:ascii="Cambria Math" w:hAnsi="Cambria Math"/>
                  </w:rPr>
                  <m:t xml:space="preserve">l</m:t>
                </m:r>
              </m:sub>
            </m:sSub>
            <m:sSub>
              <m:e>
                <m:r>
                  <w:rPr>
                    <w:rFonts w:ascii="Cambria Math" w:hAnsi="Cambria Math"/>
                  </w:rPr>
                  <m:t xml:space="preserve">M</m:t>
                </m:r>
              </m:e>
              <m:sub>
                <m:r>
                  <w:rPr>
                    <w:rFonts w:ascii="Cambria Math" w:hAnsi="Cambria Math"/>
                  </w:rPr>
                  <m:t xml:space="preserve">m</m:t>
                </m:r>
                <m:r>
                  <w:rPr>
                    <w:rFonts w:ascii="Cambria Math" w:hAnsi="Cambria Math"/>
                  </w:rPr>
                  <m:t xml:space="preserve">l</m:t>
                </m:r>
              </m:sub>
            </m:sSub>
          </m:num>
          <m:den>
            <m:sSub>
              <m:e>
                <m:r>
                  <w:rPr>
                    <w:rFonts w:ascii="Cambria Math" w:hAnsi="Cambria Math"/>
                  </w:rPr>
                  <m:t xml:space="preserve">∑</m:t>
                </m:r>
              </m:e>
              <m:sub>
                <m:r>
                  <w:rPr>
                    <w:rFonts w:ascii="Cambria Math" w:hAnsi="Cambria Math"/>
                  </w:rPr>
                  <m:t xml:space="preserve">l</m:t>
                </m:r>
                <m:r>
                  <w:rPr>
                    <w:rFonts w:ascii="Cambria Math" w:hAnsi="Cambria Math"/>
                  </w:rPr>
                  <m:t xml:space="preserve">≠</m:t>
                </m:r>
                <m:r>
                  <w:rPr>
                    <w:rFonts w:ascii="Cambria Math" w:hAnsi="Cambria Math"/>
                  </w:rPr>
                  <m:t xml:space="preserve"> </m:t>
                </m:r>
                <m:r>
                  <w:rPr>
                    <w:rFonts w:ascii="Cambria Math" w:hAnsi="Cambria Math"/>
                  </w:rPr>
                  <m:t xml:space="preserve">k</m:t>
                </m:r>
              </m:sub>
            </m:sSub>
            <m:sSub>
              <m:e>
                <m:r>
                  <w:rPr>
                    <w:rFonts w:ascii="Cambria Math" w:hAnsi="Cambria Math"/>
                  </w:rPr>
                  <m:t xml:space="preserve">φ</m:t>
                </m:r>
              </m:e>
              <m:sub>
                <m:r>
                  <w:rPr>
                    <w:rFonts w:ascii="Cambria Math" w:hAnsi="Cambria Math"/>
                  </w:rPr>
                  <m:t xml:space="preserve">k</m:t>
                </m:r>
                <m:r>
                  <w:rPr>
                    <w:rFonts w:ascii="Cambria Math" w:hAnsi="Cambria Math"/>
                  </w:rPr>
                  <m:t xml:space="preserve">l</m:t>
                </m:r>
              </m:sub>
            </m:sSub>
          </m:den>
        </m:f>
      </m:oMath>
    </w:p>
    <w:p>
      <w:r/>
      <w:r>
        <w:rPr>
          <w:b/>
        </w:rPr>
        <w:t xml:space="preserve">Обозначения. </w:t>
      </w:r>
      <w:r>
        <w:t>φ — симметричная близость двух отраслей; ρ — доля связанного с отраслью окружения, уже представленного в муниципалитете; M и u — из предыдущего метода. Если знаменатель нулевой, значение отмечается как нерассчитанное.</w:t>
      </w:r>
    </w:p>
    <w:p>
      <w:r/>
      <w:r>
        <w:rPr>
          <w:b/>
        </w:rPr>
        <w:t xml:space="preserve">Применение в econtypes. </w:t>
      </w:r>
      <w:r>
        <w:t>Для каждого МО ранжировать направления, которые ещё не являются устойчивой специализацией, но близки существующей структуре. После этого проверять закупочный спрос по соответствующим товарным группам. Рекомендуемый экран: «текущие отрасли → близкие направления → подтверждённый спрос».</w:t>
      </w:r>
    </w:p>
    <w:p>
      <w:r/>
      <w:r>
        <w:rPr>
          <w:b/>
        </w:rPr>
        <w:t xml:space="preserve">Условный пример. </w:t>
      </w:r>
      <w:r>
        <w:t>У целевой отрасли три соседних направления с весами 0,6; 0,3; 0,1. Если в МО присутствуют первое и третье, плотность близости равна (0,6 + 0,1) / 1,0 = 0,7. Это не означает 70% вероятности успеха бизнеса.</w:t>
      </w:r>
    </w:p>
    <w:p>
      <w:r/>
      <w:r>
        <w:rPr>
          <w:b/>
        </w:rPr>
        <w:t xml:space="preserve">Требования. </w:t>
      </w:r>
      <w:r>
        <w:t>Матрицу близости лучше оценивать на более широкой сопоставимой территории, если такая база доступна. Для 63 МО редкие пары будут шумными: нужны минимальная поддержка пары, сглаживание и проверка чувствительности. Для исторического прогноза использовать только данные, доступные до даты прогноза.</w:t>
      </w:r>
    </w:p>
    <w:p>
      <w:r/>
      <w:r>
        <w:rPr>
          <w:b/>
        </w:rPr>
        <w:t xml:space="preserve">Проверка результата. </w:t>
      </w:r>
      <w:r>
        <w:t>На исторических снимках проверить, чаще ли направления с высоким ρ действительно появляются в дальнейшем. ОКВЭД и ОКПД2 связывать отдельной таблицей соответствий с уверенностью и ручной проверкой; одинаковые цифры кодов не являются доказательством соответствия.</w:t>
      </w:r>
    </w:p>
    <w:p>
      <w:r>
        <w:br w:type="page"/>
      </w:r>
    </w:p>
    <w:p>
      <w:pPr>
        <w:pStyle w:val="Heading1"/>
      </w:pPr>
      <w:r>
        <w:t>6 Метод 4 Оценка закупочной возможности</w:t>
      </w:r>
    </w:p>
    <w:p>
      <w:r>
        <w:t>Статус: предлагаемая формула econtypes, не опубликованный научный результат. Приоритет А. Вдохновлена специализацией и relatedness [11, 12].</w:t>
      </w:r>
    </w:p>
    <w:p>
      <w:r>
        <w:t>Нужен показатель, который помогает выбрать ниши для предметной проверки. Большой внешний закупочный поток сам по себе недостаточен: необходимо наличие подходящих местных предприятий, связанной отраслевой среды и надёжного сопоставления товаров.</w:t>
      </w:r>
    </w:p>
    <w:p>
      <w:pPr>
        <w:spacing w:before="140" w:after="180"/>
        <w:jc w:val="center"/>
      </w:pPr>
      <m:oMath>
        <m:sSub>
          <m:e>
            <m:r>
              <w:rPr>
                <w:rFonts w:ascii="Cambria Math" w:hAnsi="Cambria Math"/>
              </w:rPr>
              <m:t xml:space="preserve">O</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sSubSup>
          <m:e>
            <m:r>
              <w:rPr>
                <w:rFonts w:ascii="Cambria Math" w:hAnsi="Cambria Math"/>
              </w:rPr>
              <m:t xml:space="preserve">D</m:t>
            </m:r>
          </m:e>
          <m:sub>
            <m:r>
              <w:rPr>
                <w:rFonts w:ascii="Cambria Math" w:hAnsi="Cambria Math"/>
              </w:rPr>
              <m:t xml:space="preserve">m</m:t>
            </m:r>
            <m:r>
              <w:rPr>
                <w:rFonts w:ascii="Cambria Math" w:hAnsi="Cambria Math"/>
              </w:rPr>
              <m:t xml:space="preserve">k</m:t>
            </m:r>
          </m:sub>
          <m:sup>
            <m:r>
              <w:rPr>
                <w:rFonts w:ascii="Cambria Math" w:hAnsi="Cambria Math"/>
              </w:rPr>
              <m:t xml:space="preserve">e</m:t>
            </m:r>
            <m:r>
              <w:rPr>
                <w:rFonts w:ascii="Cambria Math" w:hAnsi="Cambria Math"/>
              </w:rPr>
              <m:t xml:space="preserve">x</m:t>
            </m:r>
            <m:r>
              <w:rPr>
                <w:rFonts w:ascii="Cambria Math" w:hAnsi="Cambria Math"/>
              </w:rPr>
              <m:t xml:space="preserve">t</m:t>
            </m:r>
          </m:sup>
        </m:sSubSup>
        <m:r>
          <w:rPr>
            <w:rFonts w:ascii="Cambria Math" w:hAnsi="Cambria Math"/>
          </w:rPr>
          <m:t xml:space="preserve"> </m:t>
        </m:r>
        <m:sSub>
          <m:e>
            <m:r>
              <w:rPr>
                <w:rFonts w:ascii="Cambria Math" w:hAnsi="Cambria Math"/>
              </w:rPr>
              <m:t xml:space="preserve">ρ</m:t>
            </m:r>
          </m:e>
          <m:sub>
            <m:r>
              <w:rPr>
                <w:rFonts w:ascii="Cambria Math" w:hAnsi="Cambria Math"/>
              </w:rPr>
              <m:t xml:space="preserve">m</m:t>
            </m:r>
            <m:r>
              <w:rPr>
                <w:rFonts w:ascii="Cambria Math" w:hAnsi="Cambria Math"/>
              </w:rPr>
              <m:t xml:space="preserve">k</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m</m:t>
            </m:r>
            <m:r>
              <w:rPr>
                <w:rFonts w:ascii="Cambria Math" w:hAnsi="Cambria Math"/>
              </w:rPr>
              <m:t xml:space="preserve">k</m:t>
            </m:r>
          </m:sub>
        </m:sSub>
        <m:r>
          <w:rPr>
            <w:rFonts w:ascii="Cambria Math" w:hAnsi="Cambria Math"/>
          </w:rPr>
          <m:t xml:space="preserve"> </m:t>
        </m:r>
        <m:sSub>
          <m:e>
            <m:r>
              <w:rPr>
                <w:rFonts w:ascii="Cambria Math" w:hAnsi="Cambria Math"/>
              </w:rPr>
              <m:t xml:space="preserve">Q</m:t>
            </m:r>
          </m:e>
          <m:sub>
            <m:r>
              <w:rPr>
                <w:rFonts w:ascii="Cambria Math" w:hAnsi="Cambria Math"/>
              </w:rPr>
              <m:t xml:space="preserve">m</m:t>
            </m:r>
            <m:r>
              <w:rPr>
                <w:rFonts w:ascii="Cambria Math" w:hAnsi="Cambria Math"/>
              </w:rPr>
              <m:t xml:space="preserve">k</m:t>
            </m:r>
          </m:sub>
        </m:sSub>
      </m:oMath>
    </w:p>
    <w:p>
      <w:pPr>
        <w:spacing w:before="140" w:after="180"/>
        <w:jc w:val="center"/>
      </w:pPr>
      <m:oMath>
        <m:sSub>
          <m:e>
            <m:r>
              <w:rPr>
                <w:rFonts w:ascii="Cambria Math" w:hAnsi="Cambria Math"/>
              </w:rPr>
              <m:t xml:space="preserve">A</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r>
          <w:rPr>
            <w:rFonts w:ascii="Cambria Math" w:hAnsi="Cambria Math"/>
          </w:rPr>
          <m:t xml:space="preserve">min</m:t>
        </m:r>
        <m:r>
          <w:rPr>
            <w:rFonts w:ascii="Cambria Math" w:hAnsi="Cambria Math"/>
          </w:rPr>
          <m:t xml:space="preserve"/>
        </m:r>
        <m:r>
          <w:rPr>
            <w:rFonts w:ascii="Cambria Math" w:hAnsi="Cambria Math"/>
          </w:rPr>
          <m:t xml:space="preserve">(</m:t>
        </m:r>
        <m:r>
          <w:rPr>
            <w:rFonts w:ascii="Cambria Math" w:hAnsi="Cambria Math"/>
          </w:rPr>
          <m:t xml:space="preserve">1</m:t>
        </m:r>
        <m:r>
          <w:rPr>
            <w:rFonts w:ascii="Cambria Math" w:hAnsi="Cambria Math"/>
          </w:rPr>
          <m:t xml:space="preserve">,</m:t>
        </m:r>
        <m:f>
          <m:num>
            <m:sSubSup>
              <m:e>
                <m:r>
                  <w:rPr>
                    <w:rFonts w:ascii="Cambria Math" w:hAnsi="Cambria Math"/>
                  </w:rPr>
                  <m:t xml:space="preserve">N</m:t>
                </m:r>
              </m:e>
              <m:sub>
                <m:r>
                  <w:rPr>
                    <w:rFonts w:ascii="Cambria Math" w:hAnsi="Cambria Math"/>
                  </w:rPr>
                  <m:t xml:space="preserve">m</m:t>
                </m:r>
                <m:r>
                  <w:rPr>
                    <w:rFonts w:ascii="Cambria Math" w:hAnsi="Cambria Math"/>
                  </w:rPr>
                  <m:t xml:space="preserve">k</m:t>
                </m:r>
              </m:sub>
              <m:sup>
                <m:r>
                  <w:rPr>
                    <w:rFonts w:ascii="Cambria Math" w:hAnsi="Cambria Math"/>
                  </w:rPr>
                  <m:t xml:space="preserve">v</m:t>
                </m:r>
                <m:r>
                  <w:rPr>
                    <w:rFonts w:ascii="Cambria Math" w:hAnsi="Cambria Math"/>
                  </w:rPr>
                  <m:t xml:space="preserve">e</m:t>
                </m:r>
                <m:r>
                  <w:rPr>
                    <w:rFonts w:ascii="Cambria Math" w:hAnsi="Cambria Math"/>
                  </w:rPr>
                  <m:t xml:space="preserve">r</m:t>
                </m:r>
              </m:sup>
            </m:sSubSup>
          </m:num>
          <m:den>
            <m:sSub>
              <m:e>
                <m:r>
                  <w:rPr>
                    <w:rFonts w:ascii="Cambria Math" w:hAnsi="Cambria Math"/>
                  </w:rPr>
                  <m:t xml:space="preserve">N</m:t>
                </m:r>
              </m:e>
              <m:sub>
                <m:r>
                  <w:rPr>
                    <w:rFonts w:ascii="Cambria Math" w:hAnsi="Cambria Math"/>
                  </w:rPr>
                  <m:t xml:space="preserve">0</m:t>
                </m:r>
              </m:sub>
            </m:sSub>
          </m:den>
        </m:f>
        <m:r>
          <w:rPr>
            <w:rFonts w:ascii="Cambria Math" w:hAnsi="Cambria Math"/>
          </w:rPr>
          <m:t xml:space="preserve"/>
        </m:r>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U</m:t>
            </m:r>
          </m:e>
          <m:sub>
            <m:r>
              <w:rPr>
                <w:rFonts w:ascii="Cambria Math" w:hAnsi="Cambria Math"/>
              </w:rPr>
              <m:t xml:space="preserve">m</m:t>
            </m:r>
            <m:r>
              <w:rPr>
                <w:rFonts w:ascii="Cambria Math" w:hAnsi="Cambria Math"/>
              </w:rPr>
              <m:t xml:space="preserve">k</m:t>
            </m:r>
          </m:sub>
        </m:sSub>
        <m:r>
          <w:rPr>
            <w:rFonts w:ascii="Cambria Math" w:hAnsi="Cambria Math"/>
          </w:rPr>
          <m:t xml:space="preserve">=</m:t>
        </m:r>
        <m:f>
          <m:num>
            <m:sSubSup>
              <m:e>
                <m:r>
                  <w:rPr>
                    <w:rFonts w:ascii="Cambria Math" w:hAnsi="Cambria Math"/>
                  </w:rPr>
                  <m:t xml:space="preserve">D</m:t>
                </m:r>
              </m:e>
              <m:sub>
                <m:r>
                  <w:rPr>
                    <w:rFonts w:ascii="Cambria Math" w:hAnsi="Cambria Math"/>
                  </w:rPr>
                  <m:t xml:space="preserve">m</m:t>
                </m:r>
                <m:r>
                  <w:rPr>
                    <w:rFonts w:ascii="Cambria Math" w:hAnsi="Cambria Math"/>
                  </w:rPr>
                  <m:t xml:space="preserve">k</m:t>
                </m:r>
              </m:sub>
              <m:sup>
                <m:r>
                  <w:rPr>
                    <w:rFonts w:ascii="Cambria Math" w:hAnsi="Cambria Math"/>
                  </w:rPr>
                  <m:t xml:space="preserve">u</m:t>
                </m:r>
                <m:r>
                  <w:rPr>
                    <w:rFonts w:ascii="Cambria Math" w:hAnsi="Cambria Math"/>
                  </w:rPr>
                  <m:t xml:space="preserve">n</m:t>
                </m:r>
                <m:r>
                  <w:rPr>
                    <w:rFonts w:ascii="Cambria Math" w:hAnsi="Cambria Math"/>
                  </w:rPr>
                  <m:t xml:space="preserve">k</m:t>
                </m:r>
                <m:r>
                  <w:rPr>
                    <w:rFonts w:ascii="Cambria Math" w:hAnsi="Cambria Math"/>
                  </w:rPr>
                  <m:t xml:space="preserve">n</m:t>
                </m:r>
                <m:r>
                  <w:rPr>
                    <w:rFonts w:ascii="Cambria Math" w:hAnsi="Cambria Math"/>
                  </w:rPr>
                  <m:t xml:space="preserve">o</m:t>
                </m:r>
                <m:r>
                  <w:rPr>
                    <w:rFonts w:ascii="Cambria Math" w:hAnsi="Cambria Math"/>
                  </w:rPr>
                  <m:t xml:space="preserve">w</m:t>
                </m:r>
                <m:r>
                  <w:rPr>
                    <w:rFonts w:ascii="Cambria Math" w:hAnsi="Cambria Math"/>
                  </w:rPr>
                  <m:t xml:space="preserve">n</m:t>
                </m:r>
              </m:sup>
            </m:sSubSup>
          </m:num>
          <m:den>
            <m:sSubSup>
              <m:e>
                <m:r>
                  <w:rPr>
                    <w:rFonts w:ascii="Cambria Math" w:hAnsi="Cambria Math"/>
                  </w:rPr>
                  <m:t xml:space="preserve">D</m:t>
                </m:r>
              </m:e>
              <m:sub>
                <m:r>
                  <w:rPr>
                    <w:rFonts w:ascii="Cambria Math" w:hAnsi="Cambria Math"/>
                  </w:rPr>
                  <m:t xml:space="preserve">m</m:t>
                </m:r>
                <m:r>
                  <w:rPr>
                    <w:rFonts w:ascii="Cambria Math" w:hAnsi="Cambria Math"/>
                  </w:rPr>
                  <m:t xml:space="preserve">k</m:t>
                </m:r>
              </m:sub>
              <m:sup>
                <m:r>
                  <w:rPr>
                    <w:rFonts w:ascii="Cambria Math" w:hAnsi="Cambria Math"/>
                  </w:rPr>
                  <m:t xml:space="preserve">a</m:t>
                </m:r>
                <m:r>
                  <w:rPr>
                    <w:rFonts w:ascii="Cambria Math" w:hAnsi="Cambria Math"/>
                  </w:rPr>
                  <m:t xml:space="preserve">l</m:t>
                </m:r>
                <m:r>
                  <w:rPr>
                    <w:rFonts w:ascii="Cambria Math" w:hAnsi="Cambria Math"/>
                  </w:rPr>
                  <m:t xml:space="preserve">l</m:t>
                </m:r>
              </m:sup>
            </m:sSubSup>
          </m:den>
        </m:f>
      </m:oMath>
    </w:p>
    <w:p>
      <w:r/>
      <w:r>
        <w:rPr>
          <w:b/>
        </w:rPr>
        <w:t xml:space="preserve">Обозначения. </w:t>
      </w:r>
      <w:r>
        <w:t>Dᵉˣᵗ — стоимость контрактов целевой категории с поставщиками вне МО при известной географии; ρ — близость отрасли; Nᵛᵉʳ — число проверенных подходящих местных поставщиков; N₀ — установленный сценарный порог; A — нормированная представленность; Q от 0 до 1 — доля суммы, для которой надёжны все ключевые сопоставления. U — доля неизвестной географии.</w:t>
      </w:r>
    </w:p>
    <w:p>
      <w:r/>
      <w:r>
        <w:rPr>
          <w:b/>
        </w:rPr>
        <w:t xml:space="preserve">Как читать результат. </w:t>
      </w:r>
      <w:r>
        <w:t>O имеет денежную размерность, но является взвешенным показателем приоритета. Это не прогноз выручки, не объём свободной мощности и не сумма гарантированного импортозамещения. A показывает присутствие поставщиков, а не их производственные возможности. N₀ и схема взвешивания должны быть видны пользователю.</w:t>
      </w:r>
    </w:p>
    <w:p>
      <w:r/>
      <w:r>
        <w:rPr>
          <w:b/>
        </w:rPr>
        <w:t xml:space="preserve">Условный пример. </w:t>
      </w:r>
      <w:r>
        <w:t>Внешние контракты — 100 млн руб.; ρ = 0,7; 3 проверенных поставщика при N₀ = 5; Q = 0,9. Получаем O = 37,8 млн условно взвешенных рублей. На экране лучше писать «балл приоритета» с компонентами, оставляя реальные 100 млн руб. отдельным показателем.</w:t>
      </w:r>
    </w:p>
    <w:p>
      <w:r/>
      <w:r>
        <w:rPr>
          <w:b/>
        </w:rPr>
        <w:t xml:space="preserve">Защита от неверного вывода. </w:t>
      </w:r>
      <w:r>
        <w:t>При неизвестных исходных данных показывать «недостаточно данных», а не нулевую возможность. Неизвестную географию не включать во внешний поток. По каждой нише хранить подтверждения ассортимента, лицензий, логистики и участия в закупках; тестировать устойчивость ранга при изменении N₀ и весов.</w:t>
      </w:r>
    </w:p>
    <w:p>
      <w:r/>
      <w:r>
        <w:rPr>
          <w:b/>
        </w:rPr>
        <w:t xml:space="preserve">Проверка. </w:t>
      </w:r>
      <w:r>
        <w:t>Сравнить список с экспертной проверкой случайной выборки ниш и с последующим появлением местных поставщиков. Калибровать веса на будущих исходах можно только после накопления истории.</w:t>
      </w:r>
    </w:p>
    <w:p>
      <w:r>
        <w:br w:type="page"/>
      </w:r>
    </w:p>
    <w:p>
      <w:pPr>
        <w:pStyle w:val="Heading1"/>
      </w:pPr>
      <w:r>
        <w:t>7 Метод 5 Оптимальный транспорт</w:t>
      </w:r>
    </w:p>
    <w:p>
      <w:r>
        <w:t>Статус: зрелая математическая основа; ускорение Sinkhorn — 2013 [14]. Приоритет В до проверки мощностей поставщиков.</w:t>
      </w:r>
    </w:p>
    <w:p>
      <w:r>
        <w:t>Метод строит сценарий распределения предложения по потребителям с минимальными издержками. В econtypes он отвечает на вопрос: какая часть конкретного спроса могла бы обслуживаться местными предприятиями при заданных ограничениях?</w:t>
      </w:r>
    </w:p>
    <w:p>
      <w:pPr>
        <w:spacing w:before="140" w:after="180"/>
        <w:jc w:val="center"/>
      </w:pPr>
      <m:oMath>
        <m:sSub>
          <m:e>
            <m:r>
              <w:rPr>
                <w:rFonts w:ascii="Cambria Math" w:hAnsi="Cambria Math"/>
              </w:rPr>
              <m:t xml:space="preserve">min</m:t>
            </m:r>
          </m:e>
          <m:sub>
            <m:r>
              <w:rPr>
                <w:rFonts w:ascii="Cambria Math" w:hAnsi="Cambria Math"/>
              </w:rPr>
              <m:t xml:space="preserve">π</m:t>
            </m:r>
            <m:r>
              <w:rPr>
                <w:rFonts w:ascii="Cambria Math" w:hAnsi="Cambria Math"/>
              </w:rPr>
              <m:t xml:space="preserve">≥</m:t>
            </m:r>
            <m:r>
              <w:rPr>
                <w:rFonts w:ascii="Cambria Math" w:hAnsi="Cambria Math"/>
              </w:rPr>
              <m:t xml:space="preserve">0</m:t>
            </m:r>
          </m:sub>
        </m:sSub>
        <m:r>
          <w:rPr>
            <w:rFonts w:ascii="Cambria Math" w:hAnsi="Cambria Math"/>
          </w:rPr>
          <m:t xml:space="preserve">  </m:t>
        </m:r>
        <m:sSub>
          <m:e>
            <m:r>
              <w:rPr>
                <w:rFonts w:ascii="Cambria Math" w:hAnsi="Cambria Math"/>
              </w:rPr>
              <m:t xml:space="preserve">∑</m:t>
            </m:r>
          </m:e>
          <m:sub>
            <m:r>
              <w:rPr>
                <w:rFonts w:ascii="Cambria Math" w:hAnsi="Cambria Math"/>
              </w:rPr>
              <m:t xml:space="preserve">i</m:t>
            </m:r>
            <m:r>
              <w:rPr>
                <w:rFonts w:ascii="Cambria Math" w:hAnsi="Cambria Math"/>
              </w:rPr>
              <m:t xml:space="preserve">j</m:t>
            </m:r>
          </m:sub>
        </m:sSub>
        <m:sSub>
          <m:e>
            <m:r>
              <w:rPr>
                <w:rFonts w:ascii="Cambria Math" w:hAnsi="Cambria Math"/>
              </w:rPr>
              <m:t xml:space="preserve">c</m:t>
            </m:r>
          </m:e>
          <m:sub>
            <m:r>
              <w:rPr>
                <w:rFonts w:ascii="Cambria Math" w:hAnsi="Cambria Math"/>
              </w:rPr>
              <m:t xml:space="preserve">i</m:t>
            </m:r>
            <m:r>
              <w:rPr>
                <w:rFonts w:ascii="Cambria Math" w:hAnsi="Cambria Math"/>
              </w:rPr>
              <m:t xml:space="preserve">j</m:t>
            </m:r>
          </m:sub>
        </m:sSub>
        <m:sSub>
          <m:e>
            <m:r>
              <w:rPr>
                <w:rFonts w:ascii="Cambria Math" w:hAnsi="Cambria Math"/>
              </w:rPr>
              <m:t xml:space="preserve">π</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w:rPr>
            <w:rFonts w:ascii="Cambria Math" w:hAnsi="Cambria Math"/>
          </w:rPr>
          <m:t xml:space="preserve">ε</m:t>
        </m:r>
        <m:sSub>
          <m:e>
            <m:r>
              <w:rPr>
                <w:rFonts w:ascii="Cambria Math" w:hAnsi="Cambria Math"/>
              </w:rPr>
              <m:t xml:space="preserve">∑</m:t>
            </m:r>
          </m:e>
          <m:sub>
            <m:r>
              <w:rPr>
                <w:rFonts w:ascii="Cambria Math" w:hAnsi="Cambria Math"/>
              </w:rPr>
              <m:t xml:space="preserve">i</m:t>
            </m:r>
            <m:r>
              <w:rPr>
                <w:rFonts w:ascii="Cambria Math" w:hAnsi="Cambria Math"/>
              </w:rPr>
              <m:t xml:space="preserve">j</m:t>
            </m:r>
          </m:sub>
        </m:sSub>
        <m:sSub>
          <m:e>
            <m:r>
              <w:rPr>
                <w:rFonts w:ascii="Cambria Math" w:hAnsi="Cambria Math"/>
              </w:rPr>
              <m:t xml:space="preserve">π</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w:rPr>
            <w:rFonts w:ascii="Cambria Math" w:hAnsi="Cambria Math"/>
          </w:rPr>
          <m:t xml:space="preserve">log</m:t>
        </m:r>
        <m:sSub>
          <m:e>
            <m:r>
              <w:rPr>
                <w:rFonts w:ascii="Cambria Math" w:hAnsi="Cambria Math"/>
              </w:rPr>
              <m:t xml:space="preserve">π</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r>
          <w:rPr>
            <w:rFonts w:ascii="Cambria Math" w:hAnsi="Cambria Math"/>
          </w:rPr>
          <m:t xml:space="preserve">1</m:t>
        </m:r>
        <m:r>
          <w:rPr>
            <w:rFonts w:ascii="Cambria Math" w:hAnsi="Cambria Math"/>
          </w:rPr>
          <m:t xml:space="preserve">)</m:t>
        </m:r>
      </m:oMath>
    </w:p>
    <w:p>
      <w:pPr>
        <w:spacing w:before="140" w:after="180"/>
        <w:jc w:val="center"/>
      </w:pPr>
      <m:oMath>
        <m:sSub>
          <m:e>
            <m:r>
              <w:rPr>
                <w:rFonts w:ascii="Cambria Math" w:hAnsi="Cambria Math"/>
              </w:rPr>
              <m:t xml:space="preserve">∑</m:t>
            </m:r>
          </m:e>
          <m:sub>
            <m:r>
              <w:rPr>
                <w:rFonts w:ascii="Cambria Math" w:hAnsi="Cambria Math"/>
              </w:rPr>
              <m:t xml:space="preserve">j</m:t>
            </m:r>
          </m:sub>
        </m:sSub>
        <m:sSub>
          <m:e>
            <m:r>
              <w:rPr>
                <w:rFonts w:ascii="Cambria Math" w:hAnsi="Cambria Math"/>
              </w:rPr>
              <m:t xml:space="preserve">π</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r>
          <w:rPr>
            <w:rFonts w:ascii="Cambria Math" w:hAnsi="Cambria Math"/>
          </w:rPr>
          <m:t xml:space="preserve">    </m:t>
        </m:r>
        <m:sSub>
          <m:e>
            <m:r>
              <w:rPr>
                <w:rFonts w:ascii="Cambria Math" w:hAnsi="Cambria Math"/>
              </w:rPr>
              <m:t xml:space="preserve">∑</m:t>
            </m:r>
          </m:e>
          <m:sub>
            <m:r>
              <w:rPr>
                <w:rFonts w:ascii="Cambria Math" w:hAnsi="Cambria Math"/>
              </w:rPr>
              <m:t xml:space="preserve">i</m:t>
            </m:r>
          </m:sub>
        </m:sSub>
        <m:sSub>
          <m:e>
            <m:r>
              <w:rPr>
                <w:rFonts w:ascii="Cambria Math" w:hAnsi="Cambria Math"/>
              </w:rPr>
              <m:t xml:space="preserve">π</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r>
          <w:rPr>
            <w:rFonts w:ascii="Cambria Math" w:hAnsi="Cambria Math"/>
          </w:rPr>
          <m:t xml:space="preserve">    </m:t>
        </m:r>
        <m:sSub>
          <m:e>
            <m:r>
              <w:rPr>
                <w:rFonts w:ascii="Cambria Math" w:hAnsi="Cambria Math"/>
              </w:rPr>
              <m:t xml:space="preserve">∑</m:t>
            </m:r>
          </m:e>
          <m:sub>
            <m:r>
              <w:rPr>
                <w:rFonts w:ascii="Cambria Math" w:hAnsi="Cambria Math"/>
              </w:rPr>
              <m:t xml:space="preserve">i</m:t>
            </m:r>
          </m:sub>
        </m:sSub>
        <m:r>
          <w:rPr>
            <w:rFonts w:ascii="Cambria Math" w:hAnsi="Cambria Math"/>
          </w:rPr>
          <m:t xml:space="preserve"> </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m:t>
            </m:r>
          </m:e>
          <m:sub>
            <m:r>
              <w:rPr>
                <w:rFonts w:ascii="Cambria Math" w:hAnsi="Cambria Math"/>
              </w:rPr>
              <m:t xml:space="preserve">j</m:t>
            </m:r>
          </m:sub>
        </m:sSub>
        <m:r>
          <w:rPr>
            <w:rFonts w:ascii="Cambria Math" w:hAnsi="Cambria Math"/>
          </w:rPr>
          <m:t xml:space="preserve"> </m:t>
        </m:r>
        <m:sSub>
          <m:e>
            <m:r>
              <w:rPr>
                <w:rFonts w:ascii="Cambria Math" w:hAnsi="Cambria Math"/>
              </w:rPr>
              <m:t xml:space="preserve">b</m:t>
            </m:r>
          </m:e>
          <m:sub>
            <m:r>
              <w:rPr>
                <w:rFonts w:ascii="Cambria Math" w:hAnsi="Cambria Math"/>
              </w:rPr>
              <m:t xml:space="preserve">j</m:t>
            </m:r>
          </m:sub>
        </m:sSub>
      </m:oMath>
    </w:p>
    <w:p>
      <w:r/>
      <w:r>
        <w:rPr>
          <w:b/>
        </w:rPr>
        <w:t xml:space="preserve">Обозначения. </w:t>
      </w:r>
      <w:r>
        <w:t>πᵢⱼ — нормированный поток от поставщика i к заказчику j; a и b — нормированные объёмы предложения и спроса; c — сопоставимые издержки; ε — сила энтропийного сглаживания. Денежные или физические объёмы сначала приводят к общей шкале. При ε = 0 получается обычная транспортная задача.</w:t>
      </w:r>
    </w:p>
    <w:p>
      <w:r/>
      <w:r>
        <w:rPr>
          <w:b/>
        </w:rPr>
        <w:t xml:space="preserve">Применение в econtypes. </w:t>
      </w:r>
      <w:r>
        <w:t>Решать отдельно по совместимым товарным группам и периоду. В c включать проверенные логистические затраты и другие обоснованные издержки. Несовместимые пары запрещать. Нельзя смешивать тонны продукции, часы услуг и рубли в одном балансе без экономически осмысленного преобразования.</w:t>
      </w:r>
    </w:p>
    <w:p>
      <w:r/>
      <w:r>
        <w:rPr>
          <w:b/>
        </w:rPr>
        <w:t xml:space="preserve">Реалистичный вариант. </w:t>
      </w:r>
      <w:r>
        <w:t>Если местного предложения недостаточно, добавить явно обозначенного внешнего поставщика либо применять частичную или несбалансированную задачу. Ограничения мощности часто имеют вид «не больше aᵢ», а не точного равенства. Для небольшого сценария обычное линейное программирование может быть проще энтропийной модели.</w:t>
      </w:r>
    </w:p>
    <w:p>
      <w:r/>
      <w:r>
        <w:rPr>
          <w:b/>
        </w:rPr>
        <w:t xml:space="preserve">Условный пример. </w:t>
      </w:r>
      <w:r>
        <w:t>Спрос двух заказчиков — 60 и 40 единиц. Проверенная местная мощность — 30 и 20. Суммарно местные фирмы могут покрыть не более 50 единиц при полной совместимости, независимо от красоты найденной схемы перевозок.</w:t>
      </w:r>
    </w:p>
    <w:p>
      <w:r/>
      <w:r>
        <w:rPr>
          <w:b/>
        </w:rPr>
        <w:t xml:space="preserve">Главное ограничение. </w:t>
      </w:r>
      <w:r>
        <w:t>Реестр МСП не содержит достаточного описания свободной мощности. До её подтверждения возможен только сценарный расчёт с открытыми допущениями. Оптимальный план не является прогнозом результата торгов или рекомендацией ограничить конкуренцию.</w:t>
      </w:r>
    </w:p>
    <w:p>
      <w:r>
        <w:br w:type="page"/>
      </w:r>
    </w:p>
    <w:p>
      <w:pPr>
        <w:pStyle w:val="Heading1"/>
      </w:pPr>
      <w:r>
        <w:t>8 Метод 6 TabPFN для табличного прогноза</w:t>
      </w:r>
    </w:p>
    <w:p>
      <w:r>
        <w:t>Статус: TabPFN в Nature 2025 [1]; TabPFN 3.5 — технический отчёт сентября 2026 [2]. Приоритет Б.</w:t>
      </w:r>
    </w:p>
    <w:p>
      <w:r>
        <w:t>TabPFN предварительно обучается на множестве синтетических задач и получает новую обучающую таблицу как контекст. Для нового проекта это позволяет проверить сильную модель без обучения большой нейросети с нуля.</w:t>
      </w:r>
    </w:p>
    <w:p>
      <w:pPr>
        <w:spacing w:before="140" w:after="180"/>
        <w:jc w:val="center"/>
      </w:pPr>
      <m:oMath>
        <m:acc>
          <m:accPr>
            <m:chr m:val="̂"/>
          </m:accPr>
          <m:e>
            <m:r>
              <w:rPr>
                <w:rFonts w:ascii="Cambria Math" w:hAnsi="Cambria Math"/>
              </w:rPr>
              <m:t xml:space="preserve">p</m:t>
            </m:r>
          </m:e>
        </m:acc>
        <m:r>
          <w:rPr>
            <w:rFonts w:ascii="Cambria Math" w:hAnsi="Cambria Math"/>
          </w:rPr>
          <m:t xml:space="preserve">(</m:t>
        </m:r>
        <m:sSub>
          <m:e>
            <m:r>
              <w:rPr>
                <w:rFonts w:ascii="Cambria Math" w:hAnsi="Cambria Math"/>
              </w:rPr>
              <m:t xml:space="preserve">y</m:t>
            </m:r>
          </m:e>
          <m:sub>
            <m:r>
              <w:rPr>
                <w:rFonts w:ascii="Cambria Math" w:hAnsi="Cambria Math"/>
              </w:rPr>
              <m:t xml:space="preserve">*</m:t>
            </m:r>
          </m:sub>
        </m:sSub>
        <m:r>
          <w:rPr>
            <w:rFonts w:ascii="Cambria Math" w:hAnsi="Cambria Math"/>
          </w:rPr>
          <m:t xml:space="preserve">|</m:t>
        </m:r>
        <m:r>
          <w:rPr>
            <w:rFonts w:ascii="Cambria Math" w:hAnsi="Cambria Math"/>
          </w:rPr>
          <m:t xml:space="preserve"> </m:t>
        </m:r>
        <m:sSub>
          <m:e>
            <m:r>
              <w:rPr>
                <w:rFonts w:ascii="Cambria Math" w:hAnsi="Cambria Math"/>
              </w:rPr>
              <m:t xml:space="preserve">x</m:t>
            </m:r>
          </m:e>
          <m:sub>
            <m:r>
              <w:rPr>
                <w:rFonts w:ascii="Cambria Math" w:hAnsi="Cambria Math"/>
              </w:rPr>
              <m:t xml:space="preserve">*</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sSub>
          <m:e>
            <m:r>
              <w:rPr>
                <w:rFonts w:ascii="Cambria Math" w:hAnsi="Cambria Math"/>
              </w:rPr>
              <m:t xml:space="preserve">f</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oMath>
    </w:p>
    <w:p>
      <w:r/>
      <w:r>
        <w:rPr>
          <w:b/>
        </w:rPr>
        <w:t xml:space="preserve">Что выражает формула. </w:t>
      </w:r>
      <w:r>
        <w:t>Это схема использования, а не полная архитектура. x — признаки; y — прогнозируемый исход; D — обучающие примеры; θ — предобученные параметры; модель выдаёт прогноз или распределение возможных исходов. Данные теста не должны попадать в D.</w:t>
      </w:r>
    </w:p>
    <w:p>
      <w:r/>
      <w:r>
        <w:rPr>
          <w:b/>
        </w:rPr>
        <w:t xml:space="preserve">Задача для econtypes. </w:t>
      </w:r>
      <w:r>
        <w:t>Выбрать один будущий наблюдаемый исход: например, долю местных поставщиков в следующем периоде или изменение числа активных МСП при наличии сопоставимых снимков. Сравнить TabPFN с медианным прогнозом, регуляризованной регрессией и градиентным бустингом.</w:t>
      </w:r>
    </w:p>
    <w:p>
      <w:r/>
      <w:r>
        <w:rPr>
          <w:b/>
        </w:rPr>
        <w:t xml:space="preserve">Чего нельзя подменять. </w:t>
      </w:r>
      <w:r>
        <w:t>Восстановление семи типов по тем же признакам, которыми типы были построены, измеряет воспроизведение классификации. Оно не доказывает способность предсказывать экономическое развитие. Для прогноза нужны будущий исход и дата доступности каждого признака.</w:t>
      </w:r>
    </w:p>
    <w:p>
      <w:r/>
      <w:r>
        <w:rPr>
          <w:b/>
        </w:rPr>
        <w:t xml:space="preserve">Проверка на 63 МО. </w:t>
      </w:r>
      <w:r>
        <w:t>Число признаков ограничить содержательно; преобразования и отбор делать внутри обучающих разбиений. Отдельно оценивать будущие периоды известных МО и перенос на исключённые МО. Показывать разброс качества, а не одну красивую точность.</w:t>
      </w:r>
    </w:p>
    <w:p>
      <w:r/>
      <w:r>
        <w:rPr>
          <w:b/>
        </w:rPr>
        <w:t xml:space="preserve">Версия и условия. </w:t>
      </w:r>
      <w:r>
        <w:t>По официальному репозиторию на дату обзора веса 2.5, 2.6, 3 и 3.5 имеют некоммерческие условия, отличающиеся от лицензии кода; веса версии 2 лицензируются отдельно [3]. Перед выбором для внедрения проверить условия конкретных весов. Заявления авторов о превосходстве на тестовых наборах не переносим на econtypes без эксперимента.</w:t>
      </w:r>
    </w:p>
    <w:p>
      <w:r>
        <w:br w:type="page"/>
      </w:r>
    </w:p>
    <w:p>
      <w:pPr>
        <w:pStyle w:val="Heading1"/>
      </w:pPr>
      <w:r>
        <w:t>9 Метод 7 TabICLv2 для микроданных</w:t>
      </w:r>
    </w:p>
    <w:p>
      <w:r>
        <w:t>Статус: ICML 2026, рецензируемая публикация [4]; официальная документация [5]. Приоритет Б.</w:t>
      </w:r>
    </w:p>
    <w:p>
      <w:r>
        <w:t>TabICLv2 — предобученная модель для классификации и регрессии на таблицах. Архитектура последовательно обрабатывает столбцы, строки и контекст таблицы. Авторы публикуют код инференса и обучения.</w:t>
      </w:r>
    </w:p>
    <w:p>
      <w:pPr>
        <w:spacing w:before="140" w:after="180"/>
        <w:jc w:val="center"/>
      </w:pPr>
      <m:oMath>
        <m:sSub>
          <m:e>
            <m:acc>
              <m:accPr>
                <m:chr m:val="̂"/>
              </m:accPr>
              <m:e>
                <m:r>
                  <w:rPr>
                    <w:rFonts w:ascii="Cambria Math" w:hAnsi="Cambria Math"/>
                  </w:rPr>
                  <m:t xml:space="preserve">y</m:t>
                </m:r>
              </m:e>
            </m:acc>
          </m:e>
          <m:sub>
            <m:r>
              <w:rPr>
                <w:rFonts w:ascii="Cambria Math" w:hAnsi="Cambria Math"/>
              </w:rPr>
              <m:t xml:space="preserve">*</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θ</m:t>
            </m:r>
          </m:sub>
        </m:sSub>
        <m:r>
          <w:rPr>
            <w:rFonts w:ascii="Cambria Math" w:hAnsi="Cambria Math"/>
          </w:rPr>
          <m:t xml:space="preserve"/>
        </m:r>
        <m:r>
          <w:rPr>
            <w:rFonts w:ascii="Cambria Math" w:hAnsi="Cambria Math"/>
          </w:rPr>
          <m:t xml:space="preserve">(</m:t>
        </m:r>
        <m:sSub>
          <m:e>
            <m:r>
              <w:rPr>
                <w:rFonts w:ascii="Cambria Math" w:hAnsi="Cambria Math"/>
              </w:rPr>
              <m:t xml:space="preserve">x</m:t>
            </m:r>
          </m:e>
          <m:sub>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 </m:t>
        </m:r>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r>
          <w:rPr>
            <w:rFonts w:ascii="Cambria Math" w:hAnsi="Cambria Math"/>
          </w:rPr>
          <m:t xml:space="preserve">}</m:t>
        </m:r>
        <m:r>
          <w:rPr>
            <w:rFonts w:ascii="Cambria Math" w:hAnsi="Cambria Math"/>
          </w:rPr>
          <m:t xml:space="preserve"/>
        </m:r>
        <m:r>
          <w:rPr>
            <w:rFonts w:ascii="Cambria Math" w:hAnsi="Cambria Math"/>
          </w:rPr>
          <m:t xml:space="preserve">)</m:t>
        </m:r>
      </m:oMath>
    </w:p>
    <w:p>
      <w:r/>
      <w:r>
        <w:rPr>
          <w:b/>
        </w:rPr>
        <w:t xml:space="preserve">Смысл формулы. </w:t>
      </w:r>
      <w:r>
        <w:t>Это общая схема обучения по контексту. Модель использует размеченные строки train для предсказания новой строки. Формула не утверждает, что TabICL и TabPFN имеют одинаковую архитектуру.</w:t>
      </w:r>
    </w:p>
    <w:p>
      <w:r/>
      <w:r>
        <w:rPr>
          <w:b/>
        </w:rPr>
        <w:t xml:space="preserve">Где применить. </w:t>
      </w:r>
      <w:r>
        <w:t>Предпочтительный пилот — таблица контрактов или «поставщик — период» с достаточно большим числом наблюдений и понятным исходом. Например, участие поставщика в будущем периоде, если история участия действительно доступна, или прогноз стоимости на корректно определённой выборке однотипных закупок.</w:t>
      </w:r>
    </w:p>
    <w:p>
      <w:r/>
      <w:r>
        <w:rPr>
          <w:b/>
        </w:rPr>
        <w:t xml:space="preserve">Ключевое ограничение. </w:t>
      </w:r>
      <w:r>
        <w:t>Документация сообщает, что обобщение на выборки меньше 300 обучающих примеров ещё не проверялось [5]. Поэтому нельзя объявлять TabICLv2 подходящей именно для 63 муниципалитетов на основании общего рейтинга. Тысячи зависимых строк одних и тех же участников также не равны тысячам независимых случаев.</w:t>
      </w:r>
    </w:p>
    <w:p>
      <w:r/>
      <w:r>
        <w:rPr>
          <w:b/>
        </w:rPr>
        <w:t xml:space="preserve">План эксперимента. </w:t>
      </w:r>
      <w:r>
        <w:t>Сначала сформировать небольшой репрезентативный набор, общий для TabICL, бустинга и простой модели. Зафиксировать признаки, метрику и лимит вычислений. Для переноса на новых поставщиков разделять по поставщику; для будущих торгов — по времени; при необходимости проверить оба сценария отдельно.</w:t>
      </w:r>
    </w:p>
    <w:p>
      <w:r/>
      <w:r>
        <w:rPr>
          <w:b/>
        </w:rPr>
        <w:t xml:space="preserve">Что исключать из признаков. </w:t>
      </w:r>
      <w:r>
        <w:t>Итог торгов, сведения об исполнении после даты прогноза, будущие агрегаты и идентификаторы, позволяющие запомнить целевую метку. Пропуски можно подавать модели, но факт отсутствия записи нельзя автоматически считать отрицательным событием.</w:t>
      </w:r>
    </w:p>
    <w:p>
      <w:r/>
      <w:r>
        <w:rPr>
          <w:b/>
        </w:rPr>
        <w:t xml:space="preserve">Результат пилота. </w:t>
      </w:r>
      <w:r>
        <w:t>Таблица качества, времени расчёта и устойчивости по группам. Если выигрыш над более простой моделью не воспроизводится, оставить простую модель. Конкретную версию библиотеки, весов и условий использования записать в паспорт запуска.</w:t>
      </w:r>
    </w:p>
    <w:p>
      <w:r>
        <w:br w:type="page"/>
      </w:r>
    </w:p>
    <w:p>
      <w:pPr>
        <w:pStyle w:val="Heading1"/>
      </w:pPr>
      <w:r>
        <w:t>10 Метод 8 Chronos 2 и прогноз временных рядов</w:t>
      </w:r>
    </w:p>
    <w:p>
      <w:r>
        <w:t>Статус: технический отчёт октября 2025 [6]. Приоритет Б после проверки календаря наблюдений.</w:t>
      </w:r>
    </w:p>
    <w:p>
      <w:r>
        <w:t>Chronos 2 — предобученная модель, поддерживающая отдельные и взаимосвязанные временные ряды, а также дополнительные признаки. Для проекта интересен короткий прогноз закупочной активности и показателей МСП, если история собрана сопоставимо.</w:t>
      </w:r>
    </w:p>
    <w:p>
      <w:pPr>
        <w:spacing w:before="140" w:after="180"/>
        <w:jc w:val="center"/>
      </w:pPr>
      <m:oMath>
        <m:sSub>
          <m:e>
            <m:acc>
              <m:accPr>
                <m:chr m:val="̂"/>
              </m:accPr>
              <m:e>
                <m:r>
                  <w:rPr>
                    <w:rFonts w:ascii="Cambria Math" w:hAnsi="Cambria Math"/>
                  </w:rPr>
                  <m:t xml:space="preserve">q</m:t>
                </m:r>
              </m:e>
            </m:acc>
          </m:e>
          <m:sub>
            <m:r>
              <w:rPr>
                <w:rFonts w:ascii="Cambria Math" w:hAnsi="Cambria Math"/>
              </w:rPr>
              <m:t xml:space="preserve">τ</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h</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θ</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r>
              <w:rPr>
                <w:rFonts w:ascii="Cambria Math" w:hAnsi="Cambria Math"/>
              </w:rPr>
              <m:t xml:space="preserve">:</m:t>
            </m:r>
            <m:r>
              <w:rPr>
                <w:rFonts w:ascii="Cambria Math" w:hAnsi="Cambria Math"/>
              </w:rPr>
              <m:t xml:space="preserve">t</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h</m:t>
            </m:r>
          </m:sub>
        </m:sSub>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h</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H</m:t>
        </m:r>
      </m:oMath>
    </w:p>
    <w:p>
      <w:pPr>
        <w:spacing w:before="140" w:after="180"/>
        <w:jc w:val="center"/>
      </w:pPr>
      <m:oMath>
        <m:sSub>
          <m:e>
            <m:r>
              <w:rPr>
                <w:rFonts w:ascii="Cambria Math" w:hAnsi="Cambria Math"/>
              </w:rPr>
              <m:t xml:space="preserve">ℓ</m:t>
            </m:r>
          </m:e>
          <m:sub>
            <m:r>
              <w:rPr>
                <w:rFonts w:ascii="Cambria Math" w:hAnsi="Cambria Math"/>
              </w:rPr>
              <m:t xml:space="preserve">τ</m:t>
            </m:r>
          </m:sub>
        </m:sSub>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y</m:t>
        </m:r>
        <m:r>
          <w:rPr>
            <w:rFonts w:ascii="Cambria Math" w:hAnsi="Cambria Math"/>
          </w:rPr>
          <m:t xml:space="preserve">&lt;</m:t>
        </m:r>
        <m:r>
          <w:rPr>
            <w:rFonts w:ascii="Cambria Math" w:hAnsi="Cambria Math"/>
          </w:rPr>
          <m:t xml:space="preserve">q</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q</m:t>
        </m:r>
        <m:r>
          <w:rPr>
            <w:rFonts w:ascii="Cambria Math" w:hAnsi="Cambria Math"/>
          </w:rPr>
          <m:t xml:space="preserve">)</m:t>
        </m:r>
      </m:oMath>
    </w:p>
    <w:p>
      <w:r/>
      <w:r>
        <w:rPr>
          <w:b/>
        </w:rPr>
        <w:t xml:space="preserve">Обозначения. </w:t>
      </w:r>
      <w:r>
        <w:t>q̂ — прогноз квантиля уровня τ на горизонт h; y — история целевого показателя; x — дополнительные признаки; H — горизонт. Вторая формула — квантильная функция потерь для оценки качества, не утверждение о конкретной реализации обучения Chronos 2. Будущие x допускаются только если известны на дату прогноза.</w:t>
      </w:r>
    </w:p>
    <w:p>
      <w:r/>
      <w:r>
        <w:rPr>
          <w:b/>
        </w:rPr>
        <w:t xml:space="preserve">Пилот для econtypes. </w:t>
      </w:r>
      <w:r>
        <w:t>Построить месячные ряды стоимости заключённых контрактов по укрупнённым категориям. Сначала убедиться, что ноль означает отсутствие контрактов, а не пропуск выгрузки. Неполный текущий месяц исключить либо отдельно моделировать его неполноту.</w:t>
      </w:r>
    </w:p>
    <w:p>
      <w:r/>
      <w:r>
        <w:rPr>
          <w:b/>
        </w:rPr>
        <w:t xml:space="preserve">Базовое сравнение. </w:t>
      </w:r>
      <w:r>
        <w:t>Прогноз «как в том же месяце прошлого года», скользящее среднее и простая сезонная модель. Сравнивать на нескольких последовательных датах отсечения с одинаковыми горизонтами 1–3 месяца. Считать абсолютную ошибку и квантильную потерю; MAPE плохо подходит для нулевых и малых значений.</w:t>
      </w:r>
    </w:p>
    <w:p>
      <w:r/>
      <w:r>
        <w:rPr>
          <w:b/>
        </w:rPr>
        <w:t xml:space="preserve">Ограничение данных. </w:t>
      </w:r>
      <w:r>
        <w:t>Два года месячных значений дают лишь два сезонных цикла. Такая история не обеспечивает надёжный дальний прогноз, даже если модель предобучена на огромной базе. Изменения классификаторов, охвата реестра и крупных разовых закупок могут определять результат сильнее алгоритма.</w:t>
      </w:r>
    </w:p>
    <w:p>
      <w:r/>
      <w:r>
        <w:rPr>
          <w:b/>
        </w:rPr>
        <w:t xml:space="preserve">Результат. </w:t>
      </w:r>
      <w:r>
        <w:t>Диапазон прогноза с датой отсечения, горизонтом и ошибкой на прошлых отсечениях. Не смешивать номинальные и реальные денежные показатели: при пересчёте цен документировать дефлятор и его доступность во времени.</w:t>
      </w:r>
    </w:p>
    <w:p>
      <w:r>
        <w:br w:type="page"/>
      </w:r>
    </w:p>
    <w:p>
      <w:pPr>
        <w:pStyle w:val="Heading1"/>
      </w:pPr>
      <w:r>
        <w:t>11 Метод 9 Прогнозные интервалы и LSCP</w:t>
      </w:r>
    </w:p>
    <w:p>
      <w:r>
        <w:t>Статус: conformal prediction — развитая теория [8]; пространственная LSCP — ICML 2026 [7]. Приоритет Б.</w:t>
      </w:r>
    </w:p>
    <w:p>
      <w:r>
        <w:t>Conformal prediction добавляет к прогнозу интервал на основе ошибок отдельной калибровочной выборки. В простой раздельной схеме для абсолютных ошибок используются следующие величины.</w:t>
      </w:r>
    </w:p>
    <w:p>
      <w:pPr>
        <w:spacing w:before="140" w:after="180"/>
        <w:jc w:val="center"/>
      </w:pPr>
      <m:o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f</m:t>
            </m:r>
          </m:e>
        </m:acc>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c</m:t>
            </m:r>
            <m:r>
              <w:rPr>
                <w:rFonts w:ascii="Cambria Math" w:hAnsi="Cambria Math"/>
              </w:rPr>
              <m:t xml:space="preserve">a</m:t>
            </m:r>
            <m:r>
              <w:rPr>
                <w:rFonts w:ascii="Cambria Math" w:hAnsi="Cambria Math"/>
              </w:rPr>
              <m:t xml:space="preserve">l</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m:t>
        </m:r>
      </m:oMath>
    </w:p>
    <w:p>
      <w:pPr>
        <w:spacing w:before="140" w:after="180"/>
        <w:jc w:val="center"/>
      </w:pPr>
      <m:oMath>
        <m:sSub>
          <m:e>
            <m:r>
              <w:rPr>
                <w:rFonts w:ascii="Cambria Math" w:hAnsi="Cambria Math"/>
              </w:rPr>
              <m:t xml:space="preserve">C</m:t>
            </m:r>
          </m:e>
          <m:sub>
            <m:r>
              <w:rPr>
                <w:rFonts w:ascii="Cambria Math" w:hAnsi="Cambria Math"/>
              </w:rPr>
              <m:t xml:space="preserve">α</m:t>
            </m:r>
          </m:sub>
        </m:sSub>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acc>
          <m:accPr>
            <m:chr m:val="̂"/>
          </m:accPr>
          <m:e>
            <m:r>
              <w:rPr>
                <w:rFonts w:ascii="Cambria Math" w:hAnsi="Cambria Math"/>
              </w:rPr>
              <m:t xml:space="preserve">f</m:t>
            </m:r>
          </m:e>
        </m:acc>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m:t>
            </m:r>
            <m:r>
              <w:rPr>
                <w:rFonts w:ascii="Cambria Math" w:hAnsi="Cambria Math"/>
              </w:rPr>
              <m:t xml:space="preserve">k</m:t>
            </m:r>
            <m:r>
              <w:rPr>
                <w:rFonts w:ascii="Cambria Math" w:hAnsi="Cambria Math"/>
              </w:rPr>
              <m:t xml:space="preserve">)</m:t>
            </m:r>
          </m:sub>
        </m:sSub>
        <m:r>
          <w:rPr>
            <w:rFonts w:ascii="Cambria Math" w:hAnsi="Cambria Math"/>
          </w:rPr>
          <m:t xml:space="preserve">,</m:t>
        </m:r>
        <m:r>
          <w:rPr>
            <w:rFonts w:ascii="Cambria Math" w:hAnsi="Cambria Math"/>
          </w:rPr>
          <m:t xml:space="preserve">  </m:t>
        </m:r>
        <m:acc>
          <m:accPr>
            <m:chr m:val="̂"/>
          </m:accPr>
          <m:e>
            <m:r>
              <w:rPr>
                <w:rFonts w:ascii="Cambria Math" w:hAnsi="Cambria Math"/>
              </w:rPr>
              <m:t xml:space="preserve">f</m:t>
            </m:r>
          </m:e>
        </m:acc>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sSub>
          <m:e>
            <m:r>
              <w:rPr>
                <w:rFonts w:ascii="Cambria Math" w:hAnsi="Cambria Math"/>
              </w:rPr>
              <m:t xml:space="preserve">r</m:t>
            </m:r>
          </m:e>
          <m:sub>
            <m:r>
              <w:rPr>
                <w:rFonts w:ascii="Cambria Math" w:hAnsi="Cambria Math"/>
              </w:rPr>
              <m:t xml:space="preserve">(</m:t>
            </m:r>
            <m:r>
              <w:rPr>
                <w:rFonts w:ascii="Cambria Math" w:hAnsi="Cambria Math"/>
              </w:rPr>
              <m:t xml:space="preserve">k</m:t>
            </m:r>
            <m:r>
              <w:rPr>
                <w:rFonts w:ascii="Cambria Math" w:hAnsi="Cambria Math"/>
              </w:rPr>
              <m:t xml:space="preserve">)</m:t>
            </m:r>
          </m:sub>
        </m:sSub>
        <m:r>
          <w:rPr>
            <w:rFonts w:ascii="Cambria Math" w:hAnsi="Cambria Math"/>
          </w:rPr>
          <m:t xml:space="preserve">]</m:t>
        </m:r>
      </m:oMath>
    </w:p>
    <w:p>
      <w:r/>
      <w:r>
        <w:rPr>
          <w:b/>
        </w:rPr>
        <w:t xml:space="preserve">Обозначения. </w:t>
      </w:r>
      <w:r>
        <w:t>ncal — число калибровочных примеров; r₍ₖ₎ — k-я упорядоченная ошибка; α — допустимая доля непокрытия. Если k &gt; ncal, стандартная консервативная конструкция использует бесконечный порог. Модель f обучают без калибровочных и тестовых исходов.</w:t>
      </w:r>
    </w:p>
    <w:p>
      <w:r/>
      <w:r>
        <w:rPr>
          <w:b/>
        </w:rPr>
        <w:t xml:space="preserve">Гарантия и её границы. </w:t>
      </w:r>
      <w:r>
        <w:t>При обменности калибровочных и будущего наблюдений достигается маргинальное покрытие не ниже 1 − α. Это не 90% вероятность точности конкретного уже рассчитанного интервала для конкретного МО. Пространственная и временная зависимость могут нарушать предпосылки простой схемы.</w:t>
      </w:r>
    </w:p>
    <w:p>
      <w:r/>
      <w:r>
        <w:rPr>
          <w:b/>
        </w:rPr>
        <w:t xml:space="preserve">Что нового в LSCP. </w:t>
      </w:r>
      <w:r>
        <w:t>Работа 2026 года сочетает локальную квантильную регрессию с калибровкой по пространственному окружению. Авторы устанавливают конечновыборочное маргинальное покрытие при пространственной обменности и асимптотическое условное покрытие при стационарности и пространственном смешивании [7]. Эти условия нужно оценивать применительно к нашим данным.</w:t>
      </w:r>
    </w:p>
    <w:p>
      <w:r/>
      <w:r>
        <w:rPr>
          <w:b/>
        </w:rPr>
        <w:t xml:space="preserve">Условный пример. </w:t>
      </w:r>
      <w:r>
        <w:t>При ncal = 19 и α = 0,1 берётся 18-я ошибка. Если она равна 12, а точечный прогноз — 100, интервал равен [88; 112]. Это учебный пример, не рассчитанный прогноз муниципалитета.</w:t>
      </w:r>
    </w:p>
    <w:p>
      <w:r/>
      <w:r>
        <w:rPr>
          <w:b/>
        </w:rPr>
        <w:t xml:space="preserve">Применение. </w:t>
      </w:r>
      <w:r>
        <w:t>Добавлять интервалы к прогнозу местной закупочной доли или численности МСП. При 63 территориях локальных наблюдений мало: сначала сравнить общую и пространственную калибровку на отдельной проверке. Показывать фактическое покрытие, ширину интервала и число проверочных случаев.</w:t>
      </w:r>
    </w:p>
    <w:p>
      <w:r>
        <w:br w:type="page"/>
      </w:r>
    </w:p>
    <w:p>
      <w:pPr>
        <w:pStyle w:val="Heading1"/>
      </w:pPr>
      <w:r>
        <w:t>12 Метод 10 Граф закупок с учётом пропусков</w:t>
      </w:r>
    </w:p>
    <w:p>
      <w:r>
        <w:t>Статус: M²DG, IEEE Access, июнь 2026 [9]. Приоритет В для нейросети; описательную сеть можно построить раньше.</w:t>
      </w:r>
    </w:p>
    <w:p>
      <w:r>
        <w:t>В закупках важны отношения: кто участвует в одних процедурах, кто выигрывает у одного заказчика, как меняются связи по времени. M²DG исследует графовую модель с учётом пропусков, надёжности передачи информации и переноса между рынками.</w:t>
      </w:r>
    </w:p>
    <w:p>
      <w:pPr>
        <w:spacing w:before="140" w:after="180"/>
        <w:jc w:val="center"/>
      </w:pPr>
      <m:oMath>
        <m:sSubSup>
          <m:e>
            <m:r>
              <w:rPr>
                <w:rFonts w:ascii="Cambria Math" w:hAnsi="Cambria Math"/>
              </w:rPr>
              <m:t xml:space="preserve">h</m:t>
            </m:r>
          </m:e>
          <m:sub>
            <m:r>
              <w:rPr>
                <w:rFonts w:ascii="Cambria Math" w:hAnsi="Cambria Math"/>
              </w:rPr>
              <m:t xml:space="preserve">v</m:t>
            </m:r>
          </m:sub>
          <m:sup>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1</m:t>
            </m:r>
            <m:r>
              <w:rPr>
                <w:rFonts w:ascii="Cambria Math" w:hAnsi="Cambria Math"/>
              </w:rPr>
              <m:t xml:space="preserve">)</m:t>
            </m:r>
          </m:sup>
        </m:sSubSup>
        <m:r>
          <w:rPr>
            <w:rFonts w:ascii="Cambria Math" w:hAnsi="Cambria Math"/>
          </w:rPr>
          <m:t xml:space="preserve">=</m:t>
        </m:r>
        <m:r>
          <w:rPr>
            <w:rFonts w:ascii="Cambria Math" w:hAnsi="Cambria Math"/>
          </w:rPr>
          <m:t xml:space="preserve">σ</m:t>
        </m:r>
        <m:r>
          <w:rPr>
            <w:rFonts w:ascii="Cambria Math" w:hAnsi="Cambria Math"/>
          </w:rPr>
          <m:t xml:space="preserve"/>
        </m:r>
        <m:r>
          <w:rPr>
            <w:rFonts w:ascii="Cambria Math" w:hAnsi="Cambria Math"/>
          </w:rPr>
          <m:t xml:space="preserve">(</m:t>
        </m:r>
        <m:sSub>
          <m:e>
            <m:r>
              <w:rPr>
                <w:rFonts w:ascii="Cambria Math" w:hAnsi="Cambria Math"/>
              </w:rPr>
              <m:t xml:space="preserve">W</m:t>
            </m:r>
          </m:e>
          <m:sub>
            <m:r>
              <w:rPr>
                <w:rFonts w:ascii="Cambria Math" w:hAnsi="Cambria Math"/>
              </w:rPr>
              <m:t xml:space="preserve">0</m:t>
            </m:r>
          </m:sub>
        </m:sSub>
        <m:sSubSup>
          <m:e>
            <m:r>
              <w:rPr>
                <w:rFonts w:ascii="Cambria Math" w:hAnsi="Cambria Math"/>
              </w:rPr>
              <m:t xml:space="preserve">h</m:t>
            </m:r>
          </m:e>
          <m:sub>
            <m:r>
              <w:rPr>
                <w:rFonts w:ascii="Cambria Math" w:hAnsi="Cambria Math"/>
              </w:rPr>
              <m:t xml:space="preserve">v</m:t>
            </m:r>
          </m:sub>
          <m:sup>
            <m:r>
              <w:rPr>
                <w:rFonts w:ascii="Cambria Math" w:hAnsi="Cambria Math"/>
              </w:rPr>
              <m:t xml:space="preserve">(</m:t>
            </m:r>
            <m:r>
              <w:rPr>
                <w:rFonts w:ascii="Cambria Math" w:hAnsi="Cambria Math"/>
              </w:rPr>
              <m:t xml:space="preserve">l</m:t>
            </m:r>
            <m:r>
              <w:rPr>
                <w:rFonts w:ascii="Cambria Math" w:hAnsi="Cambria Math"/>
              </w:rPr>
              <m:t xml:space="preserve">)</m:t>
            </m:r>
          </m:sup>
        </m:sSubSup>
        <m:r>
          <w:rPr>
            <w:rFonts w:ascii="Cambria Math" w:hAnsi="Cambria Math"/>
          </w:rPr>
          <m:t xml:space="preserve">+</m:t>
        </m:r>
        <m:sSub>
          <m:e>
            <m:r>
              <w:rPr>
                <w:rFonts w:ascii="Cambria Math" w:hAnsi="Cambria Math"/>
              </w:rPr>
              <m:t xml:space="preserve">∑</m:t>
            </m:r>
          </m:e>
          <m:sub>
            <m:r>
              <w:rPr>
                <w:rFonts w:ascii="Cambria Math" w:hAnsi="Cambria Math"/>
              </w:rPr>
              <m:t xml:space="preserve">u</m:t>
            </m:r>
            <m:r>
              <w:rPr>
                <w:rFonts w:ascii="Cambria Math" w:hAnsi="Cambria Math"/>
              </w:rPr>
              <m:t xml:space="preserve">∈</m:t>
            </m:r>
            <m:r>
              <w:rPr>
                <w:rFonts w:ascii="Cambria Math" w:hAnsi="Cambria Math"/>
              </w:rPr>
              <m:t xml:space="preserve"> </m:t>
            </m:r>
            <m:r>
              <w:rPr>
                <w:rFonts w:ascii="Cambria Math" w:hAnsi="Cambria Math"/>
              </w:rPr>
              <m:t xml:space="preserve">N</m:t>
            </m:r>
            <m:r>
              <w:rPr>
                <w:rFonts w:ascii="Cambria Math" w:hAnsi="Cambria Math"/>
              </w:rPr>
              <m:t xml:space="preserve">(</m:t>
            </m:r>
            <m:r>
              <w:rPr>
                <w:rFonts w:ascii="Cambria Math" w:hAnsi="Cambria Math"/>
              </w:rPr>
              <m:t xml:space="preserve">v</m:t>
            </m:r>
            <m:r>
              <w:rPr>
                <w:rFonts w:ascii="Cambria Math" w:hAnsi="Cambria Math"/>
              </w:rPr>
              <m:t xml:space="preserve">)</m:t>
            </m:r>
          </m:sub>
        </m:sSub>
        <m:sSub>
          <m:e>
            <m:r>
              <w:rPr>
                <w:rFonts w:ascii="Cambria Math" w:hAnsi="Cambria Math"/>
              </w:rPr>
              <m:t xml:space="preserve">g</m:t>
            </m:r>
          </m:e>
          <m:sub>
            <m:r>
              <w:rPr>
                <w:rFonts w:ascii="Cambria Math" w:hAnsi="Cambria Math"/>
              </w:rPr>
              <m:t xml:space="preserve">u</m:t>
            </m:r>
            <m:r>
              <w:rPr>
                <w:rFonts w:ascii="Cambria Math" w:hAnsi="Cambria Math"/>
              </w:rPr>
              <m:t xml:space="preserve">v</m:t>
            </m:r>
          </m:sub>
        </m:sSub>
        <m:sSub>
          <m:e>
            <m:r>
              <w:rPr>
                <w:rFonts w:ascii="Cambria Math" w:hAnsi="Cambria Math"/>
              </w:rPr>
              <m:t xml:space="preserve">α</m:t>
            </m:r>
          </m:e>
          <m:sub>
            <m:r>
              <w:rPr>
                <w:rFonts w:ascii="Cambria Math" w:hAnsi="Cambria Math"/>
              </w:rPr>
              <m:t xml:space="preserve">u</m:t>
            </m:r>
            <m:r>
              <w:rPr>
                <w:rFonts w:ascii="Cambria Math" w:hAnsi="Cambria Math"/>
              </w:rPr>
              <m:t xml:space="preserve">v</m:t>
            </m:r>
          </m:sub>
        </m:sSub>
        <m:sSub>
          <m:e>
            <m:r>
              <w:rPr>
                <w:rFonts w:ascii="Cambria Math" w:hAnsi="Cambria Math"/>
              </w:rPr>
              <m:t xml:space="preserve">W</m:t>
            </m:r>
          </m:e>
          <m:sub>
            <m:r>
              <w:rPr>
                <w:rFonts w:ascii="Cambria Math" w:hAnsi="Cambria Math"/>
              </w:rPr>
              <m:t xml:space="preserve">r</m:t>
            </m:r>
          </m:sub>
        </m:sSub>
        <m:sSubSup>
          <m:e>
            <m:r>
              <w:rPr>
                <w:rFonts w:ascii="Cambria Math" w:hAnsi="Cambria Math"/>
              </w:rPr>
              <m:t xml:space="preserve">h</m:t>
            </m:r>
          </m:e>
          <m:sub>
            <m:r>
              <w:rPr>
                <w:rFonts w:ascii="Cambria Math" w:hAnsi="Cambria Math"/>
              </w:rPr>
              <m:t xml:space="preserve">u</m:t>
            </m:r>
          </m:sub>
          <m:sup>
            <m:r>
              <w:rPr>
                <w:rFonts w:ascii="Cambria Math" w:hAnsi="Cambria Math"/>
              </w:rPr>
              <m:t xml:space="preserve">(</m:t>
            </m:r>
            <m:r>
              <w:rPr>
                <w:rFonts w:ascii="Cambria Math" w:hAnsi="Cambria Math"/>
              </w:rPr>
              <m:t xml:space="preserve">l</m:t>
            </m:r>
            <m:r>
              <w:rPr>
                <w:rFonts w:ascii="Cambria Math" w:hAnsi="Cambria Math"/>
              </w:rPr>
              <m:t xml:space="preserve">)</m:t>
            </m:r>
          </m:sup>
        </m:sSubSup>
        <m:r>
          <w:rPr>
            <w:rFonts w:ascii="Cambria Math" w:hAnsi="Cambria Math"/>
          </w:rPr>
          <m:t xml:space="preserve"/>
        </m:r>
        <m:r>
          <w:rPr>
            <w:rFonts w:ascii="Cambria Math" w:hAnsi="Cambria Math"/>
          </w:rPr>
          <m:t xml:space="preserve">)</m:t>
        </m:r>
      </m:oMath>
    </w:p>
    <w:p>
      <w:r/>
      <w:r>
        <w:rPr>
          <w:b/>
        </w:rPr>
        <w:t xml:space="preserve">Статус формулы. </w:t>
      </w:r>
      <w:r>
        <w:t>Это упрощённая схема агрегации сообщений, а не точная формула архитектуры статьи. h — представление узла; N — соседи; Wᵣ — преобразование для типа связи; α — вес внимания; g от 0 до 1 — коэффициент надёжности; σ — нелинейность.</w:t>
      </w:r>
    </w:p>
    <w:p>
      <w:r/>
      <w:r>
        <w:rPr>
          <w:b/>
        </w:rPr>
        <w:t xml:space="preserve">Применение в econtypes. </w:t>
      </w:r>
      <w:r>
        <w:t>Создать отдельные типы узлов: заказчик, поставщик, процедура, товарная группа, муниципалитет. Хранить дату и тип каждой связи. Связь «поставщик → заказчик» со стоимостью контракта должна иметь одинаковый смысл в данных, методике и интерфейсе.</w:t>
      </w:r>
    </w:p>
    <w:p>
      <w:r/>
      <w:r>
        <w:rPr>
          <w:b/>
        </w:rPr>
        <w:t xml:space="preserve">Практичный первый шаг. </w:t>
      </w:r>
      <w:r>
        <w:t>До нейросети посчитать повторяемость пар, долю крупнейших поставщиков, концентрацию и устойчивость связей. Сравнивать внутри сходных категорий закупок и временных окон. Графовую модель добавлять только при наличии задачи, которую эти показатели решают недостаточно хорошо.</w:t>
      </w:r>
    </w:p>
    <w:p>
      <w:r/>
      <w:r>
        <w:rPr>
          <w:b/>
        </w:rPr>
        <w:t xml:space="preserve">Требования. </w:t>
      </w:r>
      <w:r>
        <w:t>Нужны стабильные идентификаторы участников и процедур, временные отметки и причины пропусков. Если доступны только победители, отсутствует сеть совместных заявок: её нельзя восстановить как факт из сети контрактов. Признаки соседей формировать только из прошлого.</w:t>
      </w:r>
    </w:p>
    <w:p>
      <w:r/>
      <w:r>
        <w:rPr>
          <w:b/>
        </w:rPr>
        <w:t xml:space="preserve">Ограничение. </w:t>
      </w:r>
      <w:r>
        <w:t>Повторяющаяся связь не доказывает сговор. Качество переноса зарубежной модели необходимо проверять отдельно. Результат — сигнал для изучения документов, а не юридический вывод. В обзоре использован авторский полный текст публикации; ссылка издателя также приведена в библиографии.</w:t>
      </w:r>
    </w:p>
    <w:p>
      <w:r>
        <w:br w:type="page"/>
      </w:r>
    </w:p>
    <w:p>
      <w:pPr>
        <w:pStyle w:val="Heading1"/>
      </w:pPr>
      <w:r>
        <w:t>13 Метод 11 Комбинация закупочных индикаторов риска</w:t>
      </w:r>
    </w:p>
    <w:p>
      <w:r>
        <w:t>Статус: международное исследование, журнал IJIO, январь 2026 [10]. Приоритет Б при наличии проверенных меток.</w:t>
      </w:r>
    </w:p>
    <w:p>
      <w:r>
        <w:t>Fazekas и соавторы проверили комбинацию ценовых и поведенческих индикаторов на 73 подтверждённых картелях из 7 европейских стран. На разных случаях и странах точность была 70–84%, тогда как внутри одного случая достигала 97%. Для нас важен разрыв между простым и трудным сценарием проверки, а не перенос этих процентов на российские закупки.</w:t>
      </w:r>
    </w:p>
    <w:p>
      <w:pPr>
        <w:spacing w:before="140" w:after="180"/>
        <w:jc w:val="center"/>
      </w:pPr>
      <m:oMath>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B</m:t>
            </m:r>
          </m:den>
        </m:f>
        <m:sSubSup>
          <m:e>
            <m:r>
              <w:rPr>
                <w:rFonts w:ascii="Cambria Math" w:hAnsi="Cambria Math"/>
              </w:rPr>
              <m:t xml:space="preserve">∑</m:t>
            </m:r>
          </m:e>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B</m:t>
            </m:r>
          </m:sup>
        </m:sSubSup>
        <m:sSub>
          <m:e>
            <m:r>
              <w:rPr>
                <w:rFonts w:ascii="Cambria Math" w:hAnsi="Cambria Math"/>
              </w:rPr>
              <m:t xml:space="preserve">p</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 </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H</m:t>
        </m:r>
        <m:r>
          <w:rPr>
            <w:rFonts w:ascii="Cambria Math" w:hAnsi="Cambria Math"/>
          </w:rPr>
          <m:t xml:space="preserve">H</m:t>
        </m:r>
        <m:r>
          <w:rPr>
            <w:rFonts w:ascii="Cambria Math" w:hAnsi="Cambria Math"/>
          </w:rPr>
          <m:t xml:space="preserve">I</m:t>
        </m:r>
        <m:r>
          <w:rPr>
            <w:rFonts w:ascii="Cambria Math" w:hAnsi="Cambria Math"/>
          </w:rPr>
          <m:t xml:space="preserve">=</m:t>
        </m:r>
        <m:sSubSup>
          <m:e>
            <m:r>
              <w:rPr>
                <w:rFonts w:ascii="Cambria Math" w:hAnsi="Cambria Math"/>
              </w:rPr>
              <m:t xml:space="preserve">∑</m:t>
            </m:r>
          </m:e>
          <m:sub>
            <m:r>
              <w:rPr>
                <w:rFonts w:ascii="Cambria Math" w:hAnsi="Cambria Math"/>
              </w:rPr>
              <m:t xml:space="preserve">s</m:t>
            </m:r>
            <m:r>
              <w:rPr>
                <w:rFonts w:ascii="Cambria Math" w:hAnsi="Cambria Math"/>
              </w:rPr>
              <m:t xml:space="preserve">=</m:t>
            </m:r>
            <m:r>
              <w:rPr>
                <w:rFonts w:ascii="Cambria Math" w:hAnsi="Cambria Math"/>
              </w:rPr>
              <m:t xml:space="preserve">1</m:t>
            </m:r>
          </m:sub>
          <m:sup>
            <m:r>
              <w:rPr>
                <w:rFonts w:ascii="Cambria Math" w:hAnsi="Cambria Math"/>
              </w:rPr>
              <m:t xml:space="preserve">S</m:t>
            </m:r>
          </m:sup>
        </m:sSubSup>
        <m:sSubSup>
          <m:e>
            <m:r>
              <w:rPr>
                <w:rFonts w:ascii="Cambria Math" w:hAnsi="Cambria Math"/>
              </w:rPr>
              <m:t xml:space="preserve">w</m:t>
            </m:r>
          </m:e>
          <m:sub>
            <m:r>
              <w:rPr>
                <w:rFonts w:ascii="Cambria Math" w:hAnsi="Cambria Math"/>
              </w:rPr>
              <m:t xml:space="preserve">s</m:t>
            </m:r>
          </m:sub>
          <m:sup>
            <m:r>
              <w:rPr>
                <w:rFonts w:ascii="Cambria Math" w:hAnsi="Cambria Math"/>
              </w:rPr>
              <m:t xml:space="preserve">2</m:t>
            </m:r>
          </m:sup>
        </m:sSubSup>
      </m:oMath>
    </w:p>
    <w:p>
      <w:r/>
      <w:r>
        <w:rPr>
          <w:b/>
        </w:rPr>
        <w:t xml:space="preserve">Обозначения. </w:t>
      </w:r>
      <w:r>
        <w:t>R — усреднённая оценка деревьев случайного леса; B — число деревьев; x — индикаторы, известные на дату оценки. HHI — сумма квадратов долей поставщиков w внутри сопоставимого рынка. Эта формула концентрации является возможным компонентом нашего набора, а не достаточным признаком нарушения.</w:t>
      </w:r>
    </w:p>
    <w:p>
      <w:r/>
      <w:r>
        <w:rPr>
          <w:b/>
        </w:rPr>
        <w:t xml:space="preserve">Применение. </w:t>
      </w:r>
      <w:r>
        <w:t>Отдельно анализировать концентрацию, повторяемость побед, число заявок, длительность процедур и ценовые отклонения, если соответствующие данные доступны. Состав индикаторов зависит от закупочного способа и категории товара. Закупка у единственного поставщика сама по себе не доказывает нарушение.</w:t>
      </w:r>
    </w:p>
    <w:p>
      <w:r/>
      <w:r>
        <w:rPr>
          <w:b/>
        </w:rPr>
        <w:t xml:space="preserve">Если меток нет. </w:t>
      </w:r>
      <w:r>
        <w:t>Не обучать «вероятность картеля» на самостоятельно придуманной разметке, которая просто повторяет те же индикаторы. Можно сделать описательный профиль и очередь экспертной проверки; после проверки накапливать независимую разметку с причиной решения.</w:t>
      </w:r>
    </w:p>
    <w:p>
      <w:r/>
      <w:r>
        <w:rPr>
          <w:b/>
        </w:rPr>
        <w:t xml:space="preserve">Как оценивать. </w:t>
      </w:r>
      <w:r>
        <w:t>Разделять связанные процедуры и участников между обучением и тестом согласно задаче переноса. При редких положительных случаях использовать precision в первых K сигналах, полноту и PR AUC. Одна accuracy может быть высокой у модели, которая никого не отмечает.</w:t>
      </w:r>
    </w:p>
    <w:p>
      <w:r/>
      <w:r>
        <w:rPr>
          <w:b/>
        </w:rPr>
        <w:t xml:space="preserve">Что показывать пользователю. </w:t>
      </w:r>
      <w:r>
        <w:t>«Нетипичный профиль по таким-то индикаторам», число наблюдений и сравнимую группу. Названия организаций в публичных результатах не сопровождать утверждением о нарушении на основании модельного балла.</w:t>
      </w:r>
    </w:p>
    <w:p>
      <w:r>
        <w:br w:type="page"/>
      </w:r>
    </w:p>
    <w:p>
      <w:pPr>
        <w:pStyle w:val="Heading1"/>
      </w:pPr>
      <w:r>
        <w:t>14 Метод 12 Double Machine Learning</w:t>
      </w:r>
    </w:p>
    <w:p>
      <w:r>
        <w:t>Статус: рецензируемая эконометрическая работа 2018 года [15]. Приоритет В до постановки причинного вопроса.</w:t>
      </w:r>
    </w:p>
    <w:p>
      <w:r>
        <w:t>DML помогает оценить параметр воздействия при сложной зависимости от наблюдаемых факторов. Для частично линейной модели сначала получают прогнозы исхода и воздействия по контрольным признакам, затем работают с остатками.</w:t>
      </w:r>
    </w:p>
    <w:p>
      <w:pPr>
        <w:spacing w:before="140" w:after="180"/>
        <w:jc w:val="center"/>
      </w:pPr>
      <m:oMath>
        <m:r>
          <w:rPr>
            <w:rFonts w:ascii="Cambria Math" w:hAnsi="Cambria Math"/>
          </w:rPr>
          <m:t xml:space="preserve">Y</m:t>
        </m:r>
        <m:r>
          <w:rPr>
            <w:rFonts w:ascii="Cambria Math" w:hAnsi="Cambria Math"/>
          </w:rPr>
          <m:t xml:space="preserve">=</m:t>
        </m:r>
        <m:r>
          <w:rPr>
            <w:rFonts w:ascii="Cambria Math" w:hAnsi="Cambria Math"/>
          </w:rPr>
          <m:t xml:space="preserve">θ</m:t>
        </m:r>
        <m:r>
          <w:rPr>
            <w:rFonts w:ascii="Cambria Math" w:hAnsi="Cambria Math"/>
          </w:rPr>
          <m:t xml:space="preserve"> </m:t>
        </m:r>
        <m:r>
          <w:rPr>
            <w:rFonts w:ascii="Cambria Math" w:hAnsi="Cambria Math"/>
          </w:rPr>
          <m:t xml:space="preserve">T</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    </m:t>
        </m:r>
        <m:r>
          <w:rPr>
            <w:rFonts w:ascii="Cambria Math" w:hAnsi="Cambria Math"/>
          </w:rPr>
          <m:t xml:space="preserve"> </m:t>
        </m:r>
        <m:sSub>
          <m:e>
            <m:acc>
              <m:accPr>
                <m:chr m:val="̃"/>
              </m:accPr>
              <m:e>
                <m:r>
                  <w:rPr>
                    <w:rFonts w:ascii="Cambria Math" w:hAnsi="Cambria Math"/>
                  </w:rPr>
                  <m:t xml:space="preserve">Y</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sSup>
          <m:e>
            <m:acc>
              <m:accPr>
                <m:chr m:val="̂"/>
              </m:accPr>
              <m:e>
                <m:r>
                  <w:rPr>
                    <w:rFonts w:ascii="Cambria Math" w:hAnsi="Cambria Math"/>
                  </w:rPr>
                  <m:t xml:space="preserve">ℓ</m:t>
                </m:r>
              </m:e>
            </m:acc>
          </m:e>
          <m:sup>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sup>
        </m:s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p>
          <m:e>
            <m:acc>
              <m:accPr>
                <m:chr m:val="̂"/>
              </m:accPr>
              <m:e>
                <m:r>
                  <w:rPr>
                    <w:rFonts w:ascii="Cambria Math" w:hAnsi="Cambria Math"/>
                  </w:rPr>
                  <m:t xml:space="preserve">m</m:t>
                </m:r>
              </m:e>
            </m:acc>
          </m:e>
          <m:sup>
            <m:r>
              <w:rPr>
                <w:rFonts w:ascii="Cambria Math" w:hAnsi="Cambria Math"/>
              </w:rPr>
              <m:t xml:space="preserve">(</m:t>
            </m:r>
            <m:r>
              <w:rPr>
                <w:rFonts w:ascii="Cambria Math" w:hAnsi="Cambria Math"/>
              </w:rPr>
              <m:t xml:space="preserve">-</m:t>
            </m:r>
            <m:r>
              <w:rPr>
                <w:rFonts w:ascii="Cambria Math" w:hAnsi="Cambria Math"/>
              </w:rPr>
              <m:t xml:space="preserve">f</m:t>
            </m:r>
            <m:r>
              <w:rPr>
                <w:rFonts w:ascii="Cambria Math" w:hAnsi="Cambria Math"/>
              </w:rPr>
              <m:t xml:space="preserve">)</m:t>
            </m:r>
          </m:sup>
        </m:sSup>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oMath>
    </w:p>
    <w:p>
      <w:pPr>
        <w:spacing w:before="140" w:after="180"/>
        <w:jc w:val="center"/>
      </w:pPr>
      <m:oMath>
        <m:acc>
          <m:accPr>
            <m:chr m:val="̂"/>
          </m:accPr>
          <m:e>
            <m:r>
              <w:rPr>
                <w:rFonts w:ascii="Cambria Math" w:hAnsi="Cambria Math"/>
              </w:rPr>
              <m:t xml:space="preserve">θ</m:t>
            </m:r>
          </m:e>
        </m:acc>
        <m:r>
          <w:rPr>
            <w:rFonts w:ascii="Cambria Math" w:hAnsi="Cambria Math"/>
          </w:rPr>
          <m:t xml:space="preserve">=</m:t>
        </m:r>
        <m:f>
          <m:num>
            <m:sSub>
              <m:e>
                <m:r>
                  <w:rPr>
                    <w:rFonts w:ascii="Cambria Math" w:hAnsi="Cambria Math"/>
                  </w:rPr>
                  <m:t xml:space="preserve">∑</m:t>
                </m:r>
              </m:e>
              <m:sub>
                <m:r>
                  <w:rPr>
                    <w:rFonts w:ascii="Cambria Math" w:hAnsi="Cambria Math"/>
                  </w:rPr>
                  <m:t xml:space="preserve">i</m:t>
                </m:r>
              </m:sub>
            </m:sSub>
            <m:sSub>
              <m:e>
                <m:acc>
                  <m:accPr>
                    <m:chr m:val="̃"/>
                  </m:accPr>
                  <m:e>
                    <m:r>
                      <w:rPr>
                        <w:rFonts w:ascii="Cambria Math" w:hAnsi="Cambria Math"/>
                      </w:rPr>
                      <m:t xml:space="preserve">T</m:t>
                    </m:r>
                  </m:e>
                </m:acc>
              </m:e>
              <m:sub>
                <m:r>
                  <w:rPr>
                    <w:rFonts w:ascii="Cambria Math" w:hAnsi="Cambria Math"/>
                  </w:rPr>
                  <m:t xml:space="preserve">i</m:t>
                </m:r>
              </m:sub>
            </m:sSub>
            <m:sSub>
              <m:e>
                <m:acc>
                  <m:accPr>
                    <m:chr m:val="̃"/>
                  </m:accPr>
                  <m:e>
                    <m:r>
                      <w:rPr>
                        <w:rFonts w:ascii="Cambria Math" w:hAnsi="Cambria Math"/>
                      </w:rPr>
                      <m:t xml:space="preserve">Y</m:t>
                    </m:r>
                  </m:e>
                </m:acc>
              </m:e>
              <m:sub>
                <m:r>
                  <w:rPr>
                    <w:rFonts w:ascii="Cambria Math" w:hAnsi="Cambria Math"/>
                  </w:rPr>
                  <m:t xml:space="preserve">i</m:t>
                </m:r>
              </m:sub>
            </m:sSub>
          </m:num>
          <m:den>
            <m:sSub>
              <m:e>
                <m:r>
                  <w:rPr>
                    <w:rFonts w:ascii="Cambria Math" w:hAnsi="Cambria Math"/>
                  </w:rPr>
                  <m:t xml:space="preserve">∑</m:t>
                </m:r>
              </m:e>
              <m:sub>
                <m:r>
                  <w:rPr>
                    <w:rFonts w:ascii="Cambria Math" w:hAnsi="Cambria Math"/>
                  </w:rPr>
                  <m:t xml:space="preserve">i</m:t>
                </m:r>
              </m:sub>
            </m:sSub>
            <m:sSubSup>
              <m:e>
                <m:acc>
                  <m:accPr>
                    <m:chr m:val="̃"/>
                  </m:accPr>
                  <m:e>
                    <m:r>
                      <w:rPr>
                        <w:rFonts w:ascii="Cambria Math" w:hAnsi="Cambria Math"/>
                      </w:rPr>
                      <m:t xml:space="preserve">T</m:t>
                    </m:r>
                  </m:e>
                </m:acc>
              </m:e>
              <m:sub>
                <m:r>
                  <w:rPr>
                    <w:rFonts w:ascii="Cambria Math" w:hAnsi="Cambria Math"/>
                  </w:rPr>
                  <m:t xml:space="preserve">i</m:t>
                </m:r>
              </m:sub>
              <m:sup>
                <m:r>
                  <w:rPr>
                    <w:rFonts w:ascii="Cambria Math" w:hAnsi="Cambria Math"/>
                  </w:rPr>
                  <m:t xml:space="preserve">2</m:t>
                </m:r>
              </m:sup>
            </m:sSubSup>
          </m:den>
        </m:f>
      </m:oMath>
    </w:p>
    <w:p>
      <w:r/>
      <w:r>
        <w:rPr>
          <w:b/>
        </w:rPr>
        <w:t xml:space="preserve">Обозначения. </w:t>
      </w:r>
      <w:r>
        <w:t>Y — исход; T — воздействие; X — факторы до воздействия; ℓ оценивает E[Y|X], m оценивает E[T|X]. Индекс −f означает обучение на других разбиениях. Формула показана для частично линейного случая и сама по себе не является универсальной оценкой среднего эффекта любой программы.</w:t>
      </w:r>
    </w:p>
    <w:p>
      <w:r/>
      <w:r>
        <w:rPr>
          <w:b/>
        </w:rPr>
        <w:t xml:space="preserve">Вопрос проекта. </w:t>
      </w:r>
      <w:r>
        <w:t>Например: как получение конкретной меры поддержки связано с последующей занятостью при обоснованной причинной постановке? Нужны дата участия, критерии отбора, предшествующие характеристики и результат после поддержки. Для оценки эффекта заранее определить целевую совокупность и горизонт.</w:t>
      </w:r>
    </w:p>
    <w:p>
      <w:r/>
      <w:r>
        <w:rPr>
          <w:b/>
        </w:rPr>
        <w:t xml:space="preserve">Что даёт метод. </w:t>
      </w:r>
      <w:r>
        <w:t>Ортогональные оценки и cross-fitting уменьшают влияние ошибок вспомогательного машинного обучения. Но они не устраняют скрытые причины одновременного выбора участия и роста бизнеса. Контроли после вмешательства могут сами создать смещение.</w:t>
      </w:r>
    </w:p>
    <w:p>
      <w:r/>
      <w:r>
        <w:rPr>
          <w:b/>
        </w:rPr>
        <w:t xml:space="preserve">Проверка предпосылок. </w:t>
      </w:r>
      <w:r>
        <w:t>Требуются обоснование отсутствия существенного ненаблюдаемого смешения, достаточное пересечение групп, корректная временная последовательность и учёт возможного влияния одной территории на другую. При кластеризации по МО оценивать неопределённость с учётом кластеров; 63 кластера — ограниченный объём информации.</w:t>
      </w:r>
    </w:p>
    <w:p>
      <w:r/>
      <w:r>
        <w:rPr>
          <w:b/>
        </w:rPr>
        <w:t xml:space="preserve">Результат. </w:t>
      </w:r>
      <w:r>
        <w:t>Оценка эффекта с интервалом, описанием группы и допущений. Если предпосылки не защищены, называть результат скорректированной связью. Регрессию доли МСП на закупки нельзя автоматически объявить доказательством того, что закупки создают МСП.</w:t>
      </w:r>
    </w:p>
    <w:p>
      <w:r>
        <w:br w:type="page"/>
      </w:r>
    </w:p>
    <w:p>
      <w:pPr>
        <w:pStyle w:val="Heading1"/>
      </w:pPr>
      <w:r>
        <w:t>15 Метод 13 Synthetic Difference in Differences</w:t>
      </w:r>
    </w:p>
    <w:p>
      <w:r>
        <w:t>Статус: American Economic Review, 2021 [16]. Приоритет В при наличии дат запуска программ и длинной истории.</w:t>
      </w:r>
    </w:p>
    <w:p>
      <w:r>
        <w:t>Synthetic DiD сочетает взвешивание контрольных территорий и периодов с оценкой изменения после вмешательства. Метод полезен, когда программа введена в части муниципалитетов и есть сопоставимые территории без неё.</w:t>
      </w:r>
    </w:p>
    <w:p>
      <w:pPr>
        <w:spacing w:before="140" w:after="180"/>
        <w:jc w:val="center"/>
      </w:pPr>
      <m:oMath>
        <m:r>
          <w:rPr>
            <w:rFonts w:ascii="Cambria Math" w:hAnsi="Cambria Math"/>
          </w:rPr>
          <m:t xml:space="preserve">(</m:t>
        </m:r>
        <m:acc>
          <m:accPr>
            <m:chr m:val="̂"/>
          </m:accPr>
          <m:e>
            <m:r>
              <w:rPr>
                <w:rFonts w:ascii="Cambria Math" w:hAnsi="Cambria Math"/>
              </w:rPr>
              <m:t xml:space="preserve">τ</m:t>
            </m:r>
          </m:e>
        </m:acc>
        <m:r>
          <w:rPr>
            <w:rFonts w:ascii="Cambria Math" w:hAnsi="Cambria Math"/>
          </w:rPr>
          <m:t xml:space="preserve">,</m:t>
        </m:r>
        <m:acc>
          <m:accPr>
            <m:chr m:val="̂"/>
          </m:accPr>
          <m:e>
            <m:r>
              <w:rPr>
                <w:rFonts w:ascii="Cambria Math" w:hAnsi="Cambria Math"/>
              </w:rPr>
              <m:t xml:space="preserve">μ</m:t>
            </m:r>
          </m:e>
        </m:acc>
        <m:r>
          <w:rPr>
            <w:rFonts w:ascii="Cambria Math" w:hAnsi="Cambria Math"/>
          </w:rPr>
          <m:t xml:space="preserve">,</m:t>
        </m:r>
        <m:acc>
          <m:accPr>
            <m:chr m:val="̂"/>
          </m:accPr>
          <m:e>
            <m:r>
              <w:rPr>
                <w:rFonts w:ascii="Cambria Math" w:hAnsi="Cambria Math"/>
              </w:rPr>
              <m:t xml:space="preserve">a</m:t>
            </m:r>
          </m:e>
        </m:acc>
        <m:r>
          <w:rPr>
            <w:rFonts w:ascii="Cambria Math" w:hAnsi="Cambria Math"/>
          </w:rPr>
          <m:t xml:space="preserve">,</m:t>
        </m:r>
        <m:acc>
          <m:accPr>
            <m:chr m:val="̂"/>
          </m:accPr>
          <m:e>
            <m:r>
              <w:rPr>
                <w:rFonts w:ascii="Cambria Math" w:hAnsi="Cambria Math"/>
              </w:rPr>
              <m:t xml:space="preserve">b</m:t>
            </m:r>
          </m:e>
        </m:acc>
        <m:r>
          <w:rPr>
            <w:rFonts w:ascii="Cambria Math" w:hAnsi="Cambria Math"/>
          </w:rPr>
          <m:t xml:space="preserve">)</m:t>
        </m:r>
        <m:r>
          <w:rPr>
            <w:rFonts w:ascii="Cambria Math" w:hAnsi="Cambria Math"/>
          </w:rPr>
          <m:t xml:space="preserve">=</m:t>
        </m:r>
        <m:sSub>
          <m:e>
            <m:r>
              <w:rPr>
                <w:rFonts w:ascii="Cambria Math" w:hAnsi="Cambria Math"/>
              </w:rPr>
              <m:t xml:space="preserve">arg min</m:t>
            </m:r>
          </m:e>
          <m:sub>
            <m:r>
              <w:rPr>
                <w:rFonts w:ascii="Cambria Math" w:hAnsi="Cambria Math"/>
              </w:rPr>
              <m:t xml:space="preserve">τ</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sub>
        </m:sSub>
        <m:sSub>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t</m:t>
            </m:r>
          </m:sub>
        </m:sSub>
        <m:sSub>
          <m:e>
            <m:r>
              <w:rPr>
                <w:rFonts w:ascii="Cambria Math" w:hAnsi="Cambria Math"/>
              </w:rPr>
              <m:t xml:space="preserve">ω</m:t>
            </m:r>
          </m:e>
          <m:sub>
            <m:r>
              <w:rPr>
                <w:rFonts w:ascii="Cambria Math" w:hAnsi="Cambria Math"/>
              </w:rPr>
              <m:t xml:space="preserve">i</m:t>
            </m:r>
          </m:sub>
        </m:sSub>
        <m:sSub>
          <m:e>
            <m:r>
              <w:rPr>
                <w:rFonts w:ascii="Cambria Math" w:hAnsi="Cambria Math"/>
              </w:rPr>
              <m:t xml:space="preserve">λ</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t</m:t>
            </m:r>
          </m:sub>
        </m:sSub>
        <m:r>
          <w:rPr>
            <w:rFonts w:ascii="Cambria Math" w:hAnsi="Cambria Math"/>
          </w:rPr>
          <m:t xml:space="preserve">-</m:t>
        </m:r>
        <m:r>
          <w:rPr>
            <w:rFonts w:ascii="Cambria Math" w:hAnsi="Cambria Math"/>
          </w:rPr>
          <m:t xml:space="preserve">μ</m:t>
        </m:r>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w:rPr>
            <w:rFonts w:ascii="Cambria Math" w:hAnsi="Cambria Math"/>
          </w:rPr>
          <m:t xml:space="preserve">-</m:t>
        </m:r>
        <m:r>
          <w:rPr>
            <w:rFonts w:ascii="Cambria Math" w:hAnsi="Cambria Math"/>
          </w:rPr>
          <m:t xml:space="preserve">τ</m:t>
        </m:r>
        <m:r>
          <w:rPr>
            <w:rFonts w:ascii="Cambria Math" w:hAnsi="Cambria Math"/>
          </w:rPr>
          <m:t xml:space="preserve"> </m:t>
        </m:r>
        <m:sSub>
          <m:e>
            <m:r>
              <w:rPr>
                <w:rFonts w:ascii="Cambria Math" w:hAnsi="Cambria Math"/>
              </w:rPr>
              <m:t xml:space="preserve">W</m:t>
            </m:r>
          </m:e>
          <m:sub>
            <m:r>
              <w:rPr>
                <w:rFonts w:ascii="Cambria Math" w:hAnsi="Cambria Math"/>
              </w:rPr>
              <m:t xml:space="preserve">i</m:t>
            </m:r>
            <m:r>
              <w:rPr>
                <w:rFonts w:ascii="Cambria Math" w:hAnsi="Cambria Math"/>
              </w:rPr>
              <m:t xml:space="preserve">t</m:t>
            </m:r>
          </m:sub>
        </m:sSub>
        <m:sSup>
          <m:e>
            <m:r>
              <w:rPr>
                <w:rFonts w:ascii="Cambria Math" w:hAnsi="Cambria Math"/>
              </w:rPr>
              <m:t xml:space="preserve">)</m:t>
            </m:r>
          </m:e>
          <m:sup>
            <m:r>
              <w:rPr>
                <w:rFonts w:ascii="Cambria Math" w:hAnsi="Cambria Math"/>
              </w:rPr>
              <m:t xml:space="preserve">2</m:t>
            </m:r>
          </m:sup>
        </m:sSup>
      </m:oMath>
    </w:p>
    <w:p>
      <w:r/>
      <w:r>
        <w:rPr>
          <w:b/>
        </w:rPr>
        <w:t xml:space="preserve">Обозначения. </w:t>
      </w:r>
      <w:r>
        <w:t>Yᵢₜ — исход территории i в период t; W — индикатор воздействия; a и b — эффекты территории и времени; ω и λ — веса, построенные процедурой Synthetic DiD; τ — оценка эффекта. Формула показывает финальную взвешенную оценку; обучение весов — отдельная часть метода.</w:t>
      </w:r>
    </w:p>
    <w:p>
      <w:r/>
      <w:r>
        <w:rPr>
          <w:b/>
        </w:rPr>
        <w:t xml:space="preserve">Применение в econtypes. </w:t>
      </w:r>
      <w:r>
        <w:t>Оценить изменение числа активных предприятий, занятости или местной закупочной доли после конкретной программы. Сначала установить, где и когда она реально начала действовать; объявленная дата и начало воздействия могут различаться.</w:t>
      </w:r>
    </w:p>
    <w:p>
      <w:r/>
      <w:r>
        <w:rPr>
          <w:b/>
        </w:rPr>
        <w:t xml:space="preserve">Необходимые данные. </w:t>
      </w:r>
      <w:r>
        <w:t>Несколько сопоставимых периодов до вмешательства и после него, ясная группа воздействия, контрольные территории и стабильная методика измерения. Один снимок МСП не создаёт панель. Короткая история 2023–2024 годов может не хватить для надёжного подбора контрольной траектории.</w:t>
      </w:r>
    </w:p>
    <w:p>
      <w:r/>
      <w:r>
        <w:rPr>
          <w:b/>
        </w:rPr>
        <w:t xml:space="preserve">Проверка. </w:t>
      </w:r>
      <w:r>
        <w:t>Изучить качество совпадения до программы, веса и зависимость от отдельных контролей. Сделать плацебо по территориям или датам в рамках оправданной схемы и оценить чувствительность к крупным разовым событиям. Проверить, не затронула ли программа контрольные МО через соседние рынки.</w:t>
      </w:r>
    </w:p>
    <w:p>
      <w:r/>
      <w:r>
        <w:rPr>
          <w:b/>
        </w:rPr>
        <w:t xml:space="preserve">Ограничение. </w:t>
      </w:r>
      <w:r>
        <w:t>Базовая постановка предполагает определённую структуру панели и воздействия. При разных датах вступления территорий нужны соответствующая модификация и отдельная схема сравнения; нельзя механически применить одну общую фиктивную переменную.</w:t>
      </w:r>
    </w:p>
    <w:p>
      <w:r/>
      <w:r>
        <w:rPr>
          <w:b/>
        </w:rPr>
        <w:t xml:space="preserve">Результат. </w:t>
      </w:r>
      <w:r>
        <w:t>Оценённая разница с контрфактической траекторией и интервалом неопределённости. Совпадение роста с началом программы без защищённого сравнения остаётся описанием динамики, а не доказательством причинного эффекта.</w:t>
      </w:r>
    </w:p>
    <w:p>
      <w:r>
        <w:br w:type="page"/>
      </w:r>
    </w:p>
    <w:p>
      <w:pPr>
        <w:pStyle w:val="Heading1"/>
      </w:pPr>
      <w:r>
        <w:t>16 Метод 14 Композиционный анализ долей</w:t>
      </w:r>
    </w:p>
    <w:p>
      <w:r>
        <w:t>Статус: фундаментальная работа Aitchison 1982 [17]. Приоритет А, поскольку в проекте уже анализируются доли расходов.</w:t>
      </w:r>
    </w:p>
    <w:p>
      <w:r>
        <w:t>Когда доли суммируются к единице, увеличение одной механически ограничивает остальные. Обычная корреляция таких долей может отражать это ограничение. Анализ логарифмических отношений позволяет явно сравнивать компоненты структуры.</w:t>
      </w:r>
    </w:p>
    <w:p>
      <w:pPr>
        <w:spacing w:before="140" w:after="180"/>
        <w:jc w:val="center"/>
      </w:pPr>
      <m:oMath>
        <m:r>
          <w:rPr>
            <w:rFonts w:ascii="Cambria Math" w:hAnsi="Cambria Math"/>
          </w:rPr>
          <m:t xml:space="preserve">c</m:t>
        </m:r>
        <m:r>
          <w:rPr>
            <w:rFonts w:ascii="Cambria Math" w:hAnsi="Cambria Math"/>
          </w:rPr>
          <m:t xml:space="preserve">l</m:t>
        </m:r>
        <m:r>
          <w:rPr>
            <w:rFonts w:ascii="Cambria Math" w:hAnsi="Cambria Math"/>
          </w:rPr>
          <m:t xml:space="preserve">r</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log</m:t>
        </m:r>
        <m:f>
          <m:num>
            <m:sSub>
              <m:e>
                <m:r>
                  <w:rPr>
                    <w:rFonts w:ascii="Cambria Math" w:hAnsi="Cambria Math"/>
                  </w:rPr>
                  <m:t xml:space="preserve">x</m:t>
                </m:r>
              </m:e>
              <m:sub>
                <m:r>
                  <w:rPr>
                    <w:rFonts w:ascii="Cambria Math" w:hAnsi="Cambria Math"/>
                  </w:rPr>
                  <m:t xml:space="preserve">k</m:t>
                </m:r>
              </m:sub>
            </m:sSub>
          </m:num>
          <m:den>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den>
        </m:f>
        <m:r>
          <w:rPr>
            <w:rFonts w:ascii="Cambria Math" w:hAnsi="Cambria Math"/>
          </w:rPr>
          <m:t xml:space="preserve">,</m:t>
        </m:r>
        <m:r>
          <w:rPr>
            <w:rFonts w:ascii="Cambria Math" w:hAnsi="Cambria Math"/>
          </w:rPr>
          <m:t xml:space="preserve">    </m:t>
        </m:r>
        <m:r>
          <w:rPr>
            <w:rFonts w:ascii="Cambria Math" w:hAnsi="Cambria Math"/>
          </w:rPr>
          <m:t xml:space="preserve"> </m:t>
        </m:r>
        <m:r>
          <w:rPr>
            <w:rFonts w:ascii="Cambria Math" w:hAnsi="Cambria Math"/>
          </w:rPr>
          <m:t xml:space="preserve">g</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
        </m:r>
        <m:r>
          <w:rPr>
            <w:rFonts w:ascii="Cambria Math" w:hAnsi="Cambria Math"/>
          </w:rPr>
          <m:t xml:space="preserve">(</m:t>
        </m:r>
        <m:sSubSup>
          <m:e>
            <m:r>
              <w:rPr>
                <w:rFonts w:ascii="Cambria Math" w:hAnsi="Cambria Math"/>
              </w:rPr>
              <m:t xml:space="preserve">∏</m:t>
            </m:r>
          </m:e>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K</m:t>
            </m:r>
          </m:sup>
        </m:sSubSup>
        <m:sSub>
          <m:e>
            <m:r>
              <w:rPr>
                <w:rFonts w:ascii="Cambria Math" w:hAnsi="Cambria Math"/>
              </w:rPr>
              <m:t xml:space="preserve">x</m:t>
            </m:r>
          </m:e>
          <m:sub>
            <m:r>
              <w:rPr>
                <w:rFonts w:ascii="Cambria Math" w:hAnsi="Cambria Math"/>
              </w:rPr>
              <m:t xml:space="preserve">j</m:t>
            </m:r>
          </m:sub>
        </m:sSub>
        <m:r>
          <w:rPr>
            <w:rFonts w:ascii="Cambria Math" w:hAnsi="Cambria Math"/>
          </w:rPr>
          <m:t xml:space="preserve"/>
        </m:r>
        <m:sSup>
          <m:e>
            <m:r>
              <w:rPr>
                <w:rFonts w:ascii="Cambria Math" w:hAnsi="Cambria Math"/>
              </w:rPr>
              <m:t xml:space="preserve">)</m:t>
            </m:r>
          </m:e>
          <m:sup>
            <m:r>
              <w:rPr>
                <w:rFonts w:ascii="Cambria Math" w:hAnsi="Cambria Math"/>
              </w:rPr>
              <m:t xml:space="preserve">1</m:t>
            </m:r>
            <m:r>
              <w:rPr>
                <w:rFonts w:ascii="Cambria Math" w:hAnsi="Cambria Math"/>
              </w:rPr>
              <m:t xml:space="preserve">/</m:t>
            </m:r>
            <m:r>
              <w:rPr>
                <w:rFonts w:ascii="Cambria Math" w:hAnsi="Cambria Math"/>
              </w:rPr>
              <m:t xml:space="preserve">K</m:t>
            </m:r>
          </m:sup>
        </m:sSup>
      </m:oMath>
    </w:p>
    <w:p>
      <w:r/>
      <w:r>
        <w:rPr>
          <w:b/>
        </w:rPr>
        <w:t xml:space="preserve">Обозначения. </w:t>
      </w:r>
      <w:r>
        <w:t>x — набор строго положительных сопоставимых долей; K — число компонентов; g — геометрическое среднее. Сумма clr-компонентов равна нулю, поэтому они линейно зависимы. Для полной регрессии используют независимые координаты или соответствующие ограничения.</w:t>
      </w:r>
    </w:p>
    <w:p>
      <w:r/>
      <w:r>
        <w:rPr>
          <w:b/>
        </w:rPr>
        <w:t xml:space="preserve">Применение в econtypes. </w:t>
      </w:r>
      <w:r>
        <w:t>Для структуры закупок или расходов заранее определить экономически осмысленные отношения, например местные поставщики к поставщикам вне МО. Сохранять также исходные суммы: одинаковое отношение может соответствовать совершенно разным масштабам закупок.</w:t>
      </w:r>
    </w:p>
    <w:p>
      <w:pPr>
        <w:spacing w:before="140" w:after="180"/>
        <w:jc w:val="center"/>
      </w:pPr>
      <m:oMath>
        <m:sSub>
          <m:e>
            <m:r>
              <w:rPr>
                <w:rFonts w:ascii="Cambria Math" w:hAnsi="Cambria Math"/>
              </w:rPr>
              <m:t xml:space="preserve">z</m:t>
            </m:r>
          </m:e>
          <m:sub>
            <m:r>
              <w:rPr>
                <w:rFonts w:ascii="Cambria Math" w:hAnsi="Cambria Math"/>
              </w:rPr>
              <m:t xml:space="preserve">m</m:t>
            </m:r>
          </m:sub>
        </m:sSub>
        <m:r>
          <w:rPr>
            <w:rFonts w:ascii="Cambria Math" w:hAnsi="Cambria Math"/>
          </w:rPr>
          <m:t xml:space="preserve">=</m:t>
        </m:r>
        <m:r>
          <w:rPr>
            <w:rFonts w:ascii="Cambria Math" w:hAnsi="Cambria Math"/>
          </w:rPr>
          <m:t xml:space="preserve">log</m:t>
        </m:r>
        <m:f>
          <m:num>
            <m:sSubSup>
              <m:e>
                <m:r>
                  <w:rPr>
                    <w:rFonts w:ascii="Cambria Math" w:hAnsi="Cambria Math"/>
                  </w:rPr>
                  <m:t xml:space="preserve">s</m:t>
                </m:r>
              </m:e>
              <m:sub>
                <m:r>
                  <w:rPr>
                    <w:rFonts w:ascii="Cambria Math" w:hAnsi="Cambria Math"/>
                  </w:rPr>
                  <m:t xml:space="preserve">m</m:t>
                </m:r>
              </m:sub>
              <m:sup>
                <m:r>
                  <w:rPr>
                    <w:rFonts w:ascii="Cambria Math" w:hAnsi="Cambria Math"/>
                  </w:rPr>
                  <m:t xml:space="preserve">l</m:t>
                </m:r>
                <m:r>
                  <w:rPr>
                    <w:rFonts w:ascii="Cambria Math" w:hAnsi="Cambria Math"/>
                  </w:rPr>
                  <m:t xml:space="preserve">o</m:t>
                </m:r>
                <m:r>
                  <w:rPr>
                    <w:rFonts w:ascii="Cambria Math" w:hAnsi="Cambria Math"/>
                  </w:rPr>
                  <m:t xml:space="preserve">c</m:t>
                </m:r>
                <m:r>
                  <w:rPr>
                    <w:rFonts w:ascii="Cambria Math" w:hAnsi="Cambria Math"/>
                  </w:rPr>
                  <m:t xml:space="preserve">a</m:t>
                </m:r>
                <m:r>
                  <w:rPr>
                    <w:rFonts w:ascii="Cambria Math" w:hAnsi="Cambria Math"/>
                  </w:rPr>
                  <m:t xml:space="preserve">l</m:t>
                </m:r>
              </m:sup>
            </m:sSubSup>
          </m:num>
          <m:den>
            <m:sSubSup>
              <m:e>
                <m:r>
                  <w:rPr>
                    <w:rFonts w:ascii="Cambria Math" w:hAnsi="Cambria Math"/>
                  </w:rPr>
                  <m:t xml:space="preserve">s</m:t>
                </m:r>
              </m:e>
              <m:sub>
                <m:r>
                  <w:rPr>
                    <w:rFonts w:ascii="Cambria Math" w:hAnsi="Cambria Math"/>
                  </w:rPr>
                  <m:t xml:space="preserve">m</m:t>
                </m:r>
              </m:sub>
              <m:sup>
                <m:r>
                  <w:rPr>
                    <w:rFonts w:ascii="Cambria Math" w:hAnsi="Cambria Math"/>
                  </w:rPr>
                  <m:t xml:space="preserve">e</m:t>
                </m:r>
                <m:r>
                  <w:rPr>
                    <w:rFonts w:ascii="Cambria Math" w:hAnsi="Cambria Math"/>
                  </w:rPr>
                  <m:t xml:space="preserve">x</m:t>
                </m:r>
                <m:r>
                  <w:rPr>
                    <w:rFonts w:ascii="Cambria Math" w:hAnsi="Cambria Math"/>
                  </w:rPr>
                  <m:t xml:space="preserve">t</m:t>
                </m:r>
                <m:r>
                  <w:rPr>
                    <w:rFonts w:ascii="Cambria Math" w:hAnsi="Cambria Math"/>
                  </w:rPr>
                  <m:t xml:space="preserve">e</m:t>
                </m:r>
                <m:r>
                  <w:rPr>
                    <w:rFonts w:ascii="Cambria Math" w:hAnsi="Cambria Math"/>
                  </w:rPr>
                  <m:t xml:space="preserve">r</m:t>
                </m:r>
                <m:r>
                  <w:rPr>
                    <w:rFonts w:ascii="Cambria Math" w:hAnsi="Cambria Math"/>
                  </w:rPr>
                  <m:t xml:space="preserve">n</m:t>
                </m:r>
                <m:r>
                  <w:rPr>
                    <w:rFonts w:ascii="Cambria Math" w:hAnsi="Cambria Math"/>
                  </w:rPr>
                  <m:t xml:space="preserve">a</m:t>
                </m:r>
                <m:r>
                  <w:rPr>
                    <w:rFonts w:ascii="Cambria Math" w:hAnsi="Cambria Math"/>
                  </w:rPr>
                  <m:t xml:space="preserve">l</m:t>
                </m:r>
              </m:sup>
            </m:sSubSup>
          </m:den>
        </m:f>
      </m:oMath>
    </w:p>
    <w:p>
      <w:r/>
      <w:r>
        <w:rPr>
          <w:b/>
        </w:rPr>
        <w:t xml:space="preserve">Условный пример. </w:t>
      </w:r>
      <w:r>
        <w:t>При долях 0,2 и 0,8 отношение равно 0,25, логарифм — примерно −1,386. При 0,4 и 0,6 логарифм — примерно −0,405. Разница описывает изменение относительного баланса, но не величину дополнительного дохода местного бизнеса.</w:t>
      </w:r>
    </w:p>
    <w:p>
      <w:r/>
      <w:r>
        <w:rPr>
          <w:b/>
        </w:rPr>
        <w:t xml:space="preserve">Работа с нулями. </w:t>
      </w:r>
      <w:r>
        <w:t>Различать структурный ноль, отсутствие наблюдений и округление малой величины. Нельзя заменять все нули одной произвольной константой и объявлять результат устойчивым. Для редких категорий возможны укрупнение, модель появления категории или обоснованная замена с анализом чувствительности.</w:t>
      </w:r>
    </w:p>
    <w:p>
      <w:r/>
      <w:r>
        <w:rPr>
          <w:b/>
        </w:rPr>
        <w:t xml:space="preserve">Работа с географией. </w:t>
      </w:r>
      <w:r>
        <w:t>Неизвестное местонахождение поставщика — качество данных, а не полноценная экономическая категория. Показывать его долю отдельно; отношения среди известных категорий интерпретировать как условные на известную географию.</w:t>
      </w:r>
    </w:p>
    <w:p>
      <w:r/>
      <w:r>
        <w:rPr>
          <w:b/>
        </w:rPr>
        <w:t xml:space="preserve">Проверка. </w:t>
      </w:r>
      <w:r>
        <w:t>Сопоставить прежние корреляции с отношениями долей, отдельно проверить абсолютные суммы и численность населения. Существенно меняющиеся выводы отметить как зависящие от способа представления структуры.</w:t>
      </w:r>
    </w:p>
    <w:p>
      <w:r>
        <w:br w:type="page"/>
      </w:r>
    </w:p>
    <w:p>
      <w:pPr>
        <w:pStyle w:val="Heading1"/>
      </w:pPr>
      <w:r>
        <w:t>17 Метод 15 Контроль ложных открытий через e values</w:t>
      </w:r>
    </w:p>
    <w:p>
      <w:r>
        <w:t>Статус: математический результат Wang и Ramdas, JRSS B, 2022 [18]. Приоритет Б; действующую проверку корреляций не заменять без основания.</w:t>
      </w:r>
    </w:p>
    <w:p>
      <w:r>
        <w:t>В econtypes рассматриваются 990 пар корреляций. Чем больше проверок, тем легче получить случайно убедительные связи. e-values дают альтернативную основу контроля доли ложных открытий при зависимости между тестами.</w:t>
      </w:r>
    </w:p>
    <w:p>
      <w:pPr>
        <w:spacing w:before="140" w:after="180"/>
        <w:jc w:val="center"/>
      </w:pP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E</m:t>
            </m:r>
          </m:e>
          <m:sub>
            <m:sSub>
              <m:e>
                <m:r>
                  <w:rPr>
                    <w:rFonts w:ascii="Cambria Math" w:hAnsi="Cambria Math"/>
                  </w:rPr>
                  <m:t xml:space="preserve">H</m:t>
                </m:r>
              </m:e>
              <m:sub>
                <m:r>
                  <w:rPr>
                    <w:rFonts w:ascii="Cambria Math" w:hAnsi="Cambria Math"/>
                  </w:rPr>
                  <m:t xml:space="preserve">0</m:t>
                </m:r>
                <m:r>
                  <w:rPr>
                    <w:rFonts w:ascii="Cambria Math" w:hAnsi="Cambria Math"/>
                  </w:rPr>
                  <m:t xml:space="preserve">j</m:t>
                </m:r>
              </m:sub>
            </m:sSub>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r>
          <w:rPr>
            <w:rFonts w:ascii="Cambria Math" w:hAnsi="Cambria Math"/>
          </w:rPr>
          <m:t xml:space="preserve">≤</m:t>
        </m:r>
        <m:r>
          <w:rPr>
            <w:rFonts w:ascii="Cambria Math" w:hAnsi="Cambria Math"/>
          </w:rPr>
          <m:t xml:space="preserve">1</m:t>
        </m:r>
      </m:oMath>
    </w:p>
    <w:p>
      <w:pPr>
        <w:spacing w:before="140" w:after="180"/>
        <w:jc w:val="center"/>
      </w:pPr>
      <m:oMath>
        <m:acc>
          <m:accPr>
            <m:chr m:val="̂"/>
          </m:accPr>
          <m:e>
            <m:r>
              <w:rPr>
                <w:rFonts w:ascii="Cambria Math" w:hAnsi="Cambria Math"/>
              </w:rPr>
              <m:t xml:space="preserve">k</m:t>
            </m:r>
          </m:e>
        </m:acc>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E</m:t>
            </m:r>
          </m:e>
          <m:sub>
            <m:r>
              <w:rPr>
                <w:rFonts w:ascii="Cambria Math" w:hAnsi="Cambria Math"/>
              </w:rPr>
              <m:t xml:space="preserve">(</m:t>
            </m:r>
            <m:r>
              <w:rPr>
                <w:rFonts w:ascii="Cambria Math" w:hAnsi="Cambria Math"/>
              </w:rPr>
              <m:t xml:space="preserve">k</m:t>
            </m:r>
            <m:r>
              <w:rPr>
                <w:rFonts w:ascii="Cambria Math" w:hAnsi="Cambria Math"/>
              </w:rPr>
              <m:t xml:space="preserve">)</m:t>
            </m:r>
          </m:sub>
        </m:sSub>
        <m:r>
          <w:rPr>
            <w:rFonts w:ascii="Cambria Math" w:hAnsi="Cambria Math"/>
          </w:rPr>
          <m:t xml:space="preserve">≥</m:t>
        </m:r>
        <m:f>
          <m:num>
            <m:r>
              <w:rPr>
                <w:rFonts w:ascii="Cambria Math" w:hAnsi="Cambria Math"/>
              </w:rPr>
              <m:t xml:space="preserve">m</m:t>
            </m:r>
          </m:num>
          <m:den>
            <m:r>
              <w:rPr>
                <w:rFonts w:ascii="Cambria Math" w:hAnsi="Cambria Math"/>
              </w:rPr>
              <m:t xml:space="preserve">α</m:t>
            </m:r>
            <m:r>
              <w:rPr>
                <w:rFonts w:ascii="Cambria Math" w:hAnsi="Cambria Math"/>
              </w:rPr>
              <m:t xml:space="preserve"> </m:t>
            </m:r>
            <m:r>
              <w:rPr>
                <w:rFonts w:ascii="Cambria Math" w:hAnsi="Cambria Math"/>
              </w:rPr>
              <m:t xml:space="preserve">k</m:t>
            </m:r>
          </m:den>
        </m:f>
        <m:r>
          <w:rPr>
            <w:rFonts w:ascii="Cambria Math" w:hAnsi="Cambria Math"/>
          </w:rPr>
          <m:t xml:space="preserve">}</m:t>
        </m:r>
        <m:r>
          <w:rPr>
            <w:rFonts w:ascii="Cambria Math" w:hAnsi="Cambria Math"/>
          </w:rPr>
          <m:t xml:space="preserve">,</m:t>
        </m:r>
        <m:r>
          <w:rPr>
            <w:rFonts w:ascii="Cambria Math" w:hAnsi="Cambria Math"/>
          </w:rPr>
          <m:t xml:space="preserve">    </m:t>
        </m:r>
        <m:r>
          <w:rPr>
            <w:rFonts w:ascii="Cambria Math" w:hAnsi="Cambria Math"/>
          </w:rPr>
          <m:t xml:space="preserve"> </m:t>
        </m:r>
        <m:sSub>
          <m:e>
            <m:r>
              <w:rPr>
                <w:rFonts w:ascii="Cambria Math" w:hAnsi="Cambria Math"/>
              </w:rPr>
              <m:t xml:space="preserve">E</m:t>
            </m:r>
          </m:e>
          <m:sub>
            <m:r>
              <w:rPr>
                <w:rFonts w:ascii="Cambria Math" w:hAnsi="Cambria Math"/>
              </w:rPr>
              <m:t xml:space="preserve">(</m:t>
            </m:r>
            <m:r>
              <w:rPr>
                <w:rFonts w:ascii="Cambria Math" w:hAnsi="Cambria Math"/>
              </w:rPr>
              <m:t xml:space="preserve">1</m:t>
            </m:r>
            <m:r>
              <w:rPr>
                <w:rFonts w:ascii="Cambria Math" w:hAnsi="Cambria Math"/>
              </w:rPr>
              <m:t xml:space="preserve">)</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 </m:t>
        </m:r>
        <m:sSub>
          <m:e>
            <m:r>
              <w:rPr>
                <w:rFonts w:ascii="Cambria Math" w:hAnsi="Cambria Math"/>
              </w:rPr>
              <m:t xml:space="preserve">E</m:t>
            </m:r>
          </m:e>
          <m:sub>
            <m:r>
              <w:rPr>
                <w:rFonts w:ascii="Cambria Math" w:hAnsi="Cambria Math"/>
              </w:rPr>
              <m:t xml:space="preserve">(</m:t>
            </m:r>
            <m:r>
              <w:rPr>
                <w:rFonts w:ascii="Cambria Math" w:hAnsi="Cambria Math"/>
              </w:rPr>
              <m:t xml:space="preserve">m</m:t>
            </m:r>
            <m:r>
              <w:rPr>
                <w:rFonts w:ascii="Cambria Math" w:hAnsi="Cambria Math"/>
              </w:rPr>
              <m:t xml:space="preserve">)</m:t>
            </m:r>
          </m:sub>
        </m:sSub>
      </m:oMath>
    </w:p>
    <w:p>
      <w:r/>
      <w:r>
        <w:rPr>
          <w:b/>
        </w:rPr>
        <w:t xml:space="preserve">Обозначения. </w:t>
      </w:r>
      <w:r>
        <w:t>Eⱼ — корректное e-value для нулевой гипотезы j; m — число гипотез; α — целевой уровень FDR. Отклоняются гипотезы с крупнейшими k̂ значениями. Если подходящих k нет, отклонений нет. Ожидание должно быть ограничено единицей при всех допустимых распределениях соответствующей нулевой гипотезы.</w:t>
      </w:r>
    </w:p>
    <w:p>
      <w:r/>
      <w:r>
        <w:rPr>
          <w:b/>
        </w:rPr>
        <w:t xml:space="preserve">Научный результат. </w:t>
      </w:r>
      <w:r>
        <w:t>При корректных e-values процедура e-BH контролирует FDR при произвольной зависимости между ними. Основная трудность приложения — построить действительно корректные e-values; изменение названия p-value этого не делает.</w:t>
      </w:r>
    </w:p>
    <w:p>
      <w:r/>
      <w:r>
        <w:rPr>
          <w:b/>
        </w:rPr>
        <w:t xml:space="preserve">Условный порог. </w:t>
      </w:r>
      <w:r>
        <w:t>При m = 990, α = 0,05 и k = 10 десятое по убыванию e-value должно быть не меньше 1980. Число 1980 не является порогом p-value. Преобразование E = 1 / p в общем случае не даёт корректного e-value.</w:t>
      </w:r>
    </w:p>
    <w:p>
      <w:r/>
      <w:r>
        <w:rPr>
          <w:b/>
        </w:rPr>
        <w:t xml:space="preserve">Применение в econtypes. </w:t>
      </w:r>
      <w:r>
        <w:t>Сначала сохранить воспроизводимый текущий анализ и уточнить семейство проверяемых гипотез. e-BH исследовать отдельной веткой, если есть подходящая модель данных или корректная конструкция e-values. Для непрерывного мониторинга нужны последовательные e-процессы или другая специально обоснованная процедура, а не повторение фиксированного теста каждый день.</w:t>
      </w:r>
    </w:p>
    <w:p>
      <w:r/>
      <w:r>
        <w:rPr>
          <w:b/>
        </w:rPr>
        <w:t xml:space="preserve">Что публиковать. </w:t>
      </w:r>
      <w:r>
        <w:t>Число тестов, выбранный уровень FDR, эффект и его устойчивость, а также способ построения статистик. Контроль FDR не означает, что любая найденная связь причинна, важна по масштабу или обязательно воспроизведётся в следующем году.</w:t>
      </w:r>
    </w:p>
    <w:p>
      <w:r>
        <w:br w:type="page"/>
      </w:r>
    </w:p>
    <w:p>
      <w:pPr>
        <w:pStyle w:val="Heading1"/>
      </w:pPr>
      <w:r>
        <w:t>18 Метод 16 Символьная регрессия</w:t>
      </w:r>
    </w:p>
    <w:p>
      <w:r>
        <w:t>Статус: исследовательский инструмент PySR и авторский препринт 2023 [19]. Приоритет Б после простых моделей.</w:t>
      </w:r>
    </w:p>
    <w:p>
      <w:r>
        <w:t>Символьная регрессия ищет выражение из заданных операций, а не только подбирает коэффициенты заранее выбранной формулы. Это наиболее прямой ответ на желание получить новую, понятную человеку формулу для проекта.</w:t>
      </w:r>
    </w:p>
    <w:p>
      <w:pPr>
        <w:spacing w:before="140" w:after="180"/>
        <w:jc w:val="center"/>
      </w:pPr>
      <m:oMath>
        <m:sSup>
          <m:e>
            <m:r>
              <w:rPr>
                <w:rFonts w:ascii="Cambria Math" w:hAnsi="Cambria Math"/>
              </w:rPr>
              <m:t xml:space="preserve">f</m:t>
            </m:r>
          </m:e>
          <m:sup>
            <m:r>
              <w:rPr>
                <w:rFonts w:ascii="Cambria Math" w:hAnsi="Cambria Math"/>
              </w:rPr>
              <m:t xml:space="preserve">*</m:t>
            </m:r>
          </m:sup>
        </m:sSup>
        <m:r>
          <w:rPr>
            <w:rFonts w:ascii="Cambria Math" w:hAnsi="Cambria Math"/>
          </w:rPr>
          <m:t xml:space="preserve">=</m:t>
        </m:r>
        <m:sSub>
          <m:e>
            <m:r>
              <w:rPr>
                <w:rFonts w:ascii="Cambria Math" w:hAnsi="Cambria Math"/>
              </w:rPr>
              <m:t xml:space="preserve">arg min</m:t>
            </m:r>
          </m:e>
          <m:sub>
            <m:r>
              <w:rPr>
                <w:rFonts w:ascii="Cambria Math" w:hAnsi="Cambria Math"/>
              </w:rPr>
              <m:t xml:space="preserve">f</m:t>
            </m:r>
            <m:r>
              <w:rPr>
                <w:rFonts w:ascii="Cambria Math" w:hAnsi="Cambria Math"/>
              </w:rPr>
              <m:t xml:space="preserve">∈</m:t>
            </m:r>
            <m:r>
              <w:rPr>
                <w:rFonts w:ascii="Cambria Math" w:hAnsi="Cambria Math"/>
              </w:rPr>
              <m:t xml:space="preserve">F</m:t>
            </m:r>
          </m:sub>
        </m:sSub>
        <m:r>
          <w:rPr>
            <w:rFonts w:ascii="Cambria Math" w:hAnsi="Cambria Math"/>
          </w:rPr>
          <m:t xml:space="preserve"/>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sSubSup>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sSubSup>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f</m:t>
        </m:r>
        <m:r>
          <w:rPr>
            <w:rFonts w:ascii="Cambria Math" w:hAnsi="Cambria Math"/>
          </w:rPr>
          <m:t xml:space="preserve">(</m:t>
        </m:r>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m:t>
            </m:r>
          </m:e>
          <m:sup>
            <m:r>
              <w:rPr>
                <w:rFonts w:ascii="Cambria Math" w:hAnsi="Cambria Math"/>
              </w:rPr>
              <m:t xml:space="preserve">2</m:t>
            </m:r>
          </m:sup>
        </m:sSup>
        <m:r>
          <w:rPr>
            <w:rFonts w:ascii="Cambria Math" w:hAnsi="Cambria Math"/>
          </w:rPr>
          <m:t xml:space="preserve">+</m:t>
        </m:r>
        <m:r>
          <w:rPr>
            <w:rFonts w:ascii="Cambria Math" w:hAnsi="Cambria Math"/>
          </w:rPr>
          <m:t xml:space="preserve">λ</m:t>
        </m:r>
        <m:r>
          <w:rPr>
            <w:rFonts w:ascii="Cambria Math" w:hAnsi="Cambria Math"/>
          </w:rPr>
          <m:t xml:space="preserve"> </m:t>
        </m:r>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
        </m:r>
        <m:r>
          <w:rPr>
            <w:rFonts w:ascii="Cambria Math" w:hAnsi="Cambria Math"/>
          </w:rPr>
          <m:t xml:space="preserve">]</m:t>
        </m:r>
      </m:oMath>
    </w:p>
    <w:p>
      <w:r/>
      <w:r>
        <w:rPr>
          <w:b/>
        </w:rPr>
        <w:t xml:space="preserve">Смысл формулы. </w:t>
      </w:r>
      <w:r>
        <w:t>Это общая постановка компромисса между ошибкой и сложностью, не точное описание всех шагов оптимизатора PySR. F — разрешённые выражения; C — сложность формулы; λ — штраф. PySR использует эволюционный поиск и предлагает несколько кандидатов разной сложности.</w:t>
      </w:r>
    </w:p>
    <w:p>
      <w:r/>
      <w:r>
        <w:rPr>
          <w:b/>
        </w:rPr>
        <w:t xml:space="preserve">Применение в econtypes. </w:t>
      </w:r>
      <w:r>
        <w:t>На достаточно длинной панели искать компактную формулу прогноза будущей местной закупочной доли или изменения МСП. Входы должны быть доступны на дату прогноза. Начать с малого числа содержательных факторов и операций сложения, умножения и безопасных преобразований.</w:t>
      </w:r>
    </w:p>
    <w:p>
      <w:r/>
      <w:r>
        <w:rPr>
          <w:b/>
        </w:rPr>
        <w:t xml:space="preserve">Как ограничить поиск. </w:t>
      </w:r>
      <w:r>
        <w:t>Задать допустимые единицы измерения, глубину выражения и число операций. Не допускать деления на величину, которая может быть нулевой, и нелепых функций идентификаторов. Сравнивать с линейной моделью на тех же признаках.</w:t>
      </w:r>
    </w:p>
    <w:p>
      <w:r/>
      <w:r>
        <w:rPr>
          <w:b/>
        </w:rPr>
        <w:t xml:space="preserve">Проверка. </w:t>
      </w:r>
      <w:r>
        <w:t>Разделить данные до поиска формулы. Выбирать кандидата по внутренней проверке, а качество оценивать на отложенном времени и территориях. Перезапустить поиск на нескольких обучающих выборках: если структура формулы каждый раз меняется, её экономическое толкование ненадёжно.</w:t>
      </w:r>
    </w:p>
    <w:p>
      <w:r/>
      <w:r>
        <w:rPr>
          <w:b/>
        </w:rPr>
        <w:t xml:space="preserve">Особый риск 63 строк. </w:t>
      </w:r>
      <w:r>
        <w:t>Тысячи перебранных выражений почти неизбежно находят красивое совпадение на малой таблице. Очень низкая обучающая ошибка не является открытием. Для текущего среза метод допустим как генератор гипотез, которые проверяются на новых данных.</w:t>
      </w:r>
    </w:p>
    <w:p>
      <w:r/>
      <w:r>
        <w:rPr>
          <w:b/>
        </w:rPr>
        <w:t xml:space="preserve">Результат. </w:t>
      </w:r>
      <w:r>
        <w:t>Короткое выражение с коэффициентами, единицами, областью применимости и ошибкой вне обучения. Называть его эмпирической моделью. Статус нового научного закона требует гораздо более сильной независимой проверки, чем хороший результат на одном наборе муниципалитетов.</w:t>
      </w:r>
    </w:p>
    <w:p>
      <w:r>
        <w:br w:type="page"/>
      </w:r>
    </w:p>
    <w:p>
      <w:pPr>
        <w:pStyle w:val="Heading1"/>
      </w:pPr>
      <w:r>
        <w:t>19 Какие данные нужны для внедрения</w:t>
      </w:r>
    </w:p>
    <w:tbl>
      <w:tblPr>
        <w:tblW w:type="auto" w:w="0"/>
        <w:jc w:val="center"/>
        <w:tblLayout w:type="fixed"/>
        <w:tblLook w:firstColumn="1" w:firstRow="1" w:lastColumn="0" w:lastRow="0" w:noHBand="0" w:noVBand="1" w:val="04A0"/>
      </w:tblPr>
      <w:tblGrid>
        <w:gridCol w:w="1728"/>
        <w:gridCol w:w="4968"/>
        <w:gridCol w:w="3269"/>
      </w:tblGrid>
      <w:tr>
        <w:trPr>
          <w:cantSplit/>
          <w:tblHeader/>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Набор</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Минимально необходимые поля</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Что станет доступно</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МСП</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Идентификатор, дата снимка, МО, основной ОКВЭД, статус; занятость с годом показателя.</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Специализация, relatedness, история входа и выхода при сопоставимом охвате.</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Контракты</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Идентификатор и версия, дата, заказчик, поставщик, сумма, статус, код товара.</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Потоки, концентрация, местная доля, табличные модели.</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Позиции контрактов</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Связь с контрактом, товарная группа, сумма позиции либо явное правило распределения.</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Спрос по категориям без повторного суммирования всего контракта.</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Заявки и процедуры</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Участники, цены заявок, даты, способ закупки, результат.</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Поведенческие индикаторы и сеть совместного участия.</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Панель МО</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Период, население, занятость, бюджеты и прочие показатели с датой публикации.</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Сопоставимые интенсивности, прогноз и анализ динамики.</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Меры поддержки</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Дата начала, получатель, критерии отбора, объём, результаты до и после.</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DML и Synthetic DiD при защищённых предпосылках.</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Возможности поставщиков</w:t>
            </w:r>
          </w:p>
        </w:tc>
        <w:tc>
          <w:tcPr>
            <w:tcW w:type="dxa" w:w="49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Проверенный ассортимент, мощность, география обслуживания, ограничения.</w:t>
            </w:r>
          </w:p>
        </w:tc>
        <w:tc>
          <w:tcPr>
            <w:tcW w:type="dxa" w:w="326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Предметная проверка ниш и транспортные сценарии.</w:t>
            </w:r>
          </w:p>
        </w:tc>
      </w:tr>
    </w:tbl>
    <w:p>
      <w:pPr>
        <w:spacing w:after="20"/>
      </w:pPr>
      <w:r/>
    </w:p>
    <w:p>
      <w:pPr>
        <w:pStyle w:val="Heading2"/>
      </w:pPr>
      <w:r>
        <w:t>Согласование времени и географии</w:t>
      </w:r>
    </w:p>
    <w:p>
      <w:r>
        <w:t>Снимок МСП 2026 года описывает состав реестра на дату снимка; его нельзя считать списком действовавших предприятий 2023–2024 годов. У каждого показателя отдельно хранить период, дату наблюдения и дату доступности. Год сведений о занятости проверять по метаданным конкретной выгрузки.</w:t>
      </w:r>
    </w:p>
    <w:p>
      <w:r>
        <w:t>Категории поставщиков должны быть взаимоисключающими: своё МО; другие МО РБ без Уфы; Уфа, если заказчик не из Уфы; вне РБ; неизвестно. Для заказчика из Уфы местные поставщики относятся к «своё МО», без повторного включения в отдельную Уфу. Адрес регистрации поставщика и место исполнения контракта хранить раздельно.</w:t>
      </w:r>
    </w:p>
    <w:p>
      <w:r>
        <w:br w:type="page"/>
      </w:r>
    </w:p>
    <w:p>
      <w:pPr>
        <w:pStyle w:val="Heading1"/>
      </w:pPr>
      <w:r>
        <w:t>20 Как доказать что метод улучшает проект</w:t>
      </w:r>
    </w:p>
    <w:p>
      <w:pPr>
        <w:pStyle w:val="Heading2"/>
      </w:pPr>
      <w:r>
        <w:t>Сначала определить задачу</w:t>
      </w:r>
    </w:p>
    <w:p>
      <w:r>
        <w:t>Различать описание текущей структуры, прогноз будущего, перенос на новую территорию и оценку эффекта воздействия. Для каждой задачи нужны собственный результат и схема проверки. Высокая точность воспроизведения типов не заменяет точности прогноза будущих показателей.</w:t>
      </w:r>
    </w:p>
    <w:tbl>
      <w:tblPr>
        <w:tblW w:type="auto" w:w="0"/>
        <w:jc w:val="center"/>
        <w:tblLayout w:type="fixed"/>
        <w:tblLook w:firstColumn="1" w:firstRow="1" w:lastColumn="0" w:lastRow="0" w:noHBand="0" w:noVBand="1" w:val="04A0"/>
      </w:tblPr>
      <w:tblGrid>
        <w:gridCol w:w="2189"/>
        <w:gridCol w:w="4392"/>
        <w:gridCol w:w="3384"/>
      </w:tblGrid>
      <w:tr>
        <w:trPr>
          <w:cantSplit/>
          <w:tblHeader/>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jc w:val="center"/>
            </w:pPr>
            <w:r>
              <w:rPr>
                <w:b/>
                <w:sz w:val="20"/>
              </w:rPr>
              <w:t>Задача</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Разделение данных</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Основные критерии</w:t>
            </w:r>
          </w:p>
        </w:tc>
      </w:tr>
      <w:tr>
        <w:trPr>
          <w:cantSplit/>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Прогноз будущего</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Последовательные временные отсечения; обучение только на прошлом.</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MAE, квантильная потеря; результат по горизонтам.</w:t>
            </w:r>
          </w:p>
        </w:tc>
      </w:tr>
      <w:tr>
        <w:trPr>
          <w:cantSplit/>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Перенос на новые МО</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Группы по МО, при необходимости пространственные блоки.</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Ошибка по МО, разброс, устойчивость без Уфы.</w:t>
            </w:r>
          </w:p>
        </w:tc>
      </w:tr>
      <w:tr>
        <w:trPr>
          <w:cantSplit/>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Риск редкого события</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Временные и групповые разбиения по сценарию применения.</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Precision в первых K, полнота, PR AUC, калибровка.</w:t>
            </w:r>
          </w:p>
        </w:tc>
      </w:tr>
      <w:tr>
        <w:trPr>
          <w:cantSplit/>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Интервалы</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Отдельная калибровка и независимая проверка.</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Покрытие, ширина, размер проверочной выборки.</w:t>
            </w:r>
          </w:p>
        </w:tc>
      </w:tr>
      <w:tr>
        <w:trPr>
          <w:cantSplit/>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jc w:val="center"/>
            </w:pPr>
            <w:r>
              <w:rPr>
                <w:b w:val="0"/>
                <w:sz w:val="20"/>
              </w:rPr>
              <w:t>Рейтинг возможностей</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Проверка экспертом и последующие наблюдения.</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Доля подтверждённых ниш; устойчивость порядка.</w:t>
            </w:r>
          </w:p>
        </w:tc>
      </w:tr>
      <w:tr>
        <w:trPr>
          <w:cantSplit/>
        </w:trPr>
        <w:tc>
          <w:tcPr>
            <w:tcW w:type="dxa" w:w="2189"/>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jc w:val="center"/>
            </w:pPr>
            <w:r>
              <w:rPr>
                <w:b w:val="0"/>
                <w:sz w:val="20"/>
              </w:rPr>
              <w:t>Причинный эффект</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Дизайн под механизм назначения воздействия.</w:t>
            </w:r>
          </w:p>
        </w:tc>
        <w:tc>
          <w:tcPr>
            <w:tcW w:type="dxa" w:w="338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Интервал эффекта, допущения, чувствительность.</w:t>
            </w:r>
          </w:p>
        </w:tc>
      </w:tr>
    </w:tbl>
    <w:p>
      <w:pPr>
        <w:spacing w:after="20"/>
      </w:pPr>
      <w:r/>
    </w:p>
    <w:p>
      <w:pPr>
        <w:pStyle w:val="Heading2"/>
      </w:pPr>
      <w:r>
        <w:t>Обязательные условия эксперимента</w:t>
      </w:r>
    </w:p>
    <w:p>
      <w:r>
        <w:t>Все импутации, нормировки, отборы признаков и подборы параметров выполнять внутри обучающей части. При историческом прогнозе не использовать будущий статус предприятия, исполнение контракта или будущие данные соседей. Тестовые исходы не использовать для выбора победившей модели.</w:t>
      </w:r>
    </w:p>
    <w:p>
      <w:r>
        <w:t>Заранее зафиксировать основной исход, метрику, разбиения и допустимые модели. Качество сравнивать на одинаковых строках с одинаковой информацией. Для небольших выборок показывать индивидуальные ошибки МО и неопределённость разницы между моделями. Учитывать зависимость повторных наблюдений внутри территории.</w:t>
      </w:r>
    </w:p>
    <w:p>
      <w:r>
        <w:t>Критерий внедрения: воспроизводимое полезное улучшение относительно простого ориентира на отложенных данных, понятные ошибки по группам и приемлемая стоимость эксплуатации. Универсальный порог вроде «точность не меньше 90%» здесь не обоснован.</w:t>
      </w:r>
    </w:p>
    <w:p>
      <w:r>
        <w:br w:type="page"/>
      </w:r>
    </w:p>
    <w:p>
      <w:pPr>
        <w:pStyle w:val="Heading1"/>
      </w:pPr>
      <w:r>
        <w:t>21 Предлагаемый порядок работы</w:t>
      </w:r>
    </w:p>
    <w:p>
      <w:pPr>
        <w:pStyle w:val="Heading2"/>
      </w:pPr>
      <w:r>
        <w:t>Первый этап Надёжные описательные показатели</w:t>
      </w:r>
    </w:p>
    <w:p>
      <w:r>
        <w:t>Свести итоговую обработку МСП с проверенной географией закупок. Выпустить сглаженные коэффициенты специализации, отраслевую близость, отношения долей и первый список закупочных ниш. Для каждой ниши показывать исходную сумму, неизвестную часть, подходящих поставщиков и причины попадания в список.</w:t>
      </w:r>
    </w:p>
    <w:p>
      <w:r>
        <w:t>Результат этапа: проверяемая таблица «МО — отрасль — период», паспорт полей и небольшой набор вручную подтверждённых примеров. Это уже содержательно расширит проект без необходимости большой нейросети.</w:t>
      </w:r>
    </w:p>
    <w:p>
      <w:pPr>
        <w:pStyle w:val="Heading2"/>
      </w:pPr>
      <w:r>
        <w:t>Второй этап Один контролируемый прогнозный пилот</w:t>
      </w:r>
    </w:p>
    <w:p>
      <w:r>
        <w:t>Выбрать будущий исход и проверить доступность истории. Сравнить простые ориентиры, бустинг и TabPFN; TabICL подключить на подходящем объёме микроданных. Для месячных рядов отдельно проверить Chronos 2. Добавить интервалы и журнал ошибок. Победитель определяется проверкой, а не новизной названия.</w:t>
      </w:r>
    </w:p>
    <w:p>
      <w:pPr>
        <w:pStyle w:val="Heading2"/>
      </w:pPr>
      <w:r>
        <w:t>Третий этап Специальные исследовательские задачи</w:t>
      </w:r>
    </w:p>
    <w:p>
      <w:r>
        <w:t>При наличии заявок и независимых меток — закупочный риск и графовые модели. При наличии подтверждённых мощностей — транспортные сценарии. При наличии истории программ поддержки — причинный анализ. Символьную регрессию использовать после появления устойчивой прогнозной задачи.</w:t>
      </w:r>
    </w:p>
    <w:p>
      <w:pPr>
        <w:pStyle w:val="Heading2"/>
      </w:pPr>
      <w:r>
        <w:t>Как включать результаты в econtypes</w:t>
      </w:r>
    </w:p>
    <w:p>
      <w:r>
        <w:t>Исходный проверенный блок данных D сохранить как базовую версию [20]. Новые метрики и прогнозы формировать отдельным аналитическим расчётом с версиями данных, методики и программ. В интерфейс передавать также дату отсечения, единицы, число наблюдений, пропуски и статус результата: описательный показатель, модельный прогноз или эксперимент.</w:t>
      </w:r>
    </w:p>
    <w:tbl>
      <w:tblPr>
        <w:tblW w:type="auto" w:w="0"/>
        <w:jc w:val="center"/>
        <w:tblLayout w:type="fixed"/>
        <w:tblLook w:firstColumn="1" w:firstRow="1" w:lastColumn="0" w:lastRow="0" w:noHBand="0" w:noVBand="1" w:val="04A0"/>
      </w:tblPr>
      <w:tblGrid>
        <w:gridCol w:w="2952"/>
        <w:gridCol w:w="7013"/>
      </w:tblGrid>
      <w:tr>
        <w:trPr>
          <w:cantSplit/>
          <w:tblHeader/>
        </w:trPr>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Предлагаемый результат</w:t>
            </w:r>
          </w:p>
        </w:tc>
        <w:tc>
          <w:tcPr>
            <w:tcW w:type="dxa" w:w="701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DDE5EC"/>
          </w:tcPr>
          <w:p>
            <w:pPr>
              <w:spacing w:after="20" w:before="20" w:line="247" w:lineRule="auto"/>
            </w:pPr>
            <w:r>
              <w:rPr>
                <w:b/>
                <w:sz w:val="20"/>
              </w:rPr>
              <w:t>Содержание</w:t>
            </w:r>
          </w:p>
        </w:tc>
      </w:tr>
      <w:tr>
        <w:trPr>
          <w:cantSplit/>
        </w:trPr>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Паспорт метода</w:t>
            </w:r>
          </w:p>
        </w:tc>
        <w:tc>
          <w:tcPr>
            <w:tcW w:type="dxa" w:w="701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Формула, источник, допущения, версии, параметры.</w:t>
            </w:r>
          </w:p>
        </w:tc>
      </w:tr>
      <w:tr>
        <w:trPr>
          <w:cantSplit/>
        </w:trPr>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Паспорт запуска</w:t>
            </w:r>
          </w:p>
        </w:tc>
        <w:tc>
          <w:tcPr>
            <w:tcW w:type="dxa" w:w="701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Снимки данных, даты, разбиения, исходы, метрики.</w:t>
            </w:r>
          </w:p>
        </w:tc>
      </w:tr>
      <w:tr>
        <w:trPr>
          <w:cantSplit/>
        </w:trPr>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Карточка МО и отрасли</w:t>
            </w:r>
          </w:p>
        </w:tc>
        <w:tc>
          <w:tcPr>
            <w:tcW w:type="dxa" w:w="701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FFFFF"/>
          </w:tcPr>
          <w:p>
            <w:pPr>
              <w:spacing w:after="20" w:before="20" w:line="247" w:lineRule="auto"/>
            </w:pPr>
            <w:r>
              <w:rPr>
                <w:b w:val="0"/>
                <w:sz w:val="20"/>
              </w:rPr>
              <w:t>Специализация, близость, спрос, неопределённость.</w:t>
            </w:r>
          </w:p>
        </w:tc>
      </w:tr>
      <w:tr>
        <w:trPr>
          <w:cantSplit/>
        </w:trPr>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Отчёт сравнения</w:t>
            </w:r>
          </w:p>
        </w:tc>
        <w:tc>
          <w:tcPr>
            <w:tcW w:type="dxa" w:w="7013"/>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F5F7F9"/>
          </w:tcPr>
          <w:p>
            <w:pPr>
              <w:spacing w:after="20" w:before="20" w:line="247" w:lineRule="auto"/>
            </w:pPr>
            <w:r>
              <w:rPr>
                <w:b w:val="0"/>
                <w:sz w:val="20"/>
              </w:rPr>
              <w:t>Простые ориентиры, новые модели, ошибки и решение.</w:t>
            </w:r>
          </w:p>
        </w:tc>
      </w:tr>
    </w:tbl>
    <w:p>
      <w:pPr>
        <w:spacing w:after="20"/>
      </w:pPr>
      <w:r/>
    </w:p>
    <w:p>
      <w:r>
        <w:t>План задаёт последовательность, а не календарное обещание. Продолжительность зависит от полей итоговых выгрузок и наличия исторических снимков. Код новых методов и новые расчётные результаты в рамках этого обзора не создавались.</w:t>
      </w:r>
    </w:p>
    <w:p>
      <w:r>
        <w:br w:type="page"/>
      </w:r>
    </w:p>
    <w:p>
      <w:pPr>
        <w:pStyle w:val="Heading1"/>
      </w:pPr>
      <w:r>
        <w:t>22 Источники по современным моделям</w:t>
      </w:r>
    </w:p>
    <w:p>
      <w:r>
        <w:t>Номера в квадратных скобках связывают текст с первоисточниками. Ссылки активны. Внешние источники проверены 8 октября 2026 года.</w:t>
      </w:r>
    </w:p>
    <w:p>
      <w:pPr>
        <w:keepNext/>
      </w:pPr>
      <w:r>
        <w:t>[1] Hollmann N. et al. Accurate predictions on small data with a tabular foundation model. Nature 637, 319–326, 2025. Рецензируемая статья.</w:t>
      </w:r>
    </w:p>
    <w:p>
      <w:pPr>
        <w:spacing w:after="200"/>
      </w:pPr>
      <w:r/>
      <w:hyperlink r:id="rId11">
        <w:r>
          <w:rPr>
            <w:color w:val="245B85"/>
            <w:sz w:val="20"/>
          </w:rPr>
          <w:t>https://www.nature.com/articles/s41586-024-08328-6</w:t>
        </w:r>
      </w:hyperlink>
    </w:p>
    <w:p>
      <w:pPr>
        <w:keepNext/>
      </w:pPr>
      <w:r>
        <w:t>[2] Jäger B. et al. TabPFN 3.5 Technical Report. arXiv:2609.17895, 15.09.2026; v2 от 22.09.2026. Технический отчёт, не обозначается здесь как рецензируемая статья.</w:t>
      </w:r>
    </w:p>
    <w:p>
      <w:pPr>
        <w:spacing w:after="200"/>
      </w:pPr>
      <w:r/>
      <w:hyperlink r:id="rId12">
        <w:r>
          <w:rPr>
            <w:color w:val="245B85"/>
            <w:sz w:val="20"/>
          </w:rPr>
          <w:t>https://arxiv.org/abs/2609.17895</w:t>
        </w:r>
      </w:hyperlink>
    </w:p>
    <w:p>
      <w:pPr>
        <w:keepNext/>
      </w:pPr>
      <w:r>
        <w:t>[3] Prior Labs. Официальный репозиторий TabPFN. Раздел License и описание версий. Документация, проверена 08.10.2026.</w:t>
      </w:r>
    </w:p>
    <w:p>
      <w:pPr>
        <w:spacing w:after="200"/>
      </w:pPr>
      <w:r/>
      <w:hyperlink r:id="rId13">
        <w:r>
          <w:rPr>
            <w:color w:val="245B85"/>
            <w:sz w:val="20"/>
          </w:rPr>
          <w:t>https://github.com/PriorLabs/TabPFN</w:t>
        </w:r>
      </w:hyperlink>
    </w:p>
    <w:p>
      <w:pPr>
        <w:keepNext/>
      </w:pPr>
      <w:r>
        <w:t>[4] Qu J., Holzmüller D., Varoquaux G., Le Morvan M. TabICLv2 A Better, Faster, Scalable, and Open Tabular Foundation Model. ICML 2026, PMLR 306, 102477–102555.</w:t>
      </w:r>
    </w:p>
    <w:p>
      <w:pPr>
        <w:spacing w:after="200"/>
      </w:pPr>
      <w:r/>
      <w:hyperlink r:id="rId14">
        <w:r>
          <w:rPr>
            <w:color w:val="245B85"/>
            <w:sz w:val="20"/>
          </w:rPr>
          <w:t>https://proceedings.mlr.press/v306/qu26a.html</w:t>
        </w:r>
      </w:hyperlink>
    </w:p>
    <w:p>
      <w:pPr>
        <w:keepNext/>
      </w:pPr>
      <w:r>
        <w:t>[5] TabICL. Официальная документация TabICLv2, раздел What dataset sizes work well. Проверена 08.10.2026.</w:t>
      </w:r>
    </w:p>
    <w:p>
      <w:pPr>
        <w:spacing w:after="200"/>
      </w:pPr>
      <w:r/>
      <w:hyperlink r:id="rId15">
        <w:r>
          <w:rPr>
            <w:color w:val="245B85"/>
            <w:sz w:val="20"/>
          </w:rPr>
          <w:t>https://tabicl.readthedocs.io/en/latest/</w:t>
        </w:r>
      </w:hyperlink>
    </w:p>
    <w:p>
      <w:pPr>
        <w:keepNext/>
      </w:pPr>
      <w:r>
        <w:t>[6] Ansari A. F. et al. Chronos 2 From Univariate to Universal Forecasting. arXiv:2510.15821, 17.10.2025. Технический отчёт.</w:t>
      </w:r>
    </w:p>
    <w:p>
      <w:pPr>
        <w:spacing w:after="200"/>
      </w:pPr>
      <w:r/>
      <w:hyperlink r:id="rId16">
        <w:r>
          <w:rPr>
            <w:color w:val="245B85"/>
            <w:sz w:val="20"/>
          </w:rPr>
          <w:t>https://arxiv.org/abs/2510.15821</w:t>
        </w:r>
      </w:hyperlink>
    </w:p>
    <w:p>
      <w:pPr>
        <w:keepNext/>
      </w:pPr>
      <w:r>
        <w:t>[7] Jiang H., Xie Y. Spatial Conformal Inference through Localized Quantile Regression. ICML 2026, PMLR 306, 53181–53202. Рецензируемая конференция.</w:t>
      </w:r>
    </w:p>
    <w:p>
      <w:pPr>
        <w:spacing w:after="200"/>
      </w:pPr>
      <w:r/>
      <w:hyperlink r:id="rId17">
        <w:r>
          <w:rPr>
            <w:color w:val="245B85"/>
            <w:sz w:val="20"/>
          </w:rPr>
          <w:t>https://proceedings.mlr.press/v306/jiang26at.html</w:t>
        </w:r>
      </w:hyperlink>
    </w:p>
    <w:p>
      <w:r>
        <w:br w:type="page"/>
      </w:r>
    </w:p>
    <w:p>
      <w:pPr>
        <w:pStyle w:val="Heading1"/>
      </w:pPr>
      <w:r>
        <w:t>23 Источники по неопределённости и структуре экономики</w:t>
      </w:r>
    </w:p>
    <w:p>
      <w:r>
        <w:t>Номера в квадратных скобках связывают текст с первоисточниками. Ссылки активны. Внешние источники проверены 8 октября 2026 года.</w:t>
      </w:r>
    </w:p>
    <w:p>
      <w:pPr>
        <w:keepNext/>
      </w:pPr>
      <w:r>
        <w:t>[8] Angelopoulos A. N., Bates S. A Gentle Introduction to Conformal Prediction and Distribution Free Uncertainty Quantification. arXiv:2107.07511. Авторское изложение теории.</w:t>
      </w:r>
    </w:p>
    <w:p>
      <w:pPr>
        <w:spacing w:after="200"/>
      </w:pPr>
      <w:r/>
      <w:hyperlink r:id="rId18">
        <w:r>
          <w:rPr>
            <w:color w:val="245B85"/>
            <w:sz w:val="20"/>
          </w:rPr>
          <w:t>https://arxiv.org/abs/2107.07511</w:t>
        </w:r>
      </w:hyperlink>
    </w:p>
    <w:p>
      <w:pPr>
        <w:keepNext/>
      </w:pPr>
      <w:r>
        <w:t>[9] Xu Z. et al. Missingness Aware Graph Learning for Collusion Detection in Public Procurement. IEEE Access 14, 91803–91816, 2026. DOI 10.1109/ACCESS.2026.3703911. Полный текст просмотрен в авторской публикации ResearchGate.</w:t>
      </w:r>
    </w:p>
    <w:p>
      <w:pPr>
        <w:spacing w:after="200"/>
      </w:pPr>
      <w:r/>
      <w:hyperlink r:id="rId19">
        <w:r>
          <w:rPr>
            <w:color w:val="245B85"/>
            <w:sz w:val="20"/>
          </w:rPr>
          <w:t>https://doi.org/10.1109/ACCESS.2026.3703911</w:t>
        </w:r>
      </w:hyperlink>
    </w:p>
    <w:p>
      <w:r/>
      <w:hyperlink r:id="rId20">
        <w:r>
          <w:rPr>
            <w:color w:val="245B85"/>
            <w:sz w:val="20"/>
          </w:rPr>
          <w:t>Авторский полный текст на ResearchGate</w:t>
        </w:r>
      </w:hyperlink>
    </w:p>
    <w:p>
      <w:pPr>
        <w:keepNext/>
      </w:pPr>
      <w:r>
        <w:t>[10] Fazekas M., Tóth B., Wachs J., Abdou A. Public procurement cartels A large sample testing of screens using machine learning. International Journal of Industrial Organization 104, 103228, январь 2026. DOI 10.1016/j.ijindorg.2025.103228.</w:t>
      </w:r>
    </w:p>
    <w:p>
      <w:pPr>
        <w:spacing w:after="200"/>
      </w:pPr>
      <w:r/>
      <w:hyperlink r:id="rId21">
        <w:r>
          <w:rPr>
            <w:color w:val="245B85"/>
            <w:sz w:val="20"/>
          </w:rPr>
          <w:t>https://research.ceu.edu/en/publications/public-procurement-cartels-a-large-sample-testing-of-screens-usin/</w:t>
        </w:r>
      </w:hyperlink>
    </w:p>
    <w:p>
      <w:pPr>
        <w:keepNext/>
      </w:pPr>
      <w:r>
        <w:t>[11] Hidalgo C. A., Hausmann R. The building blocks of economic complexity. PNAS 106(26), 10570–10575, 2009. DOI 10.1073/pnas.0900943106.</w:t>
      </w:r>
    </w:p>
    <w:p>
      <w:pPr>
        <w:spacing w:after="200"/>
      </w:pPr>
      <w:r/>
      <w:hyperlink r:id="rId22">
        <w:r>
          <w:rPr>
            <w:color w:val="245B85"/>
            <w:sz w:val="20"/>
          </w:rPr>
          <w:t>https://pmc.ncbi.nlm.nih.gov/articles/PMC2705545/</w:t>
        </w:r>
      </w:hyperlink>
    </w:p>
    <w:p>
      <w:pPr>
        <w:keepNext/>
      </w:pPr>
      <w:r>
        <w:t>[12] Hidalgo C. A. et al. The Principle of Relatedness. Unifying Themes in Complex Systems IX, 451–457, 2018. DOI 10.1007/978-3-319-96661-8_46.</w:t>
      </w:r>
    </w:p>
    <w:p>
      <w:pPr>
        <w:spacing w:after="200"/>
      </w:pPr>
      <w:r/>
      <w:hyperlink r:id="rId23">
        <w:r>
          <w:rPr>
            <w:color w:val="245B85"/>
            <w:sz w:val="20"/>
          </w:rPr>
          <w:t>https://research-portal.uu.nl/en/publications/the-principle-of-relatedness/</w:t>
        </w:r>
      </w:hyperlink>
    </w:p>
    <w:p>
      <w:pPr>
        <w:keepNext/>
      </w:pPr>
      <w:r>
        <w:t>[13] Carpenter B. Hierarchical Partial Pooling for Repeated Binary Trials. Официальный учебный пример Stan. Источник для частичного объединения оценок, не новая публикация 2026 года.</w:t>
      </w:r>
    </w:p>
    <w:p>
      <w:pPr>
        <w:spacing w:after="200"/>
      </w:pPr>
      <w:r/>
      <w:hyperlink r:id="rId24">
        <w:r>
          <w:rPr>
            <w:color w:val="245B85"/>
            <w:sz w:val="20"/>
          </w:rPr>
          <w:t>https://mc-stan.org/learn-stan/case-studies/pool-binary-trials.html</w:t>
        </w:r>
      </w:hyperlink>
    </w:p>
    <w:p>
      <w:pPr>
        <w:keepNext/>
      </w:pPr>
      <w:r>
        <w:t>[14] Cuturi M. Sinkhorn Distances Lightspeed Computation of Optimal Transport. NeurIPS 2013. Рецензируемая конференция; авторский препринт arXiv:1306.0895.</w:t>
      </w:r>
    </w:p>
    <w:p>
      <w:pPr>
        <w:spacing w:after="200"/>
      </w:pPr>
      <w:r/>
      <w:hyperlink r:id="rId25">
        <w:r>
          <w:rPr>
            <w:color w:val="245B85"/>
            <w:sz w:val="20"/>
          </w:rPr>
          <w:t>https://arxiv.org/abs/1306.0895</w:t>
        </w:r>
      </w:hyperlink>
    </w:p>
    <w:p>
      <w:r>
        <w:br w:type="page"/>
      </w:r>
    </w:p>
    <w:p>
      <w:pPr>
        <w:pStyle w:val="Heading1"/>
      </w:pPr>
      <w:r>
        <w:t>24 Источники по причинности и статистике</w:t>
      </w:r>
    </w:p>
    <w:p>
      <w:r>
        <w:t>Номера в квадратных скобках связывают текст с первоисточниками. Ссылки активны. Внешние источники проверены 8 октября 2026 года.</w:t>
      </w:r>
    </w:p>
    <w:p>
      <w:pPr>
        <w:keepNext/>
      </w:pPr>
      <w:r>
        <w:t>[15] Chernozhukov V. et al. Double/debiased machine learning for treatment and structural parameters. The Econometrics Journal 21(1), C1–C68, 2018. DOI 10.1111/ectj.12097.</w:t>
      </w:r>
    </w:p>
    <w:p>
      <w:pPr>
        <w:spacing w:after="200"/>
      </w:pPr>
      <w:r/>
      <w:hyperlink r:id="rId26">
        <w:r>
          <w:rPr>
            <w:color w:val="245B85"/>
            <w:sz w:val="20"/>
          </w:rPr>
          <w:t>https://academic.oup.com/ectj/article/21/1/C1/5056401</w:t>
        </w:r>
      </w:hyperlink>
    </w:p>
    <w:p>
      <w:pPr>
        <w:keepNext/>
      </w:pPr>
      <w:r>
        <w:t>[16] Arkhangelsky D., Athey S., Hirshberg D. A., Imbens G. W., Wager S. Synthetic Difference in Differences. American Economic Review 111(12), 4088–4118, 2021. DOI 10.1257/aer.20190159.</w:t>
      </w:r>
    </w:p>
    <w:p>
      <w:pPr>
        <w:spacing w:after="200"/>
      </w:pPr>
      <w:r/>
      <w:hyperlink r:id="rId27">
        <w:r>
          <w:rPr>
            <w:color w:val="245B85"/>
            <w:sz w:val="20"/>
          </w:rPr>
          <w:t>https://arxiv.org/abs/1812.09970</w:t>
        </w:r>
      </w:hyperlink>
    </w:p>
    <w:p>
      <w:pPr>
        <w:keepNext/>
      </w:pPr>
      <w:r>
        <w:t>[17] Aitchison J. The Statistical Analysis of Compositional Data. JRSS B 44(2), 139–160, 1982. DOI 10.1111/j.2517-6161.1982.tb01195.x.</w:t>
      </w:r>
    </w:p>
    <w:p>
      <w:pPr>
        <w:spacing w:after="200"/>
      </w:pPr>
      <w:r/>
      <w:hyperlink r:id="rId28">
        <w:r>
          <w:rPr>
            <w:color w:val="245B85"/>
            <w:sz w:val="20"/>
          </w:rPr>
          <w:t>https://academic.oup.com/jrsssb/article/44/2/139/7027742</w:t>
        </w:r>
      </w:hyperlink>
    </w:p>
    <w:p>
      <w:pPr>
        <w:keepNext/>
      </w:pPr>
      <w:r>
        <w:t>[18] Wang R., Ramdas A. False Discovery Rate Control with E values. JRSS B 84(3), 822–852, 2022. DOI 10.1111/rssb.12489.</w:t>
      </w:r>
    </w:p>
    <w:p>
      <w:pPr>
        <w:spacing w:after="200"/>
      </w:pPr>
      <w:r/>
      <w:hyperlink r:id="rId29">
        <w:r>
          <w:rPr>
            <w:color w:val="245B85"/>
            <w:sz w:val="20"/>
          </w:rPr>
          <w:t>https://academic.oup.com/jrsssb/article/84/3/822/7056146</w:t>
        </w:r>
      </w:hyperlink>
    </w:p>
    <w:p>
      <w:pPr>
        <w:keepNext/>
      </w:pPr>
      <w:r>
        <w:t>[19] Cranmer M. Interpretable Machine Learning for Science with PySR and SymbolicRegression.jl. arXiv:2305.01582, май 2023. Авторский препринт и описание инструмента.</w:t>
      </w:r>
    </w:p>
    <w:p>
      <w:pPr>
        <w:spacing w:after="200"/>
      </w:pPr>
      <w:r/>
      <w:hyperlink r:id="rId30">
        <w:r>
          <w:rPr>
            <w:color w:val="245B85"/>
            <w:sz w:val="20"/>
          </w:rPr>
          <w:t>https://arxiv.org/abs/2305.01582</w:t>
        </w:r>
      </w:hyperlink>
    </w:p>
    <w:p>
      <w:pPr>
        <w:keepNext w:val="0"/>
      </w:pPr>
      <w:r>
        <w:t>[20] Материалы проекта. ECONTYPES_V5_TRANSFER_AND_PROMPT.txt, проверка от 08.10.2026. Внутренний источник структуры проекта и ранее выявленных ограничений; не внешняя научная публикация.</w:t>
      </w:r>
    </w:p>
    <w:p>
      <w:pPr>
        <w:pStyle w:val="Heading2"/>
      </w:pPr>
      <w:r>
        <w:t>Как использовать библиографию</w:t>
      </w:r>
    </w:p>
    <w:p>
      <w:r>
        <w:t>Сначала читать источник метода и его предпосылки, затем проверять официальную реализацию и конкретную версию. Формулы и рекомендации по адаптации в этой записке не заменяют полный алгоритм статьи. Публикационный статус указан для найденного источника; отсутствие отметки о рецензировании означает, что он здесь не подтверждён.</w:t>
      </w:r>
    </w:p>
    <w:p>
      <w:r>
        <w:t>Для обзора использованы научные статьи, авторские препринты, официальные материалы разработчиков и внутреннее описание проекта. Численные примеры и порядок внедрения разработаны для этой записки; они не являются результатами расчёта по муниципалитетам Башкортостана.</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Обзор на 8 октября 2026 года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ECONTYPES   /   Научные методы для анализа муниципалитетов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ture.com/articles/s41586-024-08328-6" TargetMode="External"/><Relationship Id="rId12" Type="http://schemas.openxmlformats.org/officeDocument/2006/relationships/hyperlink" Target="https://arxiv.org/abs/2609.17895" TargetMode="External"/><Relationship Id="rId13" Type="http://schemas.openxmlformats.org/officeDocument/2006/relationships/hyperlink" Target="https://github.com/PriorLabs/TabPFN" TargetMode="External"/><Relationship Id="rId14" Type="http://schemas.openxmlformats.org/officeDocument/2006/relationships/hyperlink" Target="https://proceedings.mlr.press/v306/qu26a.html" TargetMode="External"/><Relationship Id="rId15" Type="http://schemas.openxmlformats.org/officeDocument/2006/relationships/hyperlink" Target="https://tabicl.readthedocs.io/en/latest/" TargetMode="External"/><Relationship Id="rId16" Type="http://schemas.openxmlformats.org/officeDocument/2006/relationships/hyperlink" Target="https://arxiv.org/abs/2510.15821" TargetMode="External"/><Relationship Id="rId17" Type="http://schemas.openxmlformats.org/officeDocument/2006/relationships/hyperlink" Target="https://proceedings.mlr.press/v306/jiang26at.html" TargetMode="External"/><Relationship Id="rId18" Type="http://schemas.openxmlformats.org/officeDocument/2006/relationships/hyperlink" Target="https://arxiv.org/abs/2107.07511" TargetMode="External"/><Relationship Id="rId19" Type="http://schemas.openxmlformats.org/officeDocument/2006/relationships/hyperlink" Target="https://doi.org/10.1109/ACCESS.2026.3703911" TargetMode="External"/><Relationship Id="rId20" Type="http://schemas.openxmlformats.org/officeDocument/2006/relationships/hyperlink" Target="https://www.researchgate.net/publication/407113919_Missingness-Aware_Graph_Learning_for_Collusion_Detection_in_Public_Procurement" TargetMode="External"/><Relationship Id="rId21" Type="http://schemas.openxmlformats.org/officeDocument/2006/relationships/hyperlink" Target="https://research.ceu.edu/en/publications/public-procurement-cartels-a-large-sample-testing-of-screens-usin/" TargetMode="External"/><Relationship Id="rId22" Type="http://schemas.openxmlformats.org/officeDocument/2006/relationships/hyperlink" Target="https://pmc.ncbi.nlm.nih.gov/articles/PMC2705545/" TargetMode="External"/><Relationship Id="rId23" Type="http://schemas.openxmlformats.org/officeDocument/2006/relationships/hyperlink" Target="https://research-portal.uu.nl/en/publications/the-principle-of-relatedness/" TargetMode="External"/><Relationship Id="rId24" Type="http://schemas.openxmlformats.org/officeDocument/2006/relationships/hyperlink" Target="https://mc-stan.org/learn-stan/case-studies/pool-binary-trials.html" TargetMode="External"/><Relationship Id="rId25" Type="http://schemas.openxmlformats.org/officeDocument/2006/relationships/hyperlink" Target="https://arxiv.org/abs/1306.0895" TargetMode="External"/><Relationship Id="rId26" Type="http://schemas.openxmlformats.org/officeDocument/2006/relationships/hyperlink" Target="https://academic.oup.com/ectj/article/21/1/C1/5056401" TargetMode="External"/><Relationship Id="rId27" Type="http://schemas.openxmlformats.org/officeDocument/2006/relationships/hyperlink" Target="https://arxiv.org/abs/1812.09970" TargetMode="External"/><Relationship Id="rId28" Type="http://schemas.openxmlformats.org/officeDocument/2006/relationships/hyperlink" Target="https://academic.oup.com/jrsssb/article/44/2/139/7027742" TargetMode="External"/><Relationship Id="rId29" Type="http://schemas.openxmlformats.org/officeDocument/2006/relationships/hyperlink" Target="https://academic.oup.com/jrsssb/article/84/3/822/7056146" TargetMode="External"/><Relationship Id="rId30" Type="http://schemas.openxmlformats.org/officeDocument/2006/relationships/hyperlink" Target="https://arxiv.org/abs/2305.015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Современные научные методы для проекта econtypes</dc:title>
  <dc:subject>16 методов анализа МСП закупок и экономики муниципалитетов</dc:subject>
  <dc:creator>Исследовательская записка для команды econtypes</dc:creator>
  <cp:keywords>econtypes, МСП, закупки, машинное обучение, 2026</cp:keywords>
  <dc:description>generated by python-docx</dc:description>
  <cp:lastModifiedBy/>
  <cp:revision>1</cp:revision>
  <dcterms:created xsi:type="dcterms:W3CDTF">2013-12-23T23:15:00Z</dcterms:created>
  <dcterms:modified xsi:type="dcterms:W3CDTF">2013-12-23T23:15:00Z</dcterms:modified>
  <cp:category/>
</cp:coreProperties>
</file>