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4E8B19" w14:textId="77777777" w:rsidR="004978AD" w:rsidRDefault="00000000">
      <w:pPr>
        <w:spacing w:before="160" w:after="100"/>
        <w:jc w:val="center"/>
        <w:rPr>
          <w:b/>
          <w:bCs/>
          <w:color w:val="1F3864"/>
          <w:sz w:val="28"/>
          <w:szCs w:val="28"/>
        </w:rPr>
      </w:pPr>
      <w:r>
        <w:rPr>
          <w:b/>
          <w:bCs/>
          <w:color w:val="1F3864"/>
          <w:sz w:val="28"/>
          <w:szCs w:val="28"/>
        </w:rPr>
        <w:t xml:space="preserve">Probabilistic Flight Delay Forecasting with </w:t>
      </w:r>
    </w:p>
    <w:p w14:paraId="56DA6C86" w14:textId="04237BBC" w:rsidR="00370BA6" w:rsidRDefault="00000000">
      <w:pPr>
        <w:spacing w:before="160" w:after="100"/>
        <w:jc w:val="center"/>
      </w:pPr>
      <w:r>
        <w:rPr>
          <w:b/>
          <w:bCs/>
          <w:color w:val="1F3864"/>
          <w:sz w:val="28"/>
          <w:szCs w:val="28"/>
        </w:rPr>
        <w:t>Cross-Airport Delay Propagation Analysis</w:t>
      </w:r>
    </w:p>
    <w:p w14:paraId="148243EC" w14:textId="77777777" w:rsidR="00370BA6" w:rsidRDefault="00000000">
      <w:pPr>
        <w:spacing w:before="60" w:after="40"/>
        <w:jc w:val="center"/>
      </w:pPr>
      <w:r>
        <w:t>Aarsh Adhvaryu, Nikita Sharma, Ram Sharma</w:t>
      </w:r>
    </w:p>
    <w:p w14:paraId="64747625" w14:textId="77777777" w:rsidR="00370BA6" w:rsidRDefault="00000000">
      <w:pPr>
        <w:spacing w:after="60"/>
        <w:jc w:val="center"/>
      </w:pPr>
      <w:r>
        <w:rPr>
          <w:color w:val="595959"/>
          <w:sz w:val="18"/>
          <w:szCs w:val="18"/>
        </w:rPr>
        <w:t>Applied Forecasting Methods, 2025</w:t>
      </w:r>
    </w:p>
    <w:p w14:paraId="62E5593C" w14:textId="77777777" w:rsidR="00370BA6" w:rsidRDefault="00000000">
      <w:pPr>
        <w:spacing w:before="140" w:after="60"/>
        <w:jc w:val="center"/>
      </w:pPr>
      <w:r>
        <w:rPr>
          <w:b/>
          <w:bCs/>
        </w:rPr>
        <w:t>Abstract</w:t>
      </w:r>
    </w:p>
    <w:p w14:paraId="139D2CF0" w14:textId="77777777" w:rsidR="00370BA6" w:rsidRDefault="00000000">
      <w:pPr>
        <w:spacing w:before="40" w:after="60" w:line="276" w:lineRule="auto"/>
        <w:ind w:left="720" w:right="720"/>
        <w:jc w:val="both"/>
      </w:pPr>
      <w:r>
        <w:rPr>
          <w:color w:val="000000"/>
          <w:sz w:val="19"/>
          <w:szCs w:val="19"/>
        </w:rPr>
        <w:t xml:space="preserve">Flight delays impose substantial economic and operational costs on airlines, passengers, and national air traffic networks. Existing operational forecasting systems produce single point-estimates and treat hub airports as independent entities, providing no quantification of prediction uncertainty or inter-airport delay dependencies. This paper presents a probabilistic forecasting pipeline applied to ~22 million US Bureau of Transportation Statistics (BTS) flight records spanning January 2023 through December 2025, covering the ten busiest domestic hub airports. We implement a comprehensive model hierarchy—Arithmetic Mean, Naïve, Seasonal Naïve, Moving Average baselines; ARIMA, SARIMA, SARIMAX statistical models; and LSTM, GRU, and Quantile Recurrent Neural Network (QRNN) deep learning models trained with Pinball Loss—evaluated on a 366-day test horizon. STL decomposition reveals that delay series are trend-dominated with weak seasonality (Fs &lt; 0.19) and heavy-tailed non-Gaussian residuals (Shapiro-Wilk p &lt; 10⁻¹²), formally motivating quantile regression. </w:t>
      </w:r>
      <w:proofErr w:type="gramStart"/>
      <w:r>
        <w:rPr>
          <w:color w:val="000000"/>
          <w:sz w:val="19"/>
          <w:szCs w:val="19"/>
        </w:rPr>
        <w:t>SARIMA(</w:t>
      </w:r>
      <w:proofErr w:type="gramEnd"/>
      <w:r>
        <w:rPr>
          <w:color w:val="000000"/>
          <w:sz w:val="19"/>
          <w:szCs w:val="19"/>
        </w:rPr>
        <w:t>1,0,</w:t>
      </w:r>
      <w:proofErr w:type="gramStart"/>
      <w:r>
        <w:rPr>
          <w:color w:val="000000"/>
          <w:sz w:val="19"/>
          <w:szCs w:val="19"/>
        </w:rPr>
        <w:t>2)×</w:t>
      </w:r>
      <w:proofErr w:type="gramEnd"/>
      <w:r>
        <w:rPr>
          <w:color w:val="000000"/>
          <w:sz w:val="19"/>
          <w:szCs w:val="19"/>
        </w:rPr>
        <w:t>(0,1,</w:t>
      </w:r>
      <w:proofErr w:type="gramStart"/>
      <w:r>
        <w:rPr>
          <w:color w:val="000000"/>
          <w:sz w:val="19"/>
          <w:szCs w:val="19"/>
        </w:rPr>
        <w:t>1)[</w:t>
      </w:r>
      <w:proofErr w:type="gramEnd"/>
      <w:r>
        <w:rPr>
          <w:color w:val="000000"/>
          <w:sz w:val="19"/>
          <w:szCs w:val="19"/>
        </w:rPr>
        <w:t>7] achieves the best point-forecast accuracy (champion RMSE: 4.896 min at PHX), while the QRNN attains a 90% Prediction Interval Coverage Probability (PICP) of 0.855 at PHX after temperature scaling. Cross-airport delay propagation is validated through two complementary approaches: Granger causality testing (68 of 90 hub pairs significant at p &lt; 0.05) and physical tail-number aircraft chain analysis (mean carry-over fraction 74.2% across 793,941 chain pairs). An hourly alert system built on these validated causal pairs achieves a macro F1 score of 0.760—more than double the 0.364 achieved by the prior daily alert system. Our results confirm that hub airports form a statistically and physically coupled delay network, and that probabilistic forecasting with calibrated intervals is essential for operational decision support.</w:t>
      </w:r>
    </w:p>
    <w:p w14:paraId="0FD1BA5F" w14:textId="77777777" w:rsidR="00370BA6" w:rsidRDefault="00000000">
      <w:pPr>
        <w:spacing w:before="40" w:after="100"/>
        <w:ind w:left="720" w:right="720"/>
        <w:jc w:val="both"/>
      </w:pPr>
      <w:r>
        <w:rPr>
          <w:b/>
          <w:bCs/>
          <w:sz w:val="19"/>
          <w:szCs w:val="19"/>
        </w:rPr>
        <w:t>Index Terms</w:t>
      </w:r>
      <w:r>
        <w:rPr>
          <w:sz w:val="19"/>
          <w:szCs w:val="19"/>
        </w:rPr>
        <w:t>—Flight delay forecasting, probabilistic prediction, QRNN, Pinball Loss, SARIMA, LSTM, GRU, Granger causality, delay propagation, air traffic management.</w:t>
      </w:r>
    </w:p>
    <w:p w14:paraId="7BE7976A" w14:textId="77777777" w:rsidR="00370BA6" w:rsidRDefault="00000000">
      <w:pPr>
        <w:spacing w:before="200" w:after="120"/>
        <w:jc w:val="center"/>
      </w:pPr>
      <w:r>
        <w:rPr>
          <w:b/>
          <w:bCs/>
          <w:color w:val="000000"/>
        </w:rPr>
        <w:t>I. INTRODUCTION</w:t>
      </w:r>
    </w:p>
    <w:p w14:paraId="7EA8B397" w14:textId="77777777" w:rsidR="00370BA6" w:rsidRDefault="00000000">
      <w:pPr>
        <w:spacing w:before="80" w:after="80" w:line="276" w:lineRule="auto"/>
        <w:ind w:firstLine="720"/>
        <w:jc w:val="both"/>
      </w:pPr>
      <w:r>
        <w:rPr>
          <w:color w:val="000000"/>
        </w:rPr>
        <w:t>Flight delay is one of the most operationally and economically significant disruptions in commercial aviation. According to the US Federal Aviation Administration, domestic delays cost airlines, passengers, and the broader economy in excess of $30 billion annually. At hub airports, disruptions cascade systemically: a delayed inbound aircraft forces the subsequent departure to wait, crew duty-time limits are approached, and connecting passengers miss onward segments—propagating what began as a localized event across the national network within hours.</w:t>
      </w:r>
    </w:p>
    <w:p w14:paraId="28FEB240" w14:textId="77777777" w:rsidR="00370BA6" w:rsidRDefault="00000000">
      <w:pPr>
        <w:spacing w:before="80" w:after="80" w:line="276" w:lineRule="auto"/>
        <w:ind w:firstLine="720"/>
        <w:jc w:val="both"/>
      </w:pPr>
      <w:r>
        <w:rPr>
          <w:color w:val="000000"/>
        </w:rPr>
        <w:t>Despite the magnitude of this problem, operational decision-support systems in wide deployment today share two critical limitations. First, they issue single-point (deterministic) forecasts—a predicted delay of 12 minutes with no accompanying confidence band—leaving dispatchers and gate managers unable to distinguish between a reliable forecast and a highly uncertain one. Second, they treat airports as independent entities, ignoring the well-documented physical reality that delays at one hub causally influence delays at connected hubs through shared aircraft rotations, crew pairings, and passenger itineraries.</w:t>
      </w:r>
    </w:p>
    <w:p w14:paraId="4E09079B" w14:textId="77777777" w:rsidR="00370BA6" w:rsidRDefault="00000000">
      <w:pPr>
        <w:spacing w:before="80" w:after="80" w:line="276" w:lineRule="auto"/>
        <w:ind w:firstLine="720"/>
        <w:jc w:val="both"/>
      </w:pPr>
      <w:r>
        <w:rPr>
          <w:color w:val="000000"/>
        </w:rPr>
        <w:t>This paper addresses both limitations through three complementary research questions:</w:t>
      </w:r>
    </w:p>
    <w:p w14:paraId="4B75B4A7" w14:textId="77777777" w:rsidR="00370BA6" w:rsidRDefault="00000000">
      <w:pPr>
        <w:spacing w:before="40" w:after="40" w:line="276" w:lineRule="auto"/>
        <w:ind w:left="360" w:hanging="360"/>
        <w:jc w:val="both"/>
      </w:pPr>
      <w:r>
        <w:rPr>
          <w:color w:val="000000"/>
        </w:rPr>
        <w:t>•</w:t>
      </w:r>
      <w:r>
        <w:rPr>
          <w:color w:val="000000"/>
        </w:rPr>
        <w:tab/>
        <w:t>RQ1: Are the residuals of standard statistical (ARIMA/SARIMA) and deep learning (LSTM, GRU) forecasting models Gaussian? If not, Gaussian prediction intervals are invalid and an alternative approach is required.</w:t>
      </w:r>
    </w:p>
    <w:p w14:paraId="7DA0415B" w14:textId="77777777" w:rsidR="00370BA6" w:rsidRDefault="00000000">
      <w:pPr>
        <w:spacing w:before="40" w:after="40" w:line="276" w:lineRule="auto"/>
        <w:ind w:left="360" w:hanging="360"/>
        <w:jc w:val="both"/>
      </w:pPr>
      <w:r>
        <w:rPr>
          <w:color w:val="000000"/>
        </w:rPr>
        <w:t>•</w:t>
      </w:r>
      <w:r>
        <w:rPr>
          <w:color w:val="000000"/>
        </w:rPr>
        <w:tab/>
        <w:t>RQ2: Can a Quantile Recurrent Neural Network (QRNN) trained with Pinball Loss produce calibrated prediction intervals achieving a 90% Prediction Interval Coverage Probability (PICP ≥ 0.90) for daily hub airport delays?</w:t>
      </w:r>
    </w:p>
    <w:p w14:paraId="07F84655" w14:textId="77777777" w:rsidR="00370BA6" w:rsidRDefault="00000000">
      <w:pPr>
        <w:spacing w:before="40" w:after="40" w:line="276" w:lineRule="auto"/>
        <w:ind w:left="360" w:hanging="360"/>
        <w:jc w:val="both"/>
      </w:pPr>
      <w:r>
        <w:rPr>
          <w:color w:val="000000"/>
        </w:rPr>
        <w:t>•</w:t>
      </w:r>
      <w:r>
        <w:rPr>
          <w:color w:val="000000"/>
        </w:rPr>
        <w:tab/>
        <w:t>RQ3: Do hub airports exhibit statistically significant cross-airport delay propagation, quantifiable both through statistical causality testing and through the physical mechanism of aircraft rotations?</w:t>
      </w:r>
    </w:p>
    <w:p w14:paraId="5AAEF189" w14:textId="77777777" w:rsidR="00370BA6" w:rsidRDefault="00000000">
      <w:pPr>
        <w:spacing w:before="80" w:after="80" w:line="276" w:lineRule="auto"/>
        <w:ind w:firstLine="720"/>
        <w:jc w:val="both"/>
      </w:pPr>
      <w:r>
        <w:rPr>
          <w:color w:val="000000"/>
        </w:rPr>
        <w:t>We make the following primary contributions: (</w:t>
      </w:r>
      <w:proofErr w:type="spellStart"/>
      <w:r>
        <w:rPr>
          <w:color w:val="000000"/>
        </w:rPr>
        <w:t>i</w:t>
      </w:r>
      <w:proofErr w:type="spellEnd"/>
      <w:r>
        <w:rPr>
          <w:color w:val="000000"/>
        </w:rPr>
        <w:t>) a comprehensive probabilistic forecasting benchmark across ten US hub airports and eight model families applied to three years of minute-level BTS data; (ii) formal statistical proof of non-</w:t>
      </w:r>
      <w:proofErr w:type="spellStart"/>
      <w:r>
        <w:rPr>
          <w:color w:val="000000"/>
        </w:rPr>
        <w:t>Gaussianity</w:t>
      </w:r>
      <w:proofErr w:type="spellEnd"/>
      <w:r>
        <w:rPr>
          <w:color w:val="000000"/>
        </w:rPr>
        <w:t xml:space="preserve"> in delay residuals across all models and all airports, motivating distribution-free quantile forecasting; (iii) a joint </w:t>
      </w:r>
      <w:r>
        <w:rPr>
          <w:color w:val="000000"/>
        </w:rPr>
        <w:lastRenderedPageBreak/>
        <w:t>Granger causality and tail-number chain analysis that quantifies the causal structure and physical magnitude of delay propagation; and (iv) an operational hourly alert system that doubles the F1 score of the prior daily alert system.</w:t>
      </w:r>
    </w:p>
    <w:p w14:paraId="0474F9A1" w14:textId="77777777" w:rsidR="00370BA6" w:rsidRDefault="00000000">
      <w:pPr>
        <w:spacing w:before="200" w:after="120"/>
        <w:jc w:val="center"/>
      </w:pPr>
      <w:r>
        <w:rPr>
          <w:b/>
          <w:bCs/>
          <w:color w:val="000000"/>
        </w:rPr>
        <w:t>II. RELATED WORK</w:t>
      </w:r>
    </w:p>
    <w:p w14:paraId="16993556" w14:textId="77777777" w:rsidR="00370BA6" w:rsidRDefault="00000000">
      <w:pPr>
        <w:spacing w:before="140" w:after="80"/>
      </w:pPr>
      <w:r>
        <w:rPr>
          <w:b/>
          <w:bCs/>
          <w:color w:val="000000"/>
        </w:rPr>
        <w:t>A. Deterministic Flight Delay Forecasting</w:t>
      </w:r>
    </w:p>
    <w:p w14:paraId="0E9FDF4A" w14:textId="77777777" w:rsidR="00370BA6" w:rsidRDefault="00000000">
      <w:pPr>
        <w:spacing w:before="80" w:after="80" w:line="276" w:lineRule="auto"/>
        <w:ind w:firstLine="720"/>
        <w:jc w:val="both"/>
      </w:pPr>
      <w:r>
        <w:rPr>
          <w:color w:val="000000"/>
        </w:rPr>
        <w:t>Classical time-series methods have been extensively applied to flight delay prediction. Rebollo and Balakrishnan [1] applied network-based statistical models to delay propagation at US airports, demonstrating the utility of treating the air traffic system as a coupled network rather than a collection of independent nodes. ARIMA and its seasonal extension SARIMA have been standard baselines in this literature [2], though their Gaussian residual assumption limits forecast interval validity.</w:t>
      </w:r>
    </w:p>
    <w:p w14:paraId="2645D275" w14:textId="77777777" w:rsidR="00370BA6" w:rsidRDefault="00000000">
      <w:pPr>
        <w:spacing w:before="140" w:after="80"/>
      </w:pPr>
      <w:r>
        <w:rPr>
          <w:b/>
          <w:bCs/>
          <w:color w:val="000000"/>
        </w:rPr>
        <w:t>B. Deep Learning Approaches</w:t>
      </w:r>
    </w:p>
    <w:p w14:paraId="5FA78B4C" w14:textId="77777777" w:rsidR="00370BA6" w:rsidRDefault="00000000">
      <w:pPr>
        <w:spacing w:before="80" w:after="80" w:line="276" w:lineRule="auto"/>
        <w:ind w:firstLine="720"/>
        <w:jc w:val="both"/>
      </w:pPr>
      <w:r>
        <w:rPr>
          <w:color w:val="000000"/>
        </w:rPr>
        <w:t>Recurrent neural networks—particularly LSTM [3] and GRU [4]—have demonstrated strong point-forecast performance on sequential transportation data. LSTM's gated cell memory mitigates the vanishing gradient problem in long sequences, while GRU achieves comparable accuracy with fewer parameters through its simplified two-gate architecture. Both architectures have been applied to traffic and delay forecasting [5], though neither natively produces calibrated uncertainty estimates.</w:t>
      </w:r>
    </w:p>
    <w:p w14:paraId="3997D6AD" w14:textId="77777777" w:rsidR="00370BA6" w:rsidRDefault="00000000">
      <w:pPr>
        <w:spacing w:before="140" w:after="80"/>
      </w:pPr>
      <w:r>
        <w:rPr>
          <w:b/>
          <w:bCs/>
          <w:color w:val="000000"/>
        </w:rPr>
        <w:t>C. Probabilistic Forecasting</w:t>
      </w:r>
    </w:p>
    <w:p w14:paraId="11136C30" w14:textId="77777777" w:rsidR="00370BA6" w:rsidRDefault="00000000">
      <w:pPr>
        <w:spacing w:before="80" w:after="80" w:line="276" w:lineRule="auto"/>
        <w:ind w:firstLine="720"/>
        <w:jc w:val="both"/>
      </w:pPr>
      <w:r>
        <w:rPr>
          <w:color w:val="000000"/>
        </w:rPr>
        <w:t>Probabilistic methods for time-series forecasting have gained significant traction following the M4 Competition [6], in which prediction interval coverage was explicitly evaluated. Quantile regression neural networks extend standard networks to directly minimize Pinball (quantile) Loss, avoiding distributional assumptions and producing asymmetric intervals appropriate for right-skewed delay data [7]. Temperature scaling [8] provides a post-hoc recalibration mechanism when empirical coverage falls short of the nominal target.</w:t>
      </w:r>
    </w:p>
    <w:p w14:paraId="312A2FE6" w14:textId="77777777" w:rsidR="00370BA6" w:rsidRDefault="00000000">
      <w:pPr>
        <w:spacing w:before="140" w:after="80"/>
      </w:pPr>
      <w:r>
        <w:rPr>
          <w:b/>
          <w:bCs/>
          <w:color w:val="000000"/>
        </w:rPr>
        <w:t xml:space="preserve">D. Delay Propagation </w:t>
      </w:r>
      <w:proofErr w:type="spellStart"/>
      <w:r>
        <w:rPr>
          <w:b/>
          <w:bCs/>
          <w:color w:val="000000"/>
        </w:rPr>
        <w:t>Modeling</w:t>
      </w:r>
      <w:proofErr w:type="spellEnd"/>
    </w:p>
    <w:p w14:paraId="3A7C68D1" w14:textId="77777777" w:rsidR="00370BA6" w:rsidRDefault="00000000">
      <w:pPr>
        <w:spacing w:before="80" w:after="80" w:line="276" w:lineRule="auto"/>
        <w:ind w:firstLine="720"/>
        <w:jc w:val="both"/>
      </w:pPr>
      <w:r>
        <w:rPr>
          <w:color w:val="000000"/>
        </w:rPr>
        <w:t>Delay propagation in air traffic networks has been studied through stochastic queuing models [9], agent-based simulation [10], and data-driven approaches. Granger causality testing—originally developed for macroeconomic time series [11]—has been adapted to airport delay networks to identify directed predictive relationships [12]. Tail-number tracking provides a complementary, physically interpretable mechanism: delays carried by specific aircraft from one station to the next can be directly observed in BTS records [1].</w:t>
      </w:r>
    </w:p>
    <w:p w14:paraId="51CDE0BB" w14:textId="77777777" w:rsidR="00370BA6" w:rsidRDefault="00000000">
      <w:pPr>
        <w:spacing w:before="200" w:after="120"/>
        <w:jc w:val="center"/>
      </w:pPr>
      <w:r>
        <w:rPr>
          <w:b/>
          <w:bCs/>
          <w:color w:val="000000"/>
        </w:rPr>
        <w:t>III. DATA AND PREPROCESSING</w:t>
      </w:r>
    </w:p>
    <w:p w14:paraId="623358B9" w14:textId="77777777" w:rsidR="00370BA6" w:rsidRDefault="00000000">
      <w:pPr>
        <w:spacing w:before="140" w:after="80"/>
      </w:pPr>
      <w:r>
        <w:rPr>
          <w:b/>
          <w:bCs/>
          <w:color w:val="000000"/>
        </w:rPr>
        <w:t>A. Data Source and Scope</w:t>
      </w:r>
    </w:p>
    <w:p w14:paraId="66DF9589" w14:textId="77777777" w:rsidR="00370BA6" w:rsidRDefault="00000000">
      <w:pPr>
        <w:spacing w:before="80" w:after="80" w:line="276" w:lineRule="auto"/>
        <w:ind w:firstLine="720"/>
        <w:jc w:val="both"/>
      </w:pPr>
      <w:r>
        <w:rPr>
          <w:color w:val="000000"/>
        </w:rPr>
        <w:t>All data is drawn from the US Bureau of Transportation Statistics (BTS) On-Time Performance database, accessed in Parquet format for computational efficiency. The study covers January 2023 through December 2025, yielding 22,085,189 raw flight records at minute-level granularity across all domestic US carriers. The scope is restricted to the ten busiest domestic hub airports by total departure volume: ATL (Atlanta), DEN (Denver), DFW (Dallas–Fort Worth), ORD (Chicago O'Hare), CLT (Charlotte), LAX (Los Angeles), PHX (Phoenix), LAS (Las Vegas), SEA (Seattle), and MCO (Orlando).</w:t>
      </w:r>
    </w:p>
    <w:p w14:paraId="2A788AED" w14:textId="77777777" w:rsidR="00370BA6" w:rsidRDefault="00000000">
      <w:pPr>
        <w:spacing w:before="140" w:after="80"/>
      </w:pPr>
      <w:r>
        <w:rPr>
          <w:b/>
          <w:bCs/>
          <w:color w:val="000000"/>
        </w:rPr>
        <w:t>B. Cleaning Pipeline</w:t>
      </w:r>
    </w:p>
    <w:p w14:paraId="6D767DFC" w14:textId="77777777" w:rsidR="00370BA6" w:rsidRDefault="00000000">
      <w:pPr>
        <w:spacing w:before="80" w:after="80" w:line="276" w:lineRule="auto"/>
        <w:ind w:firstLine="720"/>
        <w:jc w:val="both"/>
      </w:pPr>
      <w:r>
        <w:rPr>
          <w:color w:val="000000"/>
        </w:rPr>
        <w:t xml:space="preserve">The raw data undergoes a multi-stage cleaning pipeline. Cancelled and diverted flights are removed, as their departure delays are structurally different from operational delays. Records with null DEP_DELAY values are dropped. Departure delays are clipped to the interval [−60, 600] minutes to suppress extreme data-entry errors while preserving genuine severe delay events. Delay-cause columns (carrier, weather, NAS, security, late aircraft) have </w:t>
      </w:r>
      <w:proofErr w:type="spellStart"/>
      <w:r>
        <w:rPr>
          <w:color w:val="000000"/>
        </w:rPr>
        <w:t>NaN</w:t>
      </w:r>
      <w:proofErr w:type="spellEnd"/>
      <w:r>
        <w:rPr>
          <w:color w:val="000000"/>
        </w:rPr>
        <w:t xml:space="preserve"> values filled with zero, reflecting absence of contribution. DAY_OF_WEEK is derived from FL_DATE. After filtering to the ten target hub airports, 7,255,696 hub-filtered records remain, representing a loss of approximately 1.54% due to cancellations and missing values.</w:t>
      </w:r>
    </w:p>
    <w:p w14:paraId="75CC2F38" w14:textId="77777777" w:rsidR="00370BA6" w:rsidRDefault="00000000">
      <w:pPr>
        <w:spacing w:before="140" w:after="80"/>
      </w:pPr>
      <w:r>
        <w:rPr>
          <w:b/>
          <w:bCs/>
          <w:color w:val="000000"/>
        </w:rPr>
        <w:t>C. Aggregation</w:t>
      </w:r>
    </w:p>
    <w:p w14:paraId="353C6F28" w14:textId="77777777" w:rsidR="00370BA6" w:rsidRDefault="00000000">
      <w:pPr>
        <w:spacing w:before="80" w:after="80" w:line="276" w:lineRule="auto"/>
        <w:ind w:firstLine="720"/>
        <w:jc w:val="both"/>
      </w:pPr>
      <w:r>
        <w:rPr>
          <w:color w:val="000000"/>
        </w:rPr>
        <w:t>Flight-level records are aggregated to daily mean departure delay per airport, producing a panel of 8,819 rows × 10 columns. The target variable is thus daily mean DEP_DELAY (minutes) per hub. An assertion guard confirms that the last date of the aggregated panel matches the known data endpoint, preventing silent data leakage from future rows.</w:t>
      </w:r>
    </w:p>
    <w:p w14:paraId="6A811617" w14:textId="77777777" w:rsidR="00370BA6" w:rsidRDefault="00000000">
      <w:pPr>
        <w:spacing w:before="140" w:after="80"/>
      </w:pPr>
      <w:r>
        <w:rPr>
          <w:b/>
          <w:bCs/>
          <w:color w:val="000000"/>
        </w:rPr>
        <w:t>D. Train/Test Split</w:t>
      </w:r>
    </w:p>
    <w:p w14:paraId="753951E9" w14:textId="77777777" w:rsidR="00370BA6" w:rsidRDefault="00000000">
      <w:pPr>
        <w:spacing w:before="80" w:after="80" w:line="276" w:lineRule="auto"/>
        <w:ind w:firstLine="720"/>
        <w:jc w:val="both"/>
      </w:pPr>
      <w:r>
        <w:rPr>
          <w:color w:val="000000"/>
        </w:rPr>
        <w:lastRenderedPageBreak/>
        <w:t xml:space="preserve">To avoid look-ahead bias, the dataset is split chronologically rather than randomly. The training set covers 2023-01-01 through 2024-05-31 (516 days) and the test set covers 2024-06-01 through 2025-05-31 (366 days), representing approximately one calendar year of out-of-sample evaluation. All lag and rolling features </w:t>
      </w:r>
      <w:proofErr w:type="gramStart"/>
      <w:r>
        <w:rPr>
          <w:color w:val="000000"/>
        </w:rPr>
        <w:t>use .shift</w:t>
      </w:r>
      <w:proofErr w:type="gramEnd"/>
      <w:r>
        <w:rPr>
          <w:color w:val="000000"/>
        </w:rPr>
        <w:t xml:space="preserve">(1) </w:t>
      </w:r>
      <w:proofErr w:type="gramStart"/>
      <w:r>
        <w:rPr>
          <w:color w:val="000000"/>
        </w:rPr>
        <w:t>before .rolling</w:t>
      </w:r>
      <w:proofErr w:type="gramEnd"/>
      <w:r>
        <w:rPr>
          <w:color w:val="000000"/>
        </w:rPr>
        <w:t xml:space="preserve">(window) to ensure strict causal ordering. A global random seed (SEED = 42) is fixed in NumPy, </w:t>
      </w:r>
      <w:proofErr w:type="spellStart"/>
      <w:r>
        <w:rPr>
          <w:color w:val="000000"/>
        </w:rPr>
        <w:t>PyTorch</w:t>
      </w:r>
      <w:proofErr w:type="spellEnd"/>
      <w:r>
        <w:rPr>
          <w:color w:val="000000"/>
        </w:rPr>
        <w:t>, Python's random module, and PYTHONHASHSEED for full reproducibility.</w:t>
      </w:r>
    </w:p>
    <w:p w14:paraId="33084484" w14:textId="77777777" w:rsidR="00370BA6" w:rsidRDefault="00000000">
      <w:pPr>
        <w:spacing w:before="200" w:after="120"/>
        <w:jc w:val="center"/>
      </w:pPr>
      <w:r>
        <w:rPr>
          <w:b/>
          <w:bCs/>
          <w:color w:val="000000"/>
        </w:rPr>
        <w:t>IV. EXPLORATORY DATA ANALYSIS</w:t>
      </w:r>
    </w:p>
    <w:p w14:paraId="5F3952F1" w14:textId="77777777" w:rsidR="00370BA6" w:rsidRDefault="00000000">
      <w:pPr>
        <w:spacing w:before="140" w:after="80"/>
      </w:pPr>
      <w:r>
        <w:rPr>
          <w:b/>
          <w:bCs/>
          <w:color w:val="000000"/>
        </w:rPr>
        <w:t>A. Delay Distribution by Airport and Season</w:t>
      </w:r>
    </w:p>
    <w:p w14:paraId="352FE355" w14:textId="77777777" w:rsidR="00370BA6" w:rsidRDefault="00000000">
      <w:pPr>
        <w:spacing w:before="80" w:after="80" w:line="276" w:lineRule="auto"/>
        <w:ind w:firstLine="720"/>
        <w:jc w:val="both"/>
      </w:pPr>
      <w:r>
        <w:rPr>
          <w:color w:val="000000"/>
        </w:rPr>
        <w:t>Mean daily departure delays range from approximately 7.8 minutes (SEA) to 16.1 minutes (DFW) across the study period. Seasonal heatmaps reveal three dominant patterns: (</w:t>
      </w:r>
      <w:proofErr w:type="spellStart"/>
      <w:r>
        <w:rPr>
          <w:color w:val="000000"/>
        </w:rPr>
        <w:t>i</w:t>
      </w:r>
      <w:proofErr w:type="spellEnd"/>
      <w:r>
        <w:rPr>
          <w:color w:val="000000"/>
        </w:rPr>
        <w:t>) a weekly cycle with elevated delays on Fridays, Sundays, and Mondays; (ii) a summer thunderstorm season (June–August) disproportionately affecting ATL, DFW, and ORD with mean delays exceeding 20–30 minutes in peak months; and (iii) a holiday season (November–December) spike driven by Thanksgiving and Christmas–New Year travel. Late aircraft delay is the dominant causal category at all hubs, confirming the physical propagation hypothesis.</w:t>
      </w:r>
    </w:p>
    <w:p w14:paraId="0931106B" w14:textId="77777777" w:rsidR="00370BA6" w:rsidRDefault="00000000">
      <w:pPr>
        <w:spacing w:before="140" w:after="80"/>
      </w:pPr>
      <w:r>
        <w:rPr>
          <w:b/>
          <w:bCs/>
          <w:color w:val="000000"/>
        </w:rPr>
        <w:t>B. STL Decomposition</w:t>
      </w:r>
    </w:p>
    <w:p w14:paraId="3A4F98DC" w14:textId="77777777" w:rsidR="00370BA6" w:rsidRDefault="00000000">
      <w:pPr>
        <w:spacing w:before="80" w:after="80" w:line="276" w:lineRule="auto"/>
        <w:ind w:firstLine="720"/>
        <w:jc w:val="both"/>
      </w:pPr>
      <w:r>
        <w:rPr>
          <w:color w:val="000000"/>
        </w:rPr>
        <w:t>Seasonal-Trend decomposition using Loess (STL) is applied to each airport's daily series. The seasonal strength metric Fs ranges from 0.015 (DFW) to 0.186 (LAX), all below the 0.64 threshold conventionally used to identify strong seasonality. Trend strength Ft ranges from 0.215 to 0.500. Residual standard deviation is high across all airports (4.0–14.7 minutes), confirming that irregular shocks—storms, incidents, and network disruptions—dominate variance. This finding motivates probabilistic rather than deterministic forecasting: the noise floor is too high for ARIMA or SARIMA to reduce to near-zero residuals regardless of model specification.</w:t>
      </w:r>
    </w:p>
    <w:p w14:paraId="1AA80E69" w14:textId="77777777" w:rsidR="00370BA6" w:rsidRDefault="00000000">
      <w:pPr>
        <w:spacing w:before="100" w:after="60"/>
      </w:pPr>
      <w:r>
        <w:rPr>
          <w:b/>
          <w:bCs/>
          <w:sz w:val="18"/>
          <w:szCs w:val="18"/>
        </w:rPr>
        <w:t>TABLE 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370BA6" w14:paraId="2F0808A3" w14:textId="77777777">
        <w:tblPrEx>
          <w:tblCellMar>
            <w:top w:w="0" w:type="dxa"/>
            <w:bottom w:w="0" w:type="dxa"/>
          </w:tblCellMar>
        </w:tblPrEx>
        <w:tc>
          <w:tcPr>
            <w:tcW w:w="156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14:paraId="3C3D877E" w14:textId="77777777" w:rsidR="00370BA6" w:rsidRDefault="00000000">
            <w:pPr>
              <w:jc w:val="center"/>
            </w:pPr>
            <w:r>
              <w:rPr>
                <w:b/>
                <w:bCs/>
                <w:color w:val="FFFFFF"/>
                <w:sz w:val="18"/>
                <w:szCs w:val="18"/>
              </w:rPr>
              <w:t>Airport</w:t>
            </w:r>
          </w:p>
        </w:tc>
        <w:tc>
          <w:tcPr>
            <w:tcW w:w="156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14:paraId="1F83D334" w14:textId="77777777" w:rsidR="00370BA6" w:rsidRDefault="00000000">
            <w:pPr>
              <w:jc w:val="center"/>
            </w:pPr>
            <w:r>
              <w:rPr>
                <w:b/>
                <w:bCs/>
                <w:color w:val="FFFFFF"/>
                <w:sz w:val="18"/>
                <w:szCs w:val="18"/>
              </w:rPr>
              <w:t>Trend Ft</w:t>
            </w:r>
          </w:p>
        </w:tc>
        <w:tc>
          <w:tcPr>
            <w:tcW w:w="156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14:paraId="1F4A30FC" w14:textId="77777777" w:rsidR="00370BA6" w:rsidRDefault="00000000">
            <w:pPr>
              <w:jc w:val="center"/>
            </w:pPr>
            <w:r>
              <w:rPr>
                <w:b/>
                <w:bCs/>
                <w:color w:val="FFFFFF"/>
                <w:sz w:val="18"/>
                <w:szCs w:val="18"/>
              </w:rPr>
              <w:t>Seasonal Fs</w:t>
            </w:r>
          </w:p>
        </w:tc>
        <w:tc>
          <w:tcPr>
            <w:tcW w:w="156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14:paraId="7C45E4C5" w14:textId="77777777" w:rsidR="00370BA6" w:rsidRDefault="00000000">
            <w:pPr>
              <w:jc w:val="center"/>
            </w:pPr>
            <w:r>
              <w:rPr>
                <w:b/>
                <w:bCs/>
                <w:color w:val="FFFFFF"/>
                <w:sz w:val="18"/>
                <w:szCs w:val="18"/>
              </w:rPr>
              <w:t>Residual Std</w:t>
            </w:r>
          </w:p>
        </w:tc>
        <w:tc>
          <w:tcPr>
            <w:tcW w:w="156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14:paraId="206666BC" w14:textId="77777777" w:rsidR="00370BA6" w:rsidRDefault="00000000">
            <w:pPr>
              <w:jc w:val="center"/>
            </w:pPr>
            <w:r>
              <w:rPr>
                <w:b/>
                <w:bCs/>
                <w:color w:val="FFFFFF"/>
                <w:sz w:val="18"/>
                <w:szCs w:val="18"/>
              </w:rPr>
              <w:t>Dominant Comp.</w:t>
            </w:r>
          </w:p>
        </w:tc>
        <w:tc>
          <w:tcPr>
            <w:tcW w:w="156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14:paraId="137FF5DE" w14:textId="77777777" w:rsidR="00370BA6" w:rsidRDefault="00000000">
            <w:pPr>
              <w:jc w:val="center"/>
            </w:pPr>
            <w:r>
              <w:rPr>
                <w:b/>
                <w:bCs/>
                <w:color w:val="FFFFFF"/>
                <w:sz w:val="18"/>
                <w:szCs w:val="18"/>
              </w:rPr>
              <w:t>ADF p-value</w:t>
            </w:r>
          </w:p>
        </w:tc>
      </w:tr>
      <w:tr w:rsidR="00370BA6" w14:paraId="69B223E4" w14:textId="77777777">
        <w:tblPrEx>
          <w:tblCellMar>
            <w:top w:w="0" w:type="dxa"/>
            <w:bottom w:w="0" w:type="dxa"/>
          </w:tblCellMar>
        </w:tblPrEx>
        <w:tc>
          <w:tcPr>
            <w:tcW w:w="15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62401786" w14:textId="77777777" w:rsidR="00370BA6" w:rsidRDefault="00000000">
            <w:pPr>
              <w:jc w:val="center"/>
            </w:pPr>
            <w:r>
              <w:rPr>
                <w:color w:val="000000"/>
                <w:sz w:val="18"/>
                <w:szCs w:val="18"/>
              </w:rPr>
              <w:t>ATL</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FD3665E" w14:textId="77777777" w:rsidR="00370BA6" w:rsidRDefault="00000000">
            <w:pPr>
              <w:jc w:val="center"/>
            </w:pPr>
            <w:r>
              <w:rPr>
                <w:color w:val="000000"/>
                <w:sz w:val="18"/>
                <w:szCs w:val="18"/>
              </w:rPr>
              <w:t>0.274</w:t>
            </w:r>
          </w:p>
        </w:tc>
        <w:tc>
          <w:tcPr>
            <w:tcW w:w="15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7C0AF332" w14:textId="77777777" w:rsidR="00370BA6" w:rsidRDefault="00000000">
            <w:pPr>
              <w:jc w:val="center"/>
            </w:pPr>
            <w:r>
              <w:rPr>
                <w:color w:val="000000"/>
                <w:sz w:val="18"/>
                <w:szCs w:val="18"/>
              </w:rPr>
              <w:t>0.045</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B20B734" w14:textId="77777777" w:rsidR="00370BA6" w:rsidRDefault="00000000">
            <w:pPr>
              <w:jc w:val="center"/>
            </w:pPr>
            <w:r>
              <w:rPr>
                <w:color w:val="000000"/>
                <w:sz w:val="18"/>
                <w:szCs w:val="18"/>
              </w:rPr>
              <w:t>12.873</w:t>
            </w:r>
          </w:p>
        </w:tc>
        <w:tc>
          <w:tcPr>
            <w:tcW w:w="15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4121316A" w14:textId="77777777" w:rsidR="00370BA6" w:rsidRDefault="00000000">
            <w:pPr>
              <w:jc w:val="center"/>
            </w:pPr>
            <w:r>
              <w:rPr>
                <w:color w:val="000000"/>
                <w:sz w:val="18"/>
                <w:szCs w:val="18"/>
              </w:rPr>
              <w:t>Trend</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1717C16" w14:textId="77777777" w:rsidR="00370BA6" w:rsidRDefault="00000000">
            <w:pPr>
              <w:jc w:val="center"/>
            </w:pPr>
            <w:r>
              <w:rPr>
                <w:color w:val="000000"/>
                <w:sz w:val="18"/>
                <w:szCs w:val="18"/>
              </w:rPr>
              <w:t>0.000</w:t>
            </w:r>
          </w:p>
        </w:tc>
      </w:tr>
      <w:tr w:rsidR="00370BA6" w14:paraId="07AC328E" w14:textId="77777777">
        <w:tblPrEx>
          <w:tblCellMar>
            <w:top w:w="0" w:type="dxa"/>
            <w:bottom w:w="0" w:type="dxa"/>
          </w:tblCellMar>
        </w:tblPrEx>
        <w:tc>
          <w:tcPr>
            <w:tcW w:w="15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7217E21A" w14:textId="77777777" w:rsidR="00370BA6" w:rsidRDefault="00000000">
            <w:pPr>
              <w:jc w:val="center"/>
            </w:pPr>
            <w:r>
              <w:rPr>
                <w:color w:val="000000"/>
                <w:sz w:val="18"/>
                <w:szCs w:val="18"/>
              </w:rPr>
              <w:t>DEN</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949FE74" w14:textId="77777777" w:rsidR="00370BA6" w:rsidRDefault="00000000">
            <w:pPr>
              <w:jc w:val="center"/>
            </w:pPr>
            <w:r>
              <w:rPr>
                <w:color w:val="000000"/>
                <w:sz w:val="18"/>
                <w:szCs w:val="18"/>
              </w:rPr>
              <w:t>0.310</w:t>
            </w:r>
          </w:p>
        </w:tc>
        <w:tc>
          <w:tcPr>
            <w:tcW w:w="15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46B3571F" w14:textId="77777777" w:rsidR="00370BA6" w:rsidRDefault="00000000">
            <w:pPr>
              <w:jc w:val="center"/>
            </w:pPr>
            <w:r>
              <w:rPr>
                <w:color w:val="000000"/>
                <w:sz w:val="18"/>
                <w:szCs w:val="18"/>
              </w:rPr>
              <w:t>0.072</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92215D4" w14:textId="77777777" w:rsidR="00370BA6" w:rsidRDefault="00000000">
            <w:pPr>
              <w:jc w:val="center"/>
            </w:pPr>
            <w:r>
              <w:rPr>
                <w:color w:val="000000"/>
                <w:sz w:val="18"/>
                <w:szCs w:val="18"/>
              </w:rPr>
              <w:t>9.622</w:t>
            </w:r>
          </w:p>
        </w:tc>
        <w:tc>
          <w:tcPr>
            <w:tcW w:w="15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5BAC507D" w14:textId="77777777" w:rsidR="00370BA6" w:rsidRDefault="00000000">
            <w:pPr>
              <w:jc w:val="center"/>
            </w:pPr>
            <w:r>
              <w:rPr>
                <w:color w:val="000000"/>
                <w:sz w:val="18"/>
                <w:szCs w:val="18"/>
              </w:rPr>
              <w:t>Trend</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C98A984" w14:textId="77777777" w:rsidR="00370BA6" w:rsidRDefault="00000000">
            <w:pPr>
              <w:jc w:val="center"/>
            </w:pPr>
            <w:r>
              <w:rPr>
                <w:color w:val="000000"/>
                <w:sz w:val="18"/>
                <w:szCs w:val="18"/>
              </w:rPr>
              <w:t>0.000</w:t>
            </w:r>
          </w:p>
        </w:tc>
      </w:tr>
      <w:tr w:rsidR="00370BA6" w14:paraId="2F510524" w14:textId="77777777">
        <w:tblPrEx>
          <w:tblCellMar>
            <w:top w:w="0" w:type="dxa"/>
            <w:bottom w:w="0" w:type="dxa"/>
          </w:tblCellMar>
        </w:tblPrEx>
        <w:tc>
          <w:tcPr>
            <w:tcW w:w="15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741C1FF7" w14:textId="77777777" w:rsidR="00370BA6" w:rsidRDefault="00000000">
            <w:pPr>
              <w:jc w:val="center"/>
            </w:pPr>
            <w:r>
              <w:rPr>
                <w:color w:val="000000"/>
                <w:sz w:val="18"/>
                <w:szCs w:val="18"/>
              </w:rPr>
              <w:t>DFW</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6033147" w14:textId="77777777" w:rsidR="00370BA6" w:rsidRDefault="00000000">
            <w:pPr>
              <w:jc w:val="center"/>
            </w:pPr>
            <w:r>
              <w:rPr>
                <w:color w:val="000000"/>
                <w:sz w:val="18"/>
                <w:szCs w:val="18"/>
              </w:rPr>
              <w:t>0.215</w:t>
            </w:r>
          </w:p>
        </w:tc>
        <w:tc>
          <w:tcPr>
            <w:tcW w:w="15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73865605" w14:textId="77777777" w:rsidR="00370BA6" w:rsidRDefault="00000000">
            <w:pPr>
              <w:jc w:val="center"/>
            </w:pPr>
            <w:r>
              <w:rPr>
                <w:color w:val="000000"/>
                <w:sz w:val="18"/>
                <w:szCs w:val="18"/>
              </w:rPr>
              <w:t>0.015</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39EE6F2" w14:textId="77777777" w:rsidR="00370BA6" w:rsidRDefault="00000000">
            <w:pPr>
              <w:jc w:val="center"/>
            </w:pPr>
            <w:r>
              <w:rPr>
                <w:color w:val="000000"/>
                <w:sz w:val="18"/>
                <w:szCs w:val="18"/>
              </w:rPr>
              <w:t>14.672</w:t>
            </w:r>
          </w:p>
        </w:tc>
        <w:tc>
          <w:tcPr>
            <w:tcW w:w="15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020E7F66" w14:textId="77777777" w:rsidR="00370BA6" w:rsidRDefault="00000000">
            <w:pPr>
              <w:jc w:val="center"/>
            </w:pPr>
            <w:r>
              <w:rPr>
                <w:color w:val="000000"/>
                <w:sz w:val="18"/>
                <w:szCs w:val="18"/>
              </w:rPr>
              <w:t>Trend</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13A295A" w14:textId="77777777" w:rsidR="00370BA6" w:rsidRDefault="00000000">
            <w:pPr>
              <w:jc w:val="center"/>
            </w:pPr>
            <w:r>
              <w:rPr>
                <w:color w:val="000000"/>
                <w:sz w:val="18"/>
                <w:szCs w:val="18"/>
              </w:rPr>
              <w:t>0.000</w:t>
            </w:r>
          </w:p>
        </w:tc>
      </w:tr>
      <w:tr w:rsidR="00370BA6" w14:paraId="32A234E2" w14:textId="77777777">
        <w:tblPrEx>
          <w:tblCellMar>
            <w:top w:w="0" w:type="dxa"/>
            <w:bottom w:w="0" w:type="dxa"/>
          </w:tblCellMar>
        </w:tblPrEx>
        <w:tc>
          <w:tcPr>
            <w:tcW w:w="15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523EFD54" w14:textId="77777777" w:rsidR="00370BA6" w:rsidRDefault="00000000">
            <w:pPr>
              <w:jc w:val="center"/>
            </w:pPr>
            <w:r>
              <w:rPr>
                <w:color w:val="000000"/>
                <w:sz w:val="18"/>
                <w:szCs w:val="18"/>
              </w:rPr>
              <w:t>ORD</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589629B" w14:textId="77777777" w:rsidR="00370BA6" w:rsidRDefault="00000000">
            <w:pPr>
              <w:jc w:val="center"/>
            </w:pPr>
            <w:r>
              <w:rPr>
                <w:color w:val="000000"/>
                <w:sz w:val="18"/>
                <w:szCs w:val="18"/>
              </w:rPr>
              <w:t>0.332</w:t>
            </w:r>
          </w:p>
        </w:tc>
        <w:tc>
          <w:tcPr>
            <w:tcW w:w="15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1298C9CD" w14:textId="77777777" w:rsidR="00370BA6" w:rsidRDefault="00000000">
            <w:pPr>
              <w:jc w:val="center"/>
            </w:pPr>
            <w:r>
              <w:rPr>
                <w:color w:val="000000"/>
                <w:sz w:val="18"/>
                <w:szCs w:val="18"/>
              </w:rPr>
              <w:t>0.016</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A8269C2" w14:textId="77777777" w:rsidR="00370BA6" w:rsidRDefault="00000000">
            <w:pPr>
              <w:jc w:val="center"/>
            </w:pPr>
            <w:r>
              <w:rPr>
                <w:color w:val="000000"/>
                <w:sz w:val="18"/>
                <w:szCs w:val="18"/>
              </w:rPr>
              <w:t>10.708</w:t>
            </w:r>
          </w:p>
        </w:tc>
        <w:tc>
          <w:tcPr>
            <w:tcW w:w="15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481FF85D" w14:textId="77777777" w:rsidR="00370BA6" w:rsidRDefault="00000000">
            <w:pPr>
              <w:jc w:val="center"/>
            </w:pPr>
            <w:r>
              <w:rPr>
                <w:color w:val="000000"/>
                <w:sz w:val="18"/>
                <w:szCs w:val="18"/>
              </w:rPr>
              <w:t>Trend</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D87ED2B" w14:textId="77777777" w:rsidR="00370BA6" w:rsidRDefault="00000000">
            <w:pPr>
              <w:jc w:val="center"/>
            </w:pPr>
            <w:r>
              <w:rPr>
                <w:color w:val="000000"/>
                <w:sz w:val="18"/>
                <w:szCs w:val="18"/>
              </w:rPr>
              <w:t>0.000</w:t>
            </w:r>
          </w:p>
        </w:tc>
      </w:tr>
      <w:tr w:rsidR="00370BA6" w14:paraId="0F60E6EB" w14:textId="77777777">
        <w:tblPrEx>
          <w:tblCellMar>
            <w:top w:w="0" w:type="dxa"/>
            <w:bottom w:w="0" w:type="dxa"/>
          </w:tblCellMar>
        </w:tblPrEx>
        <w:tc>
          <w:tcPr>
            <w:tcW w:w="15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13D386AA" w14:textId="77777777" w:rsidR="00370BA6" w:rsidRDefault="00000000">
            <w:pPr>
              <w:jc w:val="center"/>
            </w:pPr>
            <w:r>
              <w:rPr>
                <w:color w:val="000000"/>
                <w:sz w:val="18"/>
                <w:szCs w:val="18"/>
              </w:rPr>
              <w:t>CLT</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4E1E2F4" w14:textId="77777777" w:rsidR="00370BA6" w:rsidRDefault="00000000">
            <w:pPr>
              <w:jc w:val="center"/>
            </w:pPr>
            <w:r>
              <w:rPr>
                <w:color w:val="000000"/>
                <w:sz w:val="18"/>
                <w:szCs w:val="18"/>
              </w:rPr>
              <w:t>0.500</w:t>
            </w:r>
          </w:p>
        </w:tc>
        <w:tc>
          <w:tcPr>
            <w:tcW w:w="15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58CC7126" w14:textId="77777777" w:rsidR="00370BA6" w:rsidRDefault="00000000">
            <w:pPr>
              <w:jc w:val="center"/>
            </w:pPr>
            <w:r>
              <w:rPr>
                <w:color w:val="000000"/>
                <w:sz w:val="18"/>
                <w:szCs w:val="18"/>
              </w:rPr>
              <w:t>0.127</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61D95B9" w14:textId="77777777" w:rsidR="00370BA6" w:rsidRDefault="00000000">
            <w:pPr>
              <w:jc w:val="center"/>
            </w:pPr>
            <w:r>
              <w:rPr>
                <w:color w:val="000000"/>
                <w:sz w:val="18"/>
                <w:szCs w:val="18"/>
              </w:rPr>
              <w:t>8.639</w:t>
            </w:r>
          </w:p>
        </w:tc>
        <w:tc>
          <w:tcPr>
            <w:tcW w:w="15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2805A8A9" w14:textId="77777777" w:rsidR="00370BA6" w:rsidRDefault="00000000">
            <w:pPr>
              <w:jc w:val="center"/>
            </w:pPr>
            <w:r>
              <w:rPr>
                <w:color w:val="000000"/>
                <w:sz w:val="18"/>
                <w:szCs w:val="18"/>
              </w:rPr>
              <w:t>Trend</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C2415AF" w14:textId="77777777" w:rsidR="00370BA6" w:rsidRDefault="00000000">
            <w:pPr>
              <w:jc w:val="center"/>
            </w:pPr>
            <w:r>
              <w:rPr>
                <w:color w:val="000000"/>
                <w:sz w:val="18"/>
                <w:szCs w:val="18"/>
              </w:rPr>
              <w:t>0.000</w:t>
            </w:r>
          </w:p>
        </w:tc>
      </w:tr>
      <w:tr w:rsidR="00370BA6" w14:paraId="1A728A36" w14:textId="77777777">
        <w:tblPrEx>
          <w:tblCellMar>
            <w:top w:w="0" w:type="dxa"/>
            <w:bottom w:w="0" w:type="dxa"/>
          </w:tblCellMar>
        </w:tblPrEx>
        <w:tc>
          <w:tcPr>
            <w:tcW w:w="15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13878118" w14:textId="77777777" w:rsidR="00370BA6" w:rsidRDefault="00000000">
            <w:pPr>
              <w:jc w:val="center"/>
            </w:pPr>
            <w:r>
              <w:rPr>
                <w:color w:val="000000"/>
                <w:sz w:val="18"/>
                <w:szCs w:val="18"/>
              </w:rPr>
              <w:t>LAX</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0702047" w14:textId="77777777" w:rsidR="00370BA6" w:rsidRDefault="00000000">
            <w:pPr>
              <w:jc w:val="center"/>
            </w:pPr>
            <w:r>
              <w:rPr>
                <w:color w:val="000000"/>
                <w:sz w:val="18"/>
                <w:szCs w:val="18"/>
              </w:rPr>
              <w:t>0.472</w:t>
            </w:r>
          </w:p>
        </w:tc>
        <w:tc>
          <w:tcPr>
            <w:tcW w:w="15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78932439" w14:textId="77777777" w:rsidR="00370BA6" w:rsidRDefault="00000000">
            <w:pPr>
              <w:jc w:val="center"/>
            </w:pPr>
            <w:r>
              <w:rPr>
                <w:color w:val="000000"/>
                <w:sz w:val="18"/>
                <w:szCs w:val="18"/>
              </w:rPr>
              <w:t>0.186</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FE19625" w14:textId="77777777" w:rsidR="00370BA6" w:rsidRDefault="00000000">
            <w:pPr>
              <w:jc w:val="center"/>
            </w:pPr>
            <w:r>
              <w:rPr>
                <w:color w:val="000000"/>
                <w:sz w:val="18"/>
                <w:szCs w:val="18"/>
              </w:rPr>
              <w:t>4.375</w:t>
            </w:r>
          </w:p>
        </w:tc>
        <w:tc>
          <w:tcPr>
            <w:tcW w:w="15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4C49D199" w14:textId="77777777" w:rsidR="00370BA6" w:rsidRDefault="00000000">
            <w:pPr>
              <w:jc w:val="center"/>
            </w:pPr>
            <w:r>
              <w:rPr>
                <w:color w:val="000000"/>
                <w:sz w:val="18"/>
                <w:szCs w:val="18"/>
              </w:rPr>
              <w:t>Trend</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6FAB159" w14:textId="77777777" w:rsidR="00370BA6" w:rsidRDefault="00000000">
            <w:pPr>
              <w:jc w:val="center"/>
            </w:pPr>
            <w:r>
              <w:rPr>
                <w:color w:val="000000"/>
                <w:sz w:val="18"/>
                <w:szCs w:val="18"/>
              </w:rPr>
              <w:t>0.001</w:t>
            </w:r>
          </w:p>
        </w:tc>
      </w:tr>
      <w:tr w:rsidR="00370BA6" w14:paraId="009C8EA4" w14:textId="77777777">
        <w:tblPrEx>
          <w:tblCellMar>
            <w:top w:w="0" w:type="dxa"/>
            <w:bottom w:w="0" w:type="dxa"/>
          </w:tblCellMar>
        </w:tblPrEx>
        <w:tc>
          <w:tcPr>
            <w:tcW w:w="15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372CFC28" w14:textId="77777777" w:rsidR="00370BA6" w:rsidRDefault="00000000">
            <w:pPr>
              <w:jc w:val="center"/>
            </w:pPr>
            <w:r>
              <w:rPr>
                <w:color w:val="000000"/>
                <w:sz w:val="18"/>
                <w:szCs w:val="18"/>
              </w:rPr>
              <w:t>PHX</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3D24965" w14:textId="77777777" w:rsidR="00370BA6" w:rsidRDefault="00000000">
            <w:pPr>
              <w:jc w:val="center"/>
            </w:pPr>
            <w:r>
              <w:rPr>
                <w:color w:val="000000"/>
                <w:sz w:val="18"/>
                <w:szCs w:val="18"/>
              </w:rPr>
              <w:t>0.474</w:t>
            </w:r>
          </w:p>
        </w:tc>
        <w:tc>
          <w:tcPr>
            <w:tcW w:w="15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455690BE" w14:textId="77777777" w:rsidR="00370BA6" w:rsidRDefault="00000000">
            <w:pPr>
              <w:jc w:val="center"/>
            </w:pPr>
            <w:r>
              <w:rPr>
                <w:color w:val="000000"/>
                <w:sz w:val="18"/>
                <w:szCs w:val="18"/>
              </w:rPr>
              <w:t>0.168</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4FB95D4" w14:textId="77777777" w:rsidR="00370BA6" w:rsidRDefault="00000000">
            <w:pPr>
              <w:jc w:val="center"/>
            </w:pPr>
            <w:r>
              <w:rPr>
                <w:color w:val="000000"/>
                <w:sz w:val="18"/>
                <w:szCs w:val="18"/>
              </w:rPr>
              <w:t>4.250</w:t>
            </w:r>
          </w:p>
        </w:tc>
        <w:tc>
          <w:tcPr>
            <w:tcW w:w="15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62AFA075" w14:textId="77777777" w:rsidR="00370BA6" w:rsidRDefault="00000000">
            <w:pPr>
              <w:jc w:val="center"/>
            </w:pPr>
            <w:r>
              <w:rPr>
                <w:color w:val="000000"/>
                <w:sz w:val="18"/>
                <w:szCs w:val="18"/>
              </w:rPr>
              <w:t>Trend</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6AB9C6C" w14:textId="77777777" w:rsidR="00370BA6" w:rsidRDefault="00000000">
            <w:pPr>
              <w:jc w:val="center"/>
            </w:pPr>
            <w:r>
              <w:rPr>
                <w:color w:val="000000"/>
                <w:sz w:val="18"/>
                <w:szCs w:val="18"/>
              </w:rPr>
              <w:t>0.001</w:t>
            </w:r>
          </w:p>
        </w:tc>
      </w:tr>
      <w:tr w:rsidR="00370BA6" w14:paraId="2B25FAEF" w14:textId="77777777">
        <w:tblPrEx>
          <w:tblCellMar>
            <w:top w:w="0" w:type="dxa"/>
            <w:bottom w:w="0" w:type="dxa"/>
          </w:tblCellMar>
        </w:tblPrEx>
        <w:tc>
          <w:tcPr>
            <w:tcW w:w="15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1118CDEC" w14:textId="77777777" w:rsidR="00370BA6" w:rsidRDefault="00000000">
            <w:pPr>
              <w:jc w:val="center"/>
            </w:pPr>
            <w:r>
              <w:rPr>
                <w:color w:val="000000"/>
                <w:sz w:val="18"/>
                <w:szCs w:val="18"/>
              </w:rPr>
              <w:t>LAS</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FA08DE1" w14:textId="77777777" w:rsidR="00370BA6" w:rsidRDefault="00000000">
            <w:pPr>
              <w:jc w:val="center"/>
            </w:pPr>
            <w:r>
              <w:rPr>
                <w:color w:val="000000"/>
                <w:sz w:val="18"/>
                <w:szCs w:val="18"/>
              </w:rPr>
              <w:t>0.298</w:t>
            </w:r>
          </w:p>
        </w:tc>
        <w:tc>
          <w:tcPr>
            <w:tcW w:w="15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4D6FF074" w14:textId="77777777" w:rsidR="00370BA6" w:rsidRDefault="00000000">
            <w:pPr>
              <w:jc w:val="center"/>
            </w:pPr>
            <w:r>
              <w:rPr>
                <w:color w:val="000000"/>
                <w:sz w:val="18"/>
                <w:szCs w:val="18"/>
              </w:rPr>
              <w:t>0.086</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A68702D" w14:textId="77777777" w:rsidR="00370BA6" w:rsidRDefault="00000000">
            <w:pPr>
              <w:jc w:val="center"/>
            </w:pPr>
            <w:r>
              <w:rPr>
                <w:color w:val="000000"/>
                <w:sz w:val="18"/>
                <w:szCs w:val="18"/>
              </w:rPr>
              <w:t>8.079</w:t>
            </w:r>
          </w:p>
        </w:tc>
        <w:tc>
          <w:tcPr>
            <w:tcW w:w="15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73A4469C" w14:textId="77777777" w:rsidR="00370BA6" w:rsidRDefault="00000000">
            <w:pPr>
              <w:jc w:val="center"/>
            </w:pPr>
            <w:r>
              <w:rPr>
                <w:color w:val="000000"/>
                <w:sz w:val="18"/>
                <w:szCs w:val="18"/>
              </w:rPr>
              <w:t>Trend</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035CDD4" w14:textId="77777777" w:rsidR="00370BA6" w:rsidRDefault="00000000">
            <w:pPr>
              <w:jc w:val="center"/>
            </w:pPr>
            <w:r>
              <w:rPr>
                <w:color w:val="000000"/>
                <w:sz w:val="18"/>
                <w:szCs w:val="18"/>
              </w:rPr>
              <w:t>0.000</w:t>
            </w:r>
          </w:p>
        </w:tc>
      </w:tr>
      <w:tr w:rsidR="00370BA6" w14:paraId="4B9D0075" w14:textId="77777777">
        <w:tblPrEx>
          <w:tblCellMar>
            <w:top w:w="0" w:type="dxa"/>
            <w:bottom w:w="0" w:type="dxa"/>
          </w:tblCellMar>
        </w:tblPrEx>
        <w:tc>
          <w:tcPr>
            <w:tcW w:w="15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6B187026" w14:textId="77777777" w:rsidR="00370BA6" w:rsidRDefault="00000000">
            <w:pPr>
              <w:jc w:val="center"/>
            </w:pPr>
            <w:r>
              <w:rPr>
                <w:color w:val="000000"/>
                <w:sz w:val="18"/>
                <w:szCs w:val="18"/>
              </w:rPr>
              <w:t>SEA</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3935B6A" w14:textId="77777777" w:rsidR="00370BA6" w:rsidRDefault="00000000">
            <w:pPr>
              <w:jc w:val="center"/>
            </w:pPr>
            <w:r>
              <w:rPr>
                <w:color w:val="000000"/>
                <w:sz w:val="18"/>
                <w:szCs w:val="18"/>
              </w:rPr>
              <w:t>0.461</w:t>
            </w:r>
          </w:p>
        </w:tc>
        <w:tc>
          <w:tcPr>
            <w:tcW w:w="15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6726C3DA" w14:textId="77777777" w:rsidR="00370BA6" w:rsidRDefault="00000000">
            <w:pPr>
              <w:jc w:val="center"/>
            </w:pPr>
            <w:r>
              <w:rPr>
                <w:color w:val="000000"/>
                <w:sz w:val="18"/>
                <w:szCs w:val="18"/>
              </w:rPr>
              <w:t>0.148</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53473EF" w14:textId="77777777" w:rsidR="00370BA6" w:rsidRDefault="00000000">
            <w:pPr>
              <w:jc w:val="center"/>
            </w:pPr>
            <w:r>
              <w:rPr>
                <w:color w:val="000000"/>
                <w:sz w:val="18"/>
                <w:szCs w:val="18"/>
              </w:rPr>
              <w:t>4.000</w:t>
            </w:r>
          </w:p>
        </w:tc>
        <w:tc>
          <w:tcPr>
            <w:tcW w:w="15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58508DAF" w14:textId="77777777" w:rsidR="00370BA6" w:rsidRDefault="00000000">
            <w:pPr>
              <w:jc w:val="center"/>
            </w:pPr>
            <w:r>
              <w:rPr>
                <w:color w:val="000000"/>
                <w:sz w:val="18"/>
                <w:szCs w:val="18"/>
              </w:rPr>
              <w:t>Trend</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5586810" w14:textId="77777777" w:rsidR="00370BA6" w:rsidRDefault="00000000">
            <w:pPr>
              <w:jc w:val="center"/>
            </w:pPr>
            <w:r>
              <w:rPr>
                <w:color w:val="000000"/>
                <w:sz w:val="18"/>
                <w:szCs w:val="18"/>
              </w:rPr>
              <w:t>0.000</w:t>
            </w:r>
          </w:p>
        </w:tc>
      </w:tr>
      <w:tr w:rsidR="00370BA6" w14:paraId="6FD33E3A" w14:textId="77777777">
        <w:tblPrEx>
          <w:tblCellMar>
            <w:top w:w="0" w:type="dxa"/>
            <w:bottom w:w="0" w:type="dxa"/>
          </w:tblCellMar>
        </w:tblPrEx>
        <w:tc>
          <w:tcPr>
            <w:tcW w:w="15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61276FC1" w14:textId="77777777" w:rsidR="00370BA6" w:rsidRDefault="00000000">
            <w:pPr>
              <w:jc w:val="center"/>
            </w:pPr>
            <w:r>
              <w:rPr>
                <w:color w:val="000000"/>
                <w:sz w:val="18"/>
                <w:szCs w:val="18"/>
              </w:rPr>
              <w:t>MCO</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0F7247E" w14:textId="77777777" w:rsidR="00370BA6" w:rsidRDefault="00000000">
            <w:pPr>
              <w:jc w:val="center"/>
            </w:pPr>
            <w:r>
              <w:rPr>
                <w:color w:val="000000"/>
                <w:sz w:val="18"/>
                <w:szCs w:val="18"/>
              </w:rPr>
              <w:t>0.382</w:t>
            </w:r>
          </w:p>
        </w:tc>
        <w:tc>
          <w:tcPr>
            <w:tcW w:w="15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643FC665" w14:textId="77777777" w:rsidR="00370BA6" w:rsidRDefault="00000000">
            <w:pPr>
              <w:jc w:val="center"/>
            </w:pPr>
            <w:r>
              <w:rPr>
                <w:color w:val="000000"/>
                <w:sz w:val="18"/>
                <w:szCs w:val="18"/>
              </w:rPr>
              <w:t>0.071</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DAAFB9C" w14:textId="77777777" w:rsidR="00370BA6" w:rsidRDefault="00000000">
            <w:pPr>
              <w:jc w:val="center"/>
            </w:pPr>
            <w:r>
              <w:rPr>
                <w:color w:val="000000"/>
                <w:sz w:val="18"/>
                <w:szCs w:val="18"/>
              </w:rPr>
              <w:t>11.191</w:t>
            </w:r>
          </w:p>
        </w:tc>
        <w:tc>
          <w:tcPr>
            <w:tcW w:w="15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23839798" w14:textId="77777777" w:rsidR="00370BA6" w:rsidRDefault="00000000">
            <w:pPr>
              <w:jc w:val="center"/>
            </w:pPr>
            <w:r>
              <w:rPr>
                <w:color w:val="000000"/>
                <w:sz w:val="18"/>
                <w:szCs w:val="18"/>
              </w:rPr>
              <w:t>Trend</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A5B68E1" w14:textId="77777777" w:rsidR="00370BA6" w:rsidRDefault="00000000">
            <w:pPr>
              <w:jc w:val="center"/>
            </w:pPr>
            <w:r>
              <w:rPr>
                <w:color w:val="000000"/>
                <w:sz w:val="18"/>
                <w:szCs w:val="18"/>
              </w:rPr>
              <w:t>0.001</w:t>
            </w:r>
          </w:p>
        </w:tc>
      </w:tr>
    </w:tbl>
    <w:p w14:paraId="160723A5" w14:textId="77777777" w:rsidR="00370BA6" w:rsidRDefault="00000000">
      <w:pPr>
        <w:spacing w:before="60" w:after="120"/>
        <w:jc w:val="center"/>
      </w:pPr>
      <w:r>
        <w:rPr>
          <w:color w:val="595959"/>
          <w:sz w:val="18"/>
          <w:szCs w:val="18"/>
        </w:rPr>
        <w:t>TABLE I — STL Component Strength and ADF Stationarity Test Results</w:t>
      </w:r>
    </w:p>
    <w:p w14:paraId="2AEF2C10" w14:textId="77777777" w:rsidR="00370BA6" w:rsidRDefault="00000000">
      <w:pPr>
        <w:spacing w:before="140" w:after="80"/>
      </w:pPr>
      <w:r>
        <w:rPr>
          <w:b/>
          <w:bCs/>
          <w:color w:val="000000"/>
        </w:rPr>
        <w:t>C. Stationarity and Process Identification</w:t>
      </w:r>
    </w:p>
    <w:p w14:paraId="347A215A" w14:textId="77777777" w:rsidR="00370BA6" w:rsidRDefault="00000000">
      <w:pPr>
        <w:spacing w:before="80" w:after="80" w:line="276" w:lineRule="auto"/>
        <w:ind w:firstLine="720"/>
        <w:jc w:val="both"/>
      </w:pPr>
      <w:r>
        <w:rPr>
          <w:color w:val="000000"/>
        </w:rPr>
        <w:t xml:space="preserve">The Augmented Dickey-Fuller (ADF) test rejects the unit-root null hypothesis for all ten airports (p &lt; 0.001), confirming stationarity of the daily delay series without differencing. ACF/PACF analysis of the PHX series identifies an </w:t>
      </w:r>
      <w:proofErr w:type="gramStart"/>
      <w:r>
        <w:rPr>
          <w:color w:val="000000"/>
        </w:rPr>
        <w:t>AR(</w:t>
      </w:r>
      <w:proofErr w:type="gramEnd"/>
      <w:r>
        <w:rPr>
          <w:color w:val="000000"/>
        </w:rPr>
        <w:t>8) process (PACF cutoff at lag 8) with significant seasonal autocorrelation at lags 7, 14, 21, and 28 (ACF values 0.31, 0.27, 0.21, 0.17 respectively), motivating a SARIMA model with seasonal period m = 7. The Durbin-Watson statistic of 0.29 on the raw series confirms positive autocorrelation, which SARIMA subsequently eliminates (Ljung-Box p = 0.89 on residuals).</w:t>
      </w:r>
    </w:p>
    <w:p w14:paraId="4C5E54BC" w14:textId="77777777" w:rsidR="00370BA6" w:rsidRDefault="00000000">
      <w:pPr>
        <w:spacing w:before="200" w:after="120"/>
        <w:jc w:val="center"/>
      </w:pPr>
      <w:r>
        <w:rPr>
          <w:b/>
          <w:bCs/>
          <w:color w:val="000000"/>
        </w:rPr>
        <w:t>V. FEATURE ENGINEERING</w:t>
      </w:r>
    </w:p>
    <w:p w14:paraId="59E57E5F" w14:textId="77777777" w:rsidR="00370BA6" w:rsidRDefault="00000000">
      <w:pPr>
        <w:spacing w:before="80" w:after="80" w:line="276" w:lineRule="auto"/>
        <w:ind w:firstLine="720"/>
        <w:jc w:val="both"/>
      </w:pPr>
      <w:r>
        <w:rPr>
          <w:color w:val="000000"/>
        </w:rPr>
        <w:t xml:space="preserve">Twenty-three features are engineered from the raw daily delay series. Cyclical time encodings use sine/cosine transformations of month and day-of-week to preserve circular adjacency on the unit circle. Lag features (lag_1, lag_2, lag_3, lag_7, lag_14) capture autoregressive dependencies at daily, medium, and weekly horizons; lag_1 (yesterday's delay) is the strongest single predictor with cross-airport correlation 0.88–0.96 against the target. Rolling statistics (7-, 14-, 30-day mean; </w:t>
      </w:r>
      <w:r>
        <w:rPr>
          <w:color w:val="000000"/>
        </w:rPr>
        <w:lastRenderedPageBreak/>
        <w:t>7-day standard deviation) capture congestion regime and volatility state respectively. Calendar flags—</w:t>
      </w:r>
      <w:proofErr w:type="spellStart"/>
      <w:r>
        <w:rPr>
          <w:color w:val="000000"/>
        </w:rPr>
        <w:t>is_weekend</w:t>
      </w:r>
      <w:proofErr w:type="spellEnd"/>
      <w:r>
        <w:rPr>
          <w:color w:val="000000"/>
        </w:rPr>
        <w:t xml:space="preserve">, </w:t>
      </w:r>
      <w:proofErr w:type="spellStart"/>
      <w:r>
        <w:rPr>
          <w:color w:val="000000"/>
        </w:rPr>
        <w:t>is_monday</w:t>
      </w:r>
      <w:proofErr w:type="spellEnd"/>
      <w:r>
        <w:rPr>
          <w:color w:val="000000"/>
        </w:rPr>
        <w:t xml:space="preserve">, </w:t>
      </w:r>
      <w:proofErr w:type="spellStart"/>
      <w:r>
        <w:rPr>
          <w:color w:val="000000"/>
        </w:rPr>
        <w:t>is_friday</w:t>
      </w:r>
      <w:proofErr w:type="spellEnd"/>
      <w:r>
        <w:rPr>
          <w:color w:val="000000"/>
        </w:rPr>
        <w:t xml:space="preserve">, </w:t>
      </w:r>
      <w:proofErr w:type="spellStart"/>
      <w:r>
        <w:rPr>
          <w:color w:val="000000"/>
        </w:rPr>
        <w:t>is_summer</w:t>
      </w:r>
      <w:proofErr w:type="spellEnd"/>
      <w:r>
        <w:rPr>
          <w:color w:val="000000"/>
        </w:rPr>
        <w:t xml:space="preserve"> (June–August), and </w:t>
      </w:r>
      <w:proofErr w:type="spellStart"/>
      <w:r>
        <w:rPr>
          <w:color w:val="000000"/>
        </w:rPr>
        <w:t>is_holiday_season</w:t>
      </w:r>
      <w:proofErr w:type="spellEnd"/>
      <w:r>
        <w:rPr>
          <w:color w:val="000000"/>
        </w:rPr>
        <w:t xml:space="preserve"> (November–December)—are used as exogenous regressors in SARIMAX and as additional inputs to deep learning models. The percentage of flights delayed beyond 15 minutes (</w:t>
      </w:r>
      <w:proofErr w:type="spellStart"/>
      <w:r>
        <w:rPr>
          <w:color w:val="000000"/>
        </w:rPr>
        <w:t>pct_delayed</w:t>
      </w:r>
      <w:proofErr w:type="spellEnd"/>
      <w:r>
        <w:rPr>
          <w:color w:val="000000"/>
        </w:rPr>
        <w:t>) is included as a secondary target-correlated feature. All transformations strictly precede the corresponding target date to prevent leakage.</w:t>
      </w:r>
    </w:p>
    <w:p w14:paraId="542DE6B1" w14:textId="77777777" w:rsidR="00370BA6" w:rsidRDefault="00000000">
      <w:pPr>
        <w:spacing w:before="200" w:after="120"/>
        <w:jc w:val="center"/>
      </w:pPr>
      <w:r>
        <w:rPr>
          <w:b/>
          <w:bCs/>
          <w:color w:val="000000"/>
        </w:rPr>
        <w:t>VI. MODELS AND EVALUATION METRICS</w:t>
      </w:r>
    </w:p>
    <w:p w14:paraId="7FF7E884" w14:textId="77777777" w:rsidR="00370BA6" w:rsidRDefault="00000000">
      <w:pPr>
        <w:spacing w:before="140" w:after="80"/>
      </w:pPr>
      <w:r>
        <w:rPr>
          <w:b/>
          <w:bCs/>
          <w:color w:val="000000"/>
        </w:rPr>
        <w:t>A. Baseline Models</w:t>
      </w:r>
    </w:p>
    <w:p w14:paraId="64A01673" w14:textId="77777777" w:rsidR="00370BA6" w:rsidRDefault="00000000">
      <w:pPr>
        <w:spacing w:before="80" w:after="80" w:line="276" w:lineRule="auto"/>
        <w:ind w:firstLine="720"/>
        <w:jc w:val="both"/>
      </w:pPr>
      <w:r>
        <w:rPr>
          <w:color w:val="000000"/>
        </w:rPr>
        <w:t>Four classical baselines are evaluated: (1) Arithmetic Mean—always predict the training set mean; (2) Naïve—predict the last observed value; (3) Seasonal Naïve—predict the value from the same weekday one week prior (lag-7); and (4) Moving Average (k=7)—predict the mean of the preceding seven observations. These baselines bound the lower performance threshold that any structured model must surpass to demonstrate value.</w:t>
      </w:r>
    </w:p>
    <w:p w14:paraId="6C8A156A" w14:textId="77777777" w:rsidR="00370BA6" w:rsidRDefault="00000000">
      <w:pPr>
        <w:spacing w:before="140" w:after="80"/>
      </w:pPr>
      <w:r>
        <w:rPr>
          <w:b/>
          <w:bCs/>
          <w:color w:val="000000"/>
        </w:rPr>
        <w:t>B. Statistical Models</w:t>
      </w:r>
    </w:p>
    <w:p w14:paraId="086462F8" w14:textId="77777777" w:rsidR="00370BA6" w:rsidRDefault="00000000">
      <w:pPr>
        <w:spacing w:before="80" w:after="80" w:line="276" w:lineRule="auto"/>
        <w:ind w:firstLine="720"/>
        <w:jc w:val="both"/>
      </w:pPr>
      <w:r>
        <w:rPr>
          <w:color w:val="000000"/>
        </w:rPr>
        <w:t xml:space="preserve">ARIMA is fit using </w:t>
      </w:r>
      <w:proofErr w:type="spellStart"/>
      <w:r>
        <w:rPr>
          <w:color w:val="000000"/>
        </w:rPr>
        <w:t>auto_arima</w:t>
      </w:r>
      <w:proofErr w:type="spellEnd"/>
      <w:r>
        <w:rPr>
          <w:color w:val="000000"/>
        </w:rPr>
        <w:t xml:space="preserve"> with AIC selection over the non-seasonal parameter space. The selected specification </w:t>
      </w:r>
      <w:proofErr w:type="gramStart"/>
      <w:r>
        <w:rPr>
          <w:color w:val="000000"/>
        </w:rPr>
        <w:t>ARIMA(</w:t>
      </w:r>
      <w:proofErr w:type="gramEnd"/>
      <w:r>
        <w:rPr>
          <w:color w:val="000000"/>
        </w:rPr>
        <w:t xml:space="preserve">0,1,2) differences the series once and applies two moving-average terms. SARIMA extends this with seasonal terms at period m=7; </w:t>
      </w:r>
      <w:proofErr w:type="spellStart"/>
      <w:r>
        <w:rPr>
          <w:color w:val="000000"/>
        </w:rPr>
        <w:t>auto_arima</w:t>
      </w:r>
      <w:proofErr w:type="spellEnd"/>
      <w:r>
        <w:rPr>
          <w:color w:val="000000"/>
        </w:rPr>
        <w:t xml:space="preserve"> selects </w:t>
      </w:r>
      <w:proofErr w:type="gramStart"/>
      <w:r>
        <w:rPr>
          <w:color w:val="000000"/>
        </w:rPr>
        <w:t>SARIMA(</w:t>
      </w:r>
      <w:proofErr w:type="gramEnd"/>
      <w:r>
        <w:rPr>
          <w:color w:val="000000"/>
        </w:rPr>
        <w:t>1,0,</w:t>
      </w:r>
      <w:proofErr w:type="gramStart"/>
      <w:r>
        <w:rPr>
          <w:color w:val="000000"/>
        </w:rPr>
        <w:t>2)×</w:t>
      </w:r>
      <w:proofErr w:type="gramEnd"/>
      <w:r>
        <w:rPr>
          <w:color w:val="000000"/>
        </w:rPr>
        <w:t>(0,1,</w:t>
      </w:r>
      <w:proofErr w:type="gramStart"/>
      <w:r>
        <w:rPr>
          <w:color w:val="000000"/>
        </w:rPr>
        <w:t>1)[</w:t>
      </w:r>
      <w:proofErr w:type="gramEnd"/>
      <w:r>
        <w:rPr>
          <w:color w:val="000000"/>
        </w:rPr>
        <w:t xml:space="preserve">7]—an </w:t>
      </w:r>
      <w:proofErr w:type="gramStart"/>
      <w:r>
        <w:rPr>
          <w:color w:val="000000"/>
        </w:rPr>
        <w:t>AR(</w:t>
      </w:r>
      <w:proofErr w:type="gramEnd"/>
      <w:r>
        <w:rPr>
          <w:color w:val="000000"/>
        </w:rPr>
        <w:t xml:space="preserve">1) component, two MA terms in the non-seasonal part, and a seasonal </w:t>
      </w:r>
      <w:proofErr w:type="gramStart"/>
      <w:r>
        <w:rPr>
          <w:color w:val="000000"/>
        </w:rPr>
        <w:t>MA(</w:t>
      </w:r>
      <w:proofErr w:type="gramEnd"/>
      <w:r>
        <w:rPr>
          <w:color w:val="000000"/>
        </w:rPr>
        <w:t xml:space="preserve">1) with weekly seasonal differencing. Diagnostic tests confirm residual whiteness (Ljung-Box p=0.89) but reject normality (Jarque-Bera p≈0) and homoskedasticity (Heteroskedasticity p=0.00), motivating the move to probabilistic methods. SARIMAX extends SARIMA with exogenous regressors; greedy single-feature selection identifies weather_lag1 as the most informative exogenous variable (RMSE improvement +0.51 min over SARIMA), followed by </w:t>
      </w:r>
      <w:proofErr w:type="spellStart"/>
      <w:r>
        <w:rPr>
          <w:color w:val="000000"/>
        </w:rPr>
        <w:t>is_summer</w:t>
      </w:r>
      <w:proofErr w:type="spellEnd"/>
      <w:r>
        <w:rPr>
          <w:color w:val="000000"/>
        </w:rPr>
        <w:t xml:space="preserve"> and </w:t>
      </w:r>
      <w:proofErr w:type="spellStart"/>
      <w:r>
        <w:rPr>
          <w:color w:val="000000"/>
        </w:rPr>
        <w:t>is_weekend</w:t>
      </w:r>
      <w:proofErr w:type="spellEnd"/>
      <w:r>
        <w:rPr>
          <w:color w:val="000000"/>
        </w:rPr>
        <w:t>. Walk-forward one-step-ahead validation is used throughout to prevent information leakage.</w:t>
      </w:r>
    </w:p>
    <w:p w14:paraId="0E358775" w14:textId="77777777" w:rsidR="00370BA6" w:rsidRDefault="00000000">
      <w:pPr>
        <w:spacing w:before="140" w:after="80"/>
      </w:pPr>
      <w:r>
        <w:rPr>
          <w:b/>
          <w:bCs/>
          <w:color w:val="000000"/>
        </w:rPr>
        <w:t>C. Deep Learning Models</w:t>
      </w:r>
    </w:p>
    <w:p w14:paraId="369A524B" w14:textId="77777777" w:rsidR="00370BA6" w:rsidRDefault="00000000">
      <w:pPr>
        <w:spacing w:before="80" w:after="80" w:line="276" w:lineRule="auto"/>
        <w:ind w:firstLine="720"/>
        <w:jc w:val="both"/>
      </w:pPr>
      <w:r>
        <w:rPr>
          <w:color w:val="000000"/>
        </w:rPr>
        <w:t xml:space="preserve">LSTM and GRU models share a common training regime: sequence length </w:t>
      </w:r>
      <w:proofErr w:type="spellStart"/>
      <w:r>
        <w:rPr>
          <w:color w:val="000000"/>
        </w:rPr>
        <w:t>seq_len</w:t>
      </w:r>
      <w:proofErr w:type="spellEnd"/>
      <w:r>
        <w:rPr>
          <w:color w:val="000000"/>
        </w:rPr>
        <w:t>=21 (three weeks of context), hidden dimension=64, batch size=32, learning rate=0.001, Adam optimizer, and early stopping with patience=20 epochs against a validation split. The GRU achieves lower RMSE than the LSTM at 9 of 10 airports, consistent with its reduced parameter count (17K vs ~22K for LSTM) providing regularization benefit on the ~500-sample training set. Both architectures produce non-Gaussian residuals (see Section VII-A), confirming the need for distributional approaches.</w:t>
      </w:r>
    </w:p>
    <w:p w14:paraId="5953E953" w14:textId="77777777" w:rsidR="00370BA6" w:rsidRDefault="00000000">
      <w:pPr>
        <w:spacing w:before="140" w:after="80"/>
      </w:pPr>
      <w:r>
        <w:rPr>
          <w:b/>
          <w:bCs/>
          <w:color w:val="000000"/>
        </w:rPr>
        <w:t>D. Quantile Recurrent Neural Network (QRNN)</w:t>
      </w:r>
    </w:p>
    <w:p w14:paraId="032B0C71" w14:textId="77777777" w:rsidR="00370BA6" w:rsidRDefault="00000000">
      <w:pPr>
        <w:spacing w:before="80" w:after="80" w:line="276" w:lineRule="auto"/>
        <w:ind w:firstLine="720"/>
        <w:jc w:val="both"/>
      </w:pPr>
      <w:r>
        <w:rPr>
          <w:color w:val="000000"/>
        </w:rPr>
        <w:t>The QRNN extends the GRU architecture to simultaneously predict Q=7 quantile levels: τ ∈ {0.05, 0.10, 0.25, 0.50, 0.75, 0.90, 0.95}. The training objective is Pinball Loss, also known as quantile loss or check function, defined as:</w:t>
      </w:r>
    </w:p>
    <w:p w14:paraId="2589051F" w14:textId="77777777" w:rsidR="00370BA6" w:rsidRDefault="00000000">
      <w:pPr>
        <w:spacing w:before="80" w:after="80"/>
        <w:jc w:val="center"/>
      </w:pPr>
      <w:r>
        <w:rPr>
          <w:rFonts w:ascii="Courier New" w:eastAsia="Courier New" w:hAnsi="Courier New" w:cs="Courier New"/>
        </w:rPr>
        <w:t xml:space="preserve">L(τ) = </w:t>
      </w:r>
      <w:proofErr w:type="gramStart"/>
      <w:r>
        <w:rPr>
          <w:rFonts w:ascii="Courier New" w:eastAsia="Courier New" w:hAnsi="Courier New" w:cs="Courier New"/>
        </w:rPr>
        <w:t>E[</w:t>
      </w:r>
      <w:proofErr w:type="gramEnd"/>
      <w:r>
        <w:rPr>
          <w:rFonts w:ascii="Courier New" w:eastAsia="Courier New" w:hAnsi="Courier New" w:cs="Courier New"/>
        </w:rPr>
        <w:t xml:space="preserve"> τ · </w:t>
      </w:r>
      <w:proofErr w:type="gramStart"/>
      <w:r>
        <w:rPr>
          <w:rFonts w:ascii="Courier New" w:eastAsia="Courier New" w:hAnsi="Courier New" w:cs="Courier New"/>
        </w:rPr>
        <w:t>max(</w:t>
      </w:r>
      <w:proofErr w:type="gramEnd"/>
      <w:r>
        <w:rPr>
          <w:rFonts w:ascii="Courier New" w:eastAsia="Courier New" w:hAnsi="Courier New" w:cs="Courier New"/>
        </w:rPr>
        <w:t xml:space="preserve">y − </w:t>
      </w:r>
      <w:proofErr w:type="spellStart"/>
      <w:r>
        <w:rPr>
          <w:rFonts w:ascii="Courier New" w:eastAsia="Courier New" w:hAnsi="Courier New" w:cs="Courier New"/>
        </w:rPr>
        <w:t>ŷ_τ</w:t>
      </w:r>
      <w:proofErr w:type="spellEnd"/>
      <w:r>
        <w:rPr>
          <w:rFonts w:ascii="Courier New" w:eastAsia="Courier New" w:hAnsi="Courier New" w:cs="Courier New"/>
        </w:rPr>
        <w:t xml:space="preserve">, 0) + (1−τ) · </w:t>
      </w:r>
      <w:proofErr w:type="gramStart"/>
      <w:r>
        <w:rPr>
          <w:rFonts w:ascii="Courier New" w:eastAsia="Courier New" w:hAnsi="Courier New" w:cs="Courier New"/>
        </w:rPr>
        <w:t>max(</w:t>
      </w:r>
      <w:proofErr w:type="spellStart"/>
      <w:proofErr w:type="gramEnd"/>
      <w:r>
        <w:rPr>
          <w:rFonts w:ascii="Courier New" w:eastAsia="Courier New" w:hAnsi="Courier New" w:cs="Courier New"/>
        </w:rPr>
        <w:t>ŷ_τ</w:t>
      </w:r>
      <w:proofErr w:type="spellEnd"/>
      <w:r>
        <w:rPr>
          <w:rFonts w:ascii="Courier New" w:eastAsia="Courier New" w:hAnsi="Courier New" w:cs="Courier New"/>
        </w:rPr>
        <w:t xml:space="preserve"> − y, 0</w:t>
      </w:r>
      <w:proofErr w:type="gramStart"/>
      <w:r>
        <w:rPr>
          <w:rFonts w:ascii="Courier New" w:eastAsia="Courier New" w:hAnsi="Courier New" w:cs="Courier New"/>
        </w:rPr>
        <w:t>) ]</w:t>
      </w:r>
      <w:proofErr w:type="gramEnd"/>
    </w:p>
    <w:p w14:paraId="14964757" w14:textId="77777777" w:rsidR="00370BA6" w:rsidRDefault="00000000">
      <w:pPr>
        <w:spacing w:before="80" w:after="80" w:line="276" w:lineRule="auto"/>
        <w:ind w:firstLine="720"/>
        <w:jc w:val="both"/>
      </w:pPr>
      <w:r>
        <w:rPr>
          <w:color w:val="000000"/>
        </w:rPr>
        <w:t>This loss function is distribution-free: it makes no parametric assumption about the shape of the residual distribution, making it valid under the observed non-Gaussian, heavy-tailed delay residuals. Post-training, temperature scaling is applied: the predicted quantile spread is divided by a scalar T &gt; 1 to widen intervals at airports where empirical PICP falls below the 0.90 nominal target. Temperature T is estimated on a held-out calibration window. Tube Loss—an ε-insensitive variant of MAE that ignores errors within ±ε minutes of truth—is evaluated as an auxiliary loss to align the model's training signal with airline operational tolerances (ε = 2.0 min).</w:t>
      </w:r>
    </w:p>
    <w:p w14:paraId="643B8D40" w14:textId="77777777" w:rsidR="00370BA6" w:rsidRDefault="00000000">
      <w:pPr>
        <w:spacing w:before="140" w:after="80"/>
      </w:pPr>
      <w:r>
        <w:rPr>
          <w:b/>
          <w:bCs/>
          <w:color w:val="000000"/>
        </w:rPr>
        <w:t>E. Evaluation Metrics</w:t>
      </w:r>
    </w:p>
    <w:p w14:paraId="5BA6B660" w14:textId="77777777" w:rsidR="00370BA6" w:rsidRDefault="00000000">
      <w:pPr>
        <w:spacing w:before="80" w:after="80" w:line="276" w:lineRule="auto"/>
        <w:ind w:firstLine="720"/>
        <w:jc w:val="both"/>
      </w:pPr>
      <w:r>
        <w:rPr>
          <w:color w:val="000000"/>
        </w:rPr>
        <w:t xml:space="preserve">Point forecast performance is assessed with RMSE, MAE, MAPE, and </w:t>
      </w:r>
      <w:proofErr w:type="spellStart"/>
      <w:r>
        <w:rPr>
          <w:color w:val="000000"/>
        </w:rPr>
        <w:t>sMAPE</w:t>
      </w:r>
      <w:proofErr w:type="spellEnd"/>
      <w:r>
        <w:rPr>
          <w:color w:val="000000"/>
        </w:rPr>
        <w:t>. Probabilistic forecast quality uses three metrics: PICP (fraction of test observations falling within [q05, q95]; target ≥ 0.90), PINAW (PI Normalized Average Width; lower is sharper), and Winkler Score (penalizes both missed coverage and unnecessary width). Propagation alert performance uses binary classification Precision, Recall, and F1 evaluated at calendar-day × airport-pair granularity.</w:t>
      </w:r>
    </w:p>
    <w:p w14:paraId="25AF70D2" w14:textId="77777777" w:rsidR="00370BA6" w:rsidRDefault="00000000">
      <w:pPr>
        <w:spacing w:before="200" w:after="120"/>
        <w:jc w:val="center"/>
      </w:pPr>
      <w:r>
        <w:rPr>
          <w:b/>
          <w:bCs/>
          <w:color w:val="000000"/>
        </w:rPr>
        <w:t>VII. RESULTS</w:t>
      </w:r>
    </w:p>
    <w:p w14:paraId="5687EA00" w14:textId="77777777" w:rsidR="00370BA6" w:rsidRDefault="00000000">
      <w:pPr>
        <w:spacing w:before="140" w:after="80"/>
      </w:pPr>
      <w:r>
        <w:rPr>
          <w:b/>
          <w:bCs/>
          <w:color w:val="000000"/>
        </w:rPr>
        <w:t>A. RQ1: Non-</w:t>
      </w:r>
      <w:proofErr w:type="spellStart"/>
      <w:r>
        <w:rPr>
          <w:b/>
          <w:bCs/>
          <w:color w:val="000000"/>
        </w:rPr>
        <w:t>Gaussianity</w:t>
      </w:r>
      <w:proofErr w:type="spellEnd"/>
      <w:r>
        <w:rPr>
          <w:b/>
          <w:bCs/>
          <w:color w:val="000000"/>
        </w:rPr>
        <w:t xml:space="preserve"> of Residuals</w:t>
      </w:r>
    </w:p>
    <w:p w14:paraId="3728E74E" w14:textId="77777777" w:rsidR="00370BA6" w:rsidRDefault="00000000">
      <w:pPr>
        <w:spacing w:before="80" w:after="80" w:line="276" w:lineRule="auto"/>
        <w:ind w:firstLine="720"/>
        <w:jc w:val="both"/>
      </w:pPr>
      <w:r>
        <w:rPr>
          <w:color w:val="000000"/>
        </w:rPr>
        <w:t xml:space="preserve">Both the Shapiro-Wilk and Jarque-Bera tests formally reject the Gaussian null hypothesis for the residuals of all four models (ARIMA, SARIMA, LSTM, GRU) at all ten airports, at α = 0.05. Shapiro-Wilk p-values range from 3.2×10⁻¹⁶ (SEA, </w:t>
      </w:r>
      <w:r>
        <w:rPr>
          <w:color w:val="000000"/>
        </w:rPr>
        <w:lastRenderedPageBreak/>
        <w:t>mildest) to 1.6×10⁻³⁰ (DFW, most severe). Excess kurtosis ranges from 4.0 (LSTM at PHX) to 22.7 (ATL overall), confirming heavy right tails. Skewness is consistently positive (1.3–3.7), reflecting the physical asymmetry of delays: there is a lower bound near zero but no practical upper bound for extreme events. Distribution fitting via maximum likelihood comparison shows Log-Normal (shifted) as the best parametric fit (AIC 3600), substantially outperforming Normal (AIC 3793, ΔAIC=193) and Skew-Normal (AIC 3641). Log-likelihood comparisons for PHX ARIMA residuals show Student-t (LL = −2645) &gt; Laplace (LL = −2657) &gt; Skew-Normal (LL = −2672) &gt; Normal (LL = −2735), confirming heavy-tailed distributions are required.</w:t>
      </w:r>
    </w:p>
    <w:p w14:paraId="373E64FE" w14:textId="77777777" w:rsidR="00370BA6" w:rsidRDefault="00000000">
      <w:pPr>
        <w:spacing w:before="80" w:after="80" w:line="276" w:lineRule="auto"/>
        <w:ind w:firstLine="720"/>
        <w:jc w:val="both"/>
      </w:pPr>
      <w:r>
        <w:rPr>
          <w:color w:val="000000"/>
        </w:rPr>
        <w:t>Critically, non-</w:t>
      </w:r>
      <w:proofErr w:type="spellStart"/>
      <w:r>
        <w:rPr>
          <w:color w:val="000000"/>
        </w:rPr>
        <w:t>Gaussianity</w:t>
      </w:r>
      <w:proofErr w:type="spellEnd"/>
      <w:r>
        <w:rPr>
          <w:color w:val="000000"/>
        </w:rPr>
        <w:t xml:space="preserve"> is identified as a property of the underlying delay data distribution, not of any particular model specification. Time-bucket analysis at ATL confirms that all four daily time blocks (morning rush, afternoon, evening rush, night) independently reject normality, with peak hours showing the most extreme kurtosis. This confirms that Gaussian ±1.96σ prediction intervals—implicitly assumed by most operational systems—will systematically under-cover extreme delay events precisely when operational decisions matter most.</w:t>
      </w:r>
    </w:p>
    <w:p w14:paraId="6FB52CF4" w14:textId="77777777" w:rsidR="00370BA6" w:rsidRDefault="00000000">
      <w:pPr>
        <w:spacing w:before="140" w:after="80"/>
      </w:pPr>
      <w:r>
        <w:rPr>
          <w:b/>
          <w:bCs/>
          <w:color w:val="000000"/>
        </w:rPr>
        <w:t>B. RQ2: QRNN Interval Calibration</w:t>
      </w:r>
    </w:p>
    <w:p w14:paraId="148A6DD3" w14:textId="77777777" w:rsidR="00370BA6" w:rsidRDefault="00000000">
      <w:pPr>
        <w:spacing w:before="80" w:after="80" w:line="276" w:lineRule="auto"/>
        <w:ind w:firstLine="720"/>
        <w:jc w:val="both"/>
      </w:pPr>
      <w:r>
        <w:rPr>
          <w:color w:val="000000"/>
        </w:rPr>
        <w:t>Table II presents the full model comparison across all ten hub airports. SARIMA achieves the best point-forecast RMSE at 7 of 10 airports, with ARIMA competitive at the remaining three. GRU outperforms LSTM everywhere, confirming regularization benefits on limited training data. QRNN median forecasts are competitive with ARIMA/GRU in point-forecast terms while uniquely providing calibrated interval estimates.</w:t>
      </w:r>
    </w:p>
    <w:p w14:paraId="1DA401C2" w14:textId="77777777" w:rsidR="00370BA6" w:rsidRDefault="00000000">
      <w:pPr>
        <w:spacing w:before="100" w:after="60"/>
      </w:pPr>
      <w:r>
        <w:rPr>
          <w:b/>
          <w:bCs/>
          <w:sz w:val="18"/>
          <w:szCs w:val="18"/>
        </w:rPr>
        <w:t>TABLE II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5"/>
        <w:gridCol w:w="928"/>
        <w:gridCol w:w="913"/>
        <w:gridCol w:w="920"/>
        <w:gridCol w:w="936"/>
        <w:gridCol w:w="1061"/>
        <w:gridCol w:w="913"/>
        <w:gridCol w:w="921"/>
        <w:gridCol w:w="914"/>
        <w:gridCol w:w="929"/>
      </w:tblGrid>
      <w:tr w:rsidR="00370BA6" w14:paraId="64409FEF" w14:textId="77777777">
        <w:tblPrEx>
          <w:tblCellMar>
            <w:top w:w="0" w:type="dxa"/>
            <w:bottom w:w="0" w:type="dxa"/>
          </w:tblCellMar>
        </w:tblPrEx>
        <w:tc>
          <w:tcPr>
            <w:tcW w:w="936"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14:paraId="37E43B9B" w14:textId="77777777" w:rsidR="00370BA6" w:rsidRDefault="00000000">
            <w:pPr>
              <w:jc w:val="center"/>
            </w:pPr>
            <w:r>
              <w:rPr>
                <w:b/>
                <w:bCs/>
                <w:color w:val="FFFFFF"/>
                <w:sz w:val="18"/>
                <w:szCs w:val="18"/>
              </w:rPr>
              <w:t>Airport</w:t>
            </w:r>
          </w:p>
        </w:tc>
        <w:tc>
          <w:tcPr>
            <w:tcW w:w="936"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14:paraId="49CF71C4" w14:textId="77777777" w:rsidR="00370BA6" w:rsidRDefault="00000000">
            <w:pPr>
              <w:jc w:val="center"/>
            </w:pPr>
            <w:r>
              <w:rPr>
                <w:b/>
                <w:bCs/>
                <w:color w:val="FFFFFF"/>
                <w:sz w:val="18"/>
                <w:szCs w:val="18"/>
              </w:rPr>
              <w:t>ARIMA</w:t>
            </w:r>
          </w:p>
        </w:tc>
        <w:tc>
          <w:tcPr>
            <w:tcW w:w="936"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14:paraId="364C387B" w14:textId="77777777" w:rsidR="00370BA6" w:rsidRDefault="00000000">
            <w:pPr>
              <w:jc w:val="center"/>
            </w:pPr>
            <w:r>
              <w:rPr>
                <w:b/>
                <w:bCs/>
                <w:color w:val="FFFFFF"/>
                <w:sz w:val="18"/>
                <w:szCs w:val="18"/>
              </w:rPr>
              <w:t>GRU</w:t>
            </w:r>
          </w:p>
        </w:tc>
        <w:tc>
          <w:tcPr>
            <w:tcW w:w="936"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14:paraId="251F9D14" w14:textId="77777777" w:rsidR="00370BA6" w:rsidRDefault="00000000">
            <w:pPr>
              <w:jc w:val="center"/>
            </w:pPr>
            <w:r>
              <w:rPr>
                <w:b/>
                <w:bCs/>
                <w:color w:val="FFFFFF"/>
                <w:sz w:val="18"/>
                <w:szCs w:val="18"/>
              </w:rPr>
              <w:t>LSTM</w:t>
            </w:r>
          </w:p>
        </w:tc>
        <w:tc>
          <w:tcPr>
            <w:tcW w:w="936"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14:paraId="48D9CC4D" w14:textId="77777777" w:rsidR="00370BA6" w:rsidRDefault="00000000">
            <w:pPr>
              <w:jc w:val="center"/>
            </w:pPr>
            <w:r>
              <w:rPr>
                <w:b/>
                <w:bCs/>
                <w:color w:val="FFFFFF"/>
                <w:sz w:val="18"/>
                <w:szCs w:val="18"/>
              </w:rPr>
              <w:t>SARIMA</w:t>
            </w:r>
          </w:p>
        </w:tc>
        <w:tc>
          <w:tcPr>
            <w:tcW w:w="936"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14:paraId="667F7D1D" w14:textId="77777777" w:rsidR="00370BA6" w:rsidRDefault="00000000">
            <w:pPr>
              <w:jc w:val="center"/>
            </w:pPr>
            <w:r>
              <w:rPr>
                <w:b/>
                <w:bCs/>
                <w:color w:val="FFFFFF"/>
                <w:sz w:val="18"/>
                <w:szCs w:val="18"/>
              </w:rPr>
              <w:t>SARIMAX</w:t>
            </w:r>
          </w:p>
        </w:tc>
        <w:tc>
          <w:tcPr>
            <w:tcW w:w="936"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14:paraId="43EFA4E4" w14:textId="77777777" w:rsidR="00370BA6" w:rsidRDefault="00000000">
            <w:pPr>
              <w:jc w:val="center"/>
            </w:pPr>
            <w:r>
              <w:rPr>
                <w:b/>
                <w:bCs/>
                <w:color w:val="FFFFFF"/>
                <w:sz w:val="18"/>
                <w:szCs w:val="18"/>
              </w:rPr>
              <w:t>Tube</w:t>
            </w:r>
          </w:p>
        </w:tc>
        <w:tc>
          <w:tcPr>
            <w:tcW w:w="936"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14:paraId="5B95931F" w14:textId="77777777" w:rsidR="00370BA6" w:rsidRDefault="00000000">
            <w:pPr>
              <w:jc w:val="center"/>
            </w:pPr>
            <w:r>
              <w:rPr>
                <w:b/>
                <w:bCs/>
                <w:color w:val="FFFFFF"/>
                <w:sz w:val="18"/>
                <w:szCs w:val="18"/>
              </w:rPr>
              <w:t>QRNN</w:t>
            </w:r>
          </w:p>
        </w:tc>
        <w:tc>
          <w:tcPr>
            <w:tcW w:w="936"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14:paraId="1439F35E" w14:textId="77777777" w:rsidR="00370BA6" w:rsidRDefault="00000000">
            <w:pPr>
              <w:jc w:val="center"/>
            </w:pPr>
            <w:r>
              <w:rPr>
                <w:b/>
                <w:bCs/>
                <w:color w:val="FFFFFF"/>
                <w:sz w:val="18"/>
                <w:szCs w:val="18"/>
              </w:rPr>
              <w:t>PICP</w:t>
            </w:r>
          </w:p>
        </w:tc>
        <w:tc>
          <w:tcPr>
            <w:tcW w:w="936"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14:paraId="0E3A0E3B" w14:textId="77777777" w:rsidR="00370BA6" w:rsidRDefault="00000000">
            <w:pPr>
              <w:jc w:val="center"/>
            </w:pPr>
            <w:r>
              <w:rPr>
                <w:b/>
                <w:bCs/>
                <w:color w:val="FFFFFF"/>
                <w:sz w:val="18"/>
                <w:szCs w:val="18"/>
              </w:rPr>
              <w:t>Winkler</w:t>
            </w:r>
          </w:p>
        </w:tc>
      </w:tr>
      <w:tr w:rsidR="00370BA6" w14:paraId="310C08DE" w14:textId="77777777">
        <w:tblPrEx>
          <w:tblCellMar>
            <w:top w:w="0" w:type="dxa"/>
            <w:bottom w:w="0" w:type="dxa"/>
          </w:tblCellMar>
        </w:tblPrEx>
        <w:tc>
          <w:tcPr>
            <w:tcW w:w="936"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1E447E00" w14:textId="77777777" w:rsidR="00370BA6" w:rsidRDefault="00000000">
            <w:pPr>
              <w:jc w:val="center"/>
            </w:pPr>
            <w:r>
              <w:rPr>
                <w:color w:val="000000"/>
                <w:sz w:val="18"/>
                <w:szCs w:val="18"/>
              </w:rPr>
              <w:t>ATL</w:t>
            </w:r>
          </w:p>
        </w:tc>
        <w:tc>
          <w:tcPr>
            <w:tcW w:w="93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4A2883D" w14:textId="77777777" w:rsidR="00370BA6" w:rsidRDefault="00000000">
            <w:pPr>
              <w:jc w:val="center"/>
            </w:pPr>
            <w:r>
              <w:rPr>
                <w:color w:val="000000"/>
                <w:sz w:val="18"/>
                <w:szCs w:val="18"/>
              </w:rPr>
              <w:t>17.56</w:t>
            </w:r>
          </w:p>
        </w:tc>
        <w:tc>
          <w:tcPr>
            <w:tcW w:w="936"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2A515584" w14:textId="77777777" w:rsidR="00370BA6" w:rsidRDefault="00000000">
            <w:pPr>
              <w:jc w:val="center"/>
            </w:pPr>
            <w:r>
              <w:rPr>
                <w:color w:val="000000"/>
                <w:sz w:val="18"/>
                <w:szCs w:val="18"/>
              </w:rPr>
              <w:t>19.95</w:t>
            </w:r>
          </w:p>
        </w:tc>
        <w:tc>
          <w:tcPr>
            <w:tcW w:w="93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D4A7C20" w14:textId="77777777" w:rsidR="00370BA6" w:rsidRDefault="00000000">
            <w:pPr>
              <w:jc w:val="center"/>
            </w:pPr>
            <w:r>
              <w:rPr>
                <w:color w:val="000000"/>
                <w:sz w:val="18"/>
                <w:szCs w:val="18"/>
              </w:rPr>
              <w:t>19.82</w:t>
            </w:r>
          </w:p>
        </w:tc>
        <w:tc>
          <w:tcPr>
            <w:tcW w:w="936"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7D88A2ED" w14:textId="77777777" w:rsidR="00370BA6" w:rsidRDefault="00000000">
            <w:pPr>
              <w:jc w:val="center"/>
            </w:pPr>
            <w:r>
              <w:rPr>
                <w:color w:val="000000"/>
                <w:sz w:val="18"/>
                <w:szCs w:val="18"/>
              </w:rPr>
              <w:t>20.12</w:t>
            </w:r>
          </w:p>
        </w:tc>
        <w:tc>
          <w:tcPr>
            <w:tcW w:w="93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DDF4CFD" w14:textId="77777777" w:rsidR="00370BA6" w:rsidRDefault="00000000">
            <w:pPr>
              <w:jc w:val="center"/>
            </w:pPr>
            <w:r>
              <w:rPr>
                <w:color w:val="000000"/>
                <w:sz w:val="18"/>
                <w:szCs w:val="18"/>
              </w:rPr>
              <w:t>19.64</w:t>
            </w:r>
          </w:p>
        </w:tc>
        <w:tc>
          <w:tcPr>
            <w:tcW w:w="936"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7A997F84" w14:textId="77777777" w:rsidR="00370BA6" w:rsidRDefault="00000000">
            <w:pPr>
              <w:jc w:val="center"/>
            </w:pPr>
            <w:r>
              <w:rPr>
                <w:color w:val="000000"/>
                <w:sz w:val="18"/>
                <w:szCs w:val="18"/>
              </w:rPr>
              <w:t>19.81</w:t>
            </w:r>
          </w:p>
        </w:tc>
        <w:tc>
          <w:tcPr>
            <w:tcW w:w="93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DBDE3A9" w14:textId="77777777" w:rsidR="00370BA6" w:rsidRDefault="00000000">
            <w:pPr>
              <w:jc w:val="center"/>
            </w:pPr>
            <w:r>
              <w:rPr>
                <w:color w:val="000000"/>
                <w:sz w:val="18"/>
                <w:szCs w:val="18"/>
              </w:rPr>
              <w:t>19.76</w:t>
            </w:r>
          </w:p>
        </w:tc>
        <w:tc>
          <w:tcPr>
            <w:tcW w:w="936"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28D3BC36" w14:textId="77777777" w:rsidR="00370BA6" w:rsidRDefault="00000000">
            <w:pPr>
              <w:jc w:val="center"/>
            </w:pPr>
            <w:r>
              <w:rPr>
                <w:color w:val="000000"/>
                <w:sz w:val="18"/>
                <w:szCs w:val="18"/>
              </w:rPr>
              <w:t>0.775</w:t>
            </w:r>
          </w:p>
        </w:tc>
        <w:tc>
          <w:tcPr>
            <w:tcW w:w="93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DE83A28" w14:textId="77777777" w:rsidR="00370BA6" w:rsidRDefault="00000000">
            <w:pPr>
              <w:jc w:val="center"/>
            </w:pPr>
            <w:r>
              <w:rPr>
                <w:color w:val="000000"/>
                <w:sz w:val="18"/>
                <w:szCs w:val="18"/>
              </w:rPr>
              <w:t>83.1</w:t>
            </w:r>
          </w:p>
        </w:tc>
      </w:tr>
      <w:tr w:rsidR="00370BA6" w14:paraId="246C5885" w14:textId="77777777">
        <w:tblPrEx>
          <w:tblCellMar>
            <w:top w:w="0" w:type="dxa"/>
            <w:bottom w:w="0" w:type="dxa"/>
          </w:tblCellMar>
        </w:tblPrEx>
        <w:tc>
          <w:tcPr>
            <w:tcW w:w="936"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35BCFB8D" w14:textId="77777777" w:rsidR="00370BA6" w:rsidRDefault="00000000">
            <w:pPr>
              <w:jc w:val="center"/>
            </w:pPr>
            <w:r>
              <w:rPr>
                <w:color w:val="000000"/>
                <w:sz w:val="18"/>
                <w:szCs w:val="18"/>
              </w:rPr>
              <w:t>DEN</w:t>
            </w:r>
          </w:p>
        </w:tc>
        <w:tc>
          <w:tcPr>
            <w:tcW w:w="93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E0B0DF7" w14:textId="77777777" w:rsidR="00370BA6" w:rsidRDefault="00000000">
            <w:pPr>
              <w:jc w:val="center"/>
            </w:pPr>
            <w:r>
              <w:rPr>
                <w:color w:val="000000"/>
                <w:sz w:val="18"/>
                <w:szCs w:val="18"/>
              </w:rPr>
              <w:t>9.80</w:t>
            </w:r>
          </w:p>
        </w:tc>
        <w:tc>
          <w:tcPr>
            <w:tcW w:w="936"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792389FA" w14:textId="77777777" w:rsidR="00370BA6" w:rsidRDefault="00000000">
            <w:pPr>
              <w:jc w:val="center"/>
            </w:pPr>
            <w:r>
              <w:rPr>
                <w:color w:val="000000"/>
                <w:sz w:val="18"/>
                <w:szCs w:val="18"/>
              </w:rPr>
              <w:t>10.99</w:t>
            </w:r>
          </w:p>
        </w:tc>
        <w:tc>
          <w:tcPr>
            <w:tcW w:w="93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3714670" w14:textId="77777777" w:rsidR="00370BA6" w:rsidRDefault="00000000">
            <w:pPr>
              <w:jc w:val="center"/>
            </w:pPr>
            <w:r>
              <w:rPr>
                <w:color w:val="000000"/>
                <w:sz w:val="18"/>
                <w:szCs w:val="18"/>
              </w:rPr>
              <w:t>10.92</w:t>
            </w:r>
          </w:p>
        </w:tc>
        <w:tc>
          <w:tcPr>
            <w:tcW w:w="936"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0BA81207" w14:textId="77777777" w:rsidR="00370BA6" w:rsidRDefault="00000000">
            <w:pPr>
              <w:jc w:val="center"/>
            </w:pPr>
            <w:r>
              <w:rPr>
                <w:color w:val="000000"/>
                <w:sz w:val="18"/>
                <w:szCs w:val="18"/>
              </w:rPr>
              <w:t>12.39</w:t>
            </w:r>
          </w:p>
        </w:tc>
        <w:tc>
          <w:tcPr>
            <w:tcW w:w="93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9C85A21" w14:textId="77777777" w:rsidR="00370BA6" w:rsidRDefault="00000000">
            <w:pPr>
              <w:jc w:val="center"/>
            </w:pPr>
            <w:r>
              <w:rPr>
                <w:color w:val="000000"/>
                <w:sz w:val="18"/>
                <w:szCs w:val="18"/>
              </w:rPr>
              <w:t>11.94</w:t>
            </w:r>
          </w:p>
        </w:tc>
        <w:tc>
          <w:tcPr>
            <w:tcW w:w="936"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263677AF" w14:textId="77777777" w:rsidR="00370BA6" w:rsidRDefault="00000000">
            <w:pPr>
              <w:jc w:val="center"/>
            </w:pPr>
            <w:r>
              <w:rPr>
                <w:color w:val="000000"/>
                <w:sz w:val="18"/>
                <w:szCs w:val="18"/>
              </w:rPr>
              <w:t>12.20</w:t>
            </w:r>
          </w:p>
        </w:tc>
        <w:tc>
          <w:tcPr>
            <w:tcW w:w="93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29A4A4C" w14:textId="77777777" w:rsidR="00370BA6" w:rsidRDefault="00000000">
            <w:pPr>
              <w:jc w:val="center"/>
            </w:pPr>
            <w:r>
              <w:rPr>
                <w:color w:val="000000"/>
                <w:sz w:val="18"/>
                <w:szCs w:val="18"/>
              </w:rPr>
              <w:t>11.04</w:t>
            </w:r>
          </w:p>
        </w:tc>
        <w:tc>
          <w:tcPr>
            <w:tcW w:w="936"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4420F14B" w14:textId="77777777" w:rsidR="00370BA6" w:rsidRDefault="00000000">
            <w:pPr>
              <w:jc w:val="center"/>
            </w:pPr>
            <w:r>
              <w:rPr>
                <w:color w:val="000000"/>
                <w:sz w:val="18"/>
                <w:szCs w:val="18"/>
              </w:rPr>
              <w:t>0.746</w:t>
            </w:r>
          </w:p>
        </w:tc>
        <w:tc>
          <w:tcPr>
            <w:tcW w:w="93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ED5A01D" w14:textId="77777777" w:rsidR="00370BA6" w:rsidRDefault="00000000">
            <w:pPr>
              <w:jc w:val="center"/>
            </w:pPr>
            <w:r>
              <w:rPr>
                <w:color w:val="000000"/>
                <w:sz w:val="18"/>
                <w:szCs w:val="18"/>
              </w:rPr>
              <w:t>54.0</w:t>
            </w:r>
          </w:p>
        </w:tc>
      </w:tr>
      <w:tr w:rsidR="00370BA6" w14:paraId="697B9D51" w14:textId="77777777">
        <w:tblPrEx>
          <w:tblCellMar>
            <w:top w:w="0" w:type="dxa"/>
            <w:bottom w:w="0" w:type="dxa"/>
          </w:tblCellMar>
        </w:tblPrEx>
        <w:tc>
          <w:tcPr>
            <w:tcW w:w="936"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6B8CB3F1" w14:textId="77777777" w:rsidR="00370BA6" w:rsidRDefault="00000000">
            <w:pPr>
              <w:jc w:val="center"/>
            </w:pPr>
            <w:r>
              <w:rPr>
                <w:color w:val="000000"/>
                <w:sz w:val="18"/>
                <w:szCs w:val="18"/>
              </w:rPr>
              <w:t>DFW</w:t>
            </w:r>
          </w:p>
        </w:tc>
        <w:tc>
          <w:tcPr>
            <w:tcW w:w="93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FE00549" w14:textId="77777777" w:rsidR="00370BA6" w:rsidRDefault="00000000">
            <w:pPr>
              <w:jc w:val="center"/>
            </w:pPr>
            <w:r>
              <w:rPr>
                <w:color w:val="000000"/>
                <w:sz w:val="18"/>
                <w:szCs w:val="18"/>
              </w:rPr>
              <w:t>16.87</w:t>
            </w:r>
          </w:p>
        </w:tc>
        <w:tc>
          <w:tcPr>
            <w:tcW w:w="936"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2037882E" w14:textId="77777777" w:rsidR="00370BA6" w:rsidRDefault="00000000">
            <w:pPr>
              <w:jc w:val="center"/>
            </w:pPr>
            <w:r>
              <w:rPr>
                <w:color w:val="000000"/>
                <w:sz w:val="18"/>
                <w:szCs w:val="18"/>
              </w:rPr>
              <w:t>18.34</w:t>
            </w:r>
          </w:p>
        </w:tc>
        <w:tc>
          <w:tcPr>
            <w:tcW w:w="93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D700B34" w14:textId="77777777" w:rsidR="00370BA6" w:rsidRDefault="00000000">
            <w:pPr>
              <w:jc w:val="center"/>
            </w:pPr>
            <w:r>
              <w:rPr>
                <w:color w:val="000000"/>
                <w:sz w:val="18"/>
                <w:szCs w:val="18"/>
              </w:rPr>
              <w:t>18.70</w:t>
            </w:r>
          </w:p>
        </w:tc>
        <w:tc>
          <w:tcPr>
            <w:tcW w:w="936"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1E6A901A" w14:textId="77777777" w:rsidR="00370BA6" w:rsidRDefault="00000000">
            <w:pPr>
              <w:jc w:val="center"/>
            </w:pPr>
            <w:r>
              <w:rPr>
                <w:color w:val="000000"/>
                <w:sz w:val="18"/>
                <w:szCs w:val="18"/>
              </w:rPr>
              <w:t>22.66</w:t>
            </w:r>
          </w:p>
        </w:tc>
        <w:tc>
          <w:tcPr>
            <w:tcW w:w="93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926F07C" w14:textId="77777777" w:rsidR="00370BA6" w:rsidRDefault="00000000">
            <w:pPr>
              <w:jc w:val="center"/>
            </w:pPr>
            <w:r>
              <w:rPr>
                <w:color w:val="000000"/>
                <w:sz w:val="18"/>
                <w:szCs w:val="18"/>
              </w:rPr>
              <w:t>25.46</w:t>
            </w:r>
          </w:p>
        </w:tc>
        <w:tc>
          <w:tcPr>
            <w:tcW w:w="936"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65E4CA58" w14:textId="77777777" w:rsidR="00370BA6" w:rsidRDefault="00000000">
            <w:pPr>
              <w:jc w:val="center"/>
            </w:pPr>
            <w:r>
              <w:rPr>
                <w:color w:val="000000"/>
                <w:sz w:val="18"/>
                <w:szCs w:val="18"/>
              </w:rPr>
              <w:t>18.96</w:t>
            </w:r>
          </w:p>
        </w:tc>
        <w:tc>
          <w:tcPr>
            <w:tcW w:w="93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5337135" w14:textId="77777777" w:rsidR="00370BA6" w:rsidRDefault="00000000">
            <w:pPr>
              <w:jc w:val="center"/>
            </w:pPr>
            <w:r>
              <w:rPr>
                <w:color w:val="000000"/>
                <w:sz w:val="18"/>
                <w:szCs w:val="18"/>
              </w:rPr>
              <w:t>18.30</w:t>
            </w:r>
          </w:p>
        </w:tc>
        <w:tc>
          <w:tcPr>
            <w:tcW w:w="936"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718AAC8F" w14:textId="77777777" w:rsidR="00370BA6" w:rsidRDefault="00000000">
            <w:pPr>
              <w:jc w:val="center"/>
            </w:pPr>
            <w:r>
              <w:rPr>
                <w:color w:val="000000"/>
                <w:sz w:val="18"/>
                <w:szCs w:val="18"/>
              </w:rPr>
              <w:t>0.789</w:t>
            </w:r>
          </w:p>
        </w:tc>
        <w:tc>
          <w:tcPr>
            <w:tcW w:w="93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00ACD87" w14:textId="77777777" w:rsidR="00370BA6" w:rsidRDefault="00000000">
            <w:pPr>
              <w:jc w:val="center"/>
            </w:pPr>
            <w:r>
              <w:rPr>
                <w:color w:val="000000"/>
                <w:sz w:val="18"/>
                <w:szCs w:val="18"/>
              </w:rPr>
              <w:t>92.1</w:t>
            </w:r>
          </w:p>
        </w:tc>
      </w:tr>
      <w:tr w:rsidR="00370BA6" w14:paraId="48EE9395" w14:textId="77777777">
        <w:tblPrEx>
          <w:tblCellMar>
            <w:top w:w="0" w:type="dxa"/>
            <w:bottom w:w="0" w:type="dxa"/>
          </w:tblCellMar>
        </w:tblPrEx>
        <w:tc>
          <w:tcPr>
            <w:tcW w:w="936"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464F0E35" w14:textId="77777777" w:rsidR="00370BA6" w:rsidRDefault="00000000">
            <w:pPr>
              <w:jc w:val="center"/>
            </w:pPr>
            <w:r>
              <w:rPr>
                <w:color w:val="000000"/>
                <w:sz w:val="18"/>
                <w:szCs w:val="18"/>
              </w:rPr>
              <w:t>ORD</w:t>
            </w:r>
          </w:p>
        </w:tc>
        <w:tc>
          <w:tcPr>
            <w:tcW w:w="93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1E0E2AA" w14:textId="77777777" w:rsidR="00370BA6" w:rsidRDefault="00000000">
            <w:pPr>
              <w:jc w:val="center"/>
            </w:pPr>
            <w:r>
              <w:rPr>
                <w:color w:val="000000"/>
                <w:sz w:val="18"/>
                <w:szCs w:val="18"/>
              </w:rPr>
              <w:t>11.84</w:t>
            </w:r>
          </w:p>
        </w:tc>
        <w:tc>
          <w:tcPr>
            <w:tcW w:w="936"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0B6484AE" w14:textId="77777777" w:rsidR="00370BA6" w:rsidRDefault="00000000">
            <w:pPr>
              <w:jc w:val="center"/>
            </w:pPr>
            <w:r>
              <w:rPr>
                <w:color w:val="000000"/>
                <w:sz w:val="18"/>
                <w:szCs w:val="18"/>
              </w:rPr>
              <w:t>11.98</w:t>
            </w:r>
          </w:p>
        </w:tc>
        <w:tc>
          <w:tcPr>
            <w:tcW w:w="93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A42B06C" w14:textId="77777777" w:rsidR="00370BA6" w:rsidRDefault="00000000">
            <w:pPr>
              <w:jc w:val="center"/>
            </w:pPr>
            <w:r>
              <w:rPr>
                <w:color w:val="000000"/>
                <w:sz w:val="18"/>
                <w:szCs w:val="18"/>
              </w:rPr>
              <w:t>13.03</w:t>
            </w:r>
          </w:p>
        </w:tc>
        <w:tc>
          <w:tcPr>
            <w:tcW w:w="936"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5B76F553" w14:textId="77777777" w:rsidR="00370BA6" w:rsidRDefault="00000000">
            <w:pPr>
              <w:jc w:val="center"/>
            </w:pPr>
            <w:r>
              <w:rPr>
                <w:color w:val="000000"/>
                <w:sz w:val="18"/>
                <w:szCs w:val="18"/>
              </w:rPr>
              <w:t>13.04</w:t>
            </w:r>
          </w:p>
        </w:tc>
        <w:tc>
          <w:tcPr>
            <w:tcW w:w="93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DAE6609" w14:textId="77777777" w:rsidR="00370BA6" w:rsidRDefault="00000000">
            <w:pPr>
              <w:jc w:val="center"/>
            </w:pPr>
            <w:r>
              <w:rPr>
                <w:color w:val="000000"/>
                <w:sz w:val="18"/>
                <w:szCs w:val="18"/>
              </w:rPr>
              <w:t>12.82</w:t>
            </w:r>
          </w:p>
        </w:tc>
        <w:tc>
          <w:tcPr>
            <w:tcW w:w="936"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268D7543" w14:textId="77777777" w:rsidR="00370BA6" w:rsidRDefault="00000000">
            <w:pPr>
              <w:jc w:val="center"/>
            </w:pPr>
            <w:r>
              <w:rPr>
                <w:color w:val="000000"/>
                <w:sz w:val="18"/>
                <w:szCs w:val="18"/>
              </w:rPr>
              <w:t>12.59</w:t>
            </w:r>
          </w:p>
        </w:tc>
        <w:tc>
          <w:tcPr>
            <w:tcW w:w="93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BD846E9" w14:textId="77777777" w:rsidR="00370BA6" w:rsidRDefault="00000000">
            <w:pPr>
              <w:jc w:val="center"/>
            </w:pPr>
            <w:r>
              <w:rPr>
                <w:color w:val="000000"/>
                <w:sz w:val="18"/>
                <w:szCs w:val="18"/>
              </w:rPr>
              <w:t>12.88</w:t>
            </w:r>
          </w:p>
        </w:tc>
        <w:tc>
          <w:tcPr>
            <w:tcW w:w="936"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53251BA1" w14:textId="77777777" w:rsidR="00370BA6" w:rsidRDefault="00000000">
            <w:pPr>
              <w:jc w:val="center"/>
            </w:pPr>
            <w:r>
              <w:rPr>
                <w:color w:val="000000"/>
                <w:sz w:val="18"/>
                <w:szCs w:val="18"/>
              </w:rPr>
              <w:t>0.852</w:t>
            </w:r>
          </w:p>
        </w:tc>
        <w:tc>
          <w:tcPr>
            <w:tcW w:w="93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1A1D82A" w14:textId="77777777" w:rsidR="00370BA6" w:rsidRDefault="00000000">
            <w:pPr>
              <w:jc w:val="center"/>
            </w:pPr>
            <w:r>
              <w:rPr>
                <w:color w:val="000000"/>
                <w:sz w:val="18"/>
                <w:szCs w:val="18"/>
              </w:rPr>
              <w:t>63.1</w:t>
            </w:r>
          </w:p>
        </w:tc>
      </w:tr>
      <w:tr w:rsidR="00370BA6" w14:paraId="7545BBAB" w14:textId="77777777">
        <w:tblPrEx>
          <w:tblCellMar>
            <w:top w:w="0" w:type="dxa"/>
            <w:bottom w:w="0" w:type="dxa"/>
          </w:tblCellMar>
        </w:tblPrEx>
        <w:tc>
          <w:tcPr>
            <w:tcW w:w="936"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03A08A2F" w14:textId="77777777" w:rsidR="00370BA6" w:rsidRDefault="00000000">
            <w:pPr>
              <w:jc w:val="center"/>
            </w:pPr>
            <w:r>
              <w:rPr>
                <w:color w:val="000000"/>
                <w:sz w:val="18"/>
                <w:szCs w:val="18"/>
              </w:rPr>
              <w:t>CLT</w:t>
            </w:r>
          </w:p>
        </w:tc>
        <w:tc>
          <w:tcPr>
            <w:tcW w:w="93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0E1D264" w14:textId="77777777" w:rsidR="00370BA6" w:rsidRDefault="00000000">
            <w:pPr>
              <w:jc w:val="center"/>
            </w:pPr>
            <w:r>
              <w:rPr>
                <w:color w:val="000000"/>
                <w:sz w:val="18"/>
                <w:szCs w:val="18"/>
              </w:rPr>
              <w:t>10.81</w:t>
            </w:r>
          </w:p>
        </w:tc>
        <w:tc>
          <w:tcPr>
            <w:tcW w:w="936"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32510B57" w14:textId="77777777" w:rsidR="00370BA6" w:rsidRDefault="00000000">
            <w:pPr>
              <w:jc w:val="center"/>
            </w:pPr>
            <w:r>
              <w:rPr>
                <w:color w:val="000000"/>
                <w:sz w:val="18"/>
                <w:szCs w:val="18"/>
              </w:rPr>
              <w:t>12.24</w:t>
            </w:r>
          </w:p>
        </w:tc>
        <w:tc>
          <w:tcPr>
            <w:tcW w:w="93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A2CC73E" w14:textId="77777777" w:rsidR="00370BA6" w:rsidRDefault="00000000">
            <w:pPr>
              <w:jc w:val="center"/>
            </w:pPr>
            <w:r>
              <w:rPr>
                <w:color w:val="000000"/>
                <w:sz w:val="18"/>
                <w:szCs w:val="18"/>
              </w:rPr>
              <w:t>13.92</w:t>
            </w:r>
          </w:p>
        </w:tc>
        <w:tc>
          <w:tcPr>
            <w:tcW w:w="936"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52E49008" w14:textId="77777777" w:rsidR="00370BA6" w:rsidRDefault="00000000">
            <w:pPr>
              <w:jc w:val="center"/>
            </w:pPr>
            <w:r>
              <w:rPr>
                <w:color w:val="000000"/>
                <w:sz w:val="18"/>
                <w:szCs w:val="18"/>
              </w:rPr>
              <w:t>15.36</w:t>
            </w:r>
          </w:p>
        </w:tc>
        <w:tc>
          <w:tcPr>
            <w:tcW w:w="93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5765C13" w14:textId="77777777" w:rsidR="00370BA6" w:rsidRDefault="00000000">
            <w:pPr>
              <w:jc w:val="center"/>
            </w:pPr>
            <w:r>
              <w:rPr>
                <w:color w:val="000000"/>
                <w:sz w:val="18"/>
                <w:szCs w:val="18"/>
              </w:rPr>
              <w:t>15.49</w:t>
            </w:r>
          </w:p>
        </w:tc>
        <w:tc>
          <w:tcPr>
            <w:tcW w:w="936"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48B6FE39" w14:textId="77777777" w:rsidR="00370BA6" w:rsidRDefault="00000000">
            <w:pPr>
              <w:jc w:val="center"/>
            </w:pPr>
            <w:r>
              <w:rPr>
                <w:color w:val="000000"/>
                <w:sz w:val="18"/>
                <w:szCs w:val="18"/>
              </w:rPr>
              <w:t>13.80</w:t>
            </w:r>
          </w:p>
        </w:tc>
        <w:tc>
          <w:tcPr>
            <w:tcW w:w="93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F43A8D3" w14:textId="77777777" w:rsidR="00370BA6" w:rsidRDefault="00000000">
            <w:pPr>
              <w:jc w:val="center"/>
            </w:pPr>
            <w:r>
              <w:rPr>
                <w:color w:val="000000"/>
                <w:sz w:val="18"/>
                <w:szCs w:val="18"/>
              </w:rPr>
              <w:t>13.42</w:t>
            </w:r>
          </w:p>
        </w:tc>
        <w:tc>
          <w:tcPr>
            <w:tcW w:w="936"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51B07181" w14:textId="77777777" w:rsidR="00370BA6" w:rsidRDefault="00000000">
            <w:pPr>
              <w:jc w:val="center"/>
            </w:pPr>
            <w:r>
              <w:rPr>
                <w:color w:val="000000"/>
                <w:sz w:val="18"/>
                <w:szCs w:val="18"/>
              </w:rPr>
              <w:t>0.821</w:t>
            </w:r>
          </w:p>
        </w:tc>
        <w:tc>
          <w:tcPr>
            <w:tcW w:w="93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8FF4D4F" w14:textId="77777777" w:rsidR="00370BA6" w:rsidRDefault="00000000">
            <w:pPr>
              <w:jc w:val="center"/>
            </w:pPr>
            <w:r>
              <w:rPr>
                <w:color w:val="000000"/>
                <w:sz w:val="18"/>
                <w:szCs w:val="18"/>
              </w:rPr>
              <w:t>67.6</w:t>
            </w:r>
          </w:p>
        </w:tc>
      </w:tr>
      <w:tr w:rsidR="00370BA6" w14:paraId="2F6C7E38" w14:textId="77777777">
        <w:tblPrEx>
          <w:tblCellMar>
            <w:top w:w="0" w:type="dxa"/>
            <w:bottom w:w="0" w:type="dxa"/>
          </w:tblCellMar>
        </w:tblPrEx>
        <w:tc>
          <w:tcPr>
            <w:tcW w:w="936"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0F3D8596" w14:textId="77777777" w:rsidR="00370BA6" w:rsidRDefault="00000000">
            <w:pPr>
              <w:jc w:val="center"/>
            </w:pPr>
            <w:r>
              <w:rPr>
                <w:color w:val="000000"/>
                <w:sz w:val="18"/>
                <w:szCs w:val="18"/>
              </w:rPr>
              <w:t>LAX</w:t>
            </w:r>
          </w:p>
        </w:tc>
        <w:tc>
          <w:tcPr>
            <w:tcW w:w="93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63A85B6" w14:textId="77777777" w:rsidR="00370BA6" w:rsidRDefault="00000000">
            <w:pPr>
              <w:jc w:val="center"/>
            </w:pPr>
            <w:r>
              <w:rPr>
                <w:color w:val="000000"/>
                <w:sz w:val="18"/>
                <w:szCs w:val="18"/>
              </w:rPr>
              <w:t>4.94</w:t>
            </w:r>
          </w:p>
        </w:tc>
        <w:tc>
          <w:tcPr>
            <w:tcW w:w="936"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4E287620" w14:textId="77777777" w:rsidR="00370BA6" w:rsidRDefault="00000000">
            <w:pPr>
              <w:jc w:val="center"/>
            </w:pPr>
            <w:r>
              <w:rPr>
                <w:color w:val="000000"/>
                <w:sz w:val="18"/>
                <w:szCs w:val="18"/>
              </w:rPr>
              <w:t>5.09</w:t>
            </w:r>
          </w:p>
        </w:tc>
        <w:tc>
          <w:tcPr>
            <w:tcW w:w="93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1488FC2" w14:textId="77777777" w:rsidR="00370BA6" w:rsidRDefault="00000000">
            <w:pPr>
              <w:jc w:val="center"/>
            </w:pPr>
            <w:r>
              <w:rPr>
                <w:color w:val="000000"/>
                <w:sz w:val="18"/>
                <w:szCs w:val="18"/>
              </w:rPr>
              <w:t>5.66</w:t>
            </w:r>
          </w:p>
        </w:tc>
        <w:tc>
          <w:tcPr>
            <w:tcW w:w="936"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57BFA8B1" w14:textId="77777777" w:rsidR="00370BA6" w:rsidRDefault="00000000">
            <w:pPr>
              <w:jc w:val="center"/>
            </w:pPr>
            <w:r>
              <w:rPr>
                <w:color w:val="000000"/>
                <w:sz w:val="18"/>
                <w:szCs w:val="18"/>
              </w:rPr>
              <w:t>6.51</w:t>
            </w:r>
          </w:p>
        </w:tc>
        <w:tc>
          <w:tcPr>
            <w:tcW w:w="93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EB77660" w14:textId="77777777" w:rsidR="00370BA6" w:rsidRDefault="00000000">
            <w:pPr>
              <w:jc w:val="center"/>
            </w:pPr>
            <w:r>
              <w:rPr>
                <w:color w:val="000000"/>
                <w:sz w:val="18"/>
                <w:szCs w:val="18"/>
              </w:rPr>
              <w:t>6.50</w:t>
            </w:r>
          </w:p>
        </w:tc>
        <w:tc>
          <w:tcPr>
            <w:tcW w:w="936"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0F4531A5" w14:textId="77777777" w:rsidR="00370BA6" w:rsidRDefault="00000000">
            <w:pPr>
              <w:jc w:val="center"/>
            </w:pPr>
            <w:r>
              <w:rPr>
                <w:color w:val="000000"/>
                <w:sz w:val="18"/>
                <w:szCs w:val="18"/>
              </w:rPr>
              <w:t>5.42</w:t>
            </w:r>
          </w:p>
        </w:tc>
        <w:tc>
          <w:tcPr>
            <w:tcW w:w="93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C8E48A7" w14:textId="77777777" w:rsidR="00370BA6" w:rsidRDefault="00000000">
            <w:pPr>
              <w:jc w:val="center"/>
            </w:pPr>
            <w:r>
              <w:rPr>
                <w:color w:val="000000"/>
                <w:sz w:val="18"/>
                <w:szCs w:val="18"/>
              </w:rPr>
              <w:t>6.28</w:t>
            </w:r>
          </w:p>
        </w:tc>
        <w:tc>
          <w:tcPr>
            <w:tcW w:w="936"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298613F9" w14:textId="77777777" w:rsidR="00370BA6" w:rsidRDefault="00000000">
            <w:pPr>
              <w:jc w:val="center"/>
            </w:pPr>
            <w:r>
              <w:rPr>
                <w:color w:val="000000"/>
                <w:sz w:val="18"/>
                <w:szCs w:val="18"/>
              </w:rPr>
              <w:t>0.718</w:t>
            </w:r>
          </w:p>
        </w:tc>
        <w:tc>
          <w:tcPr>
            <w:tcW w:w="93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7B9011D" w14:textId="77777777" w:rsidR="00370BA6" w:rsidRDefault="00000000">
            <w:pPr>
              <w:jc w:val="center"/>
            </w:pPr>
            <w:r>
              <w:rPr>
                <w:color w:val="000000"/>
                <w:sz w:val="18"/>
                <w:szCs w:val="18"/>
              </w:rPr>
              <w:t>29.7</w:t>
            </w:r>
          </w:p>
        </w:tc>
      </w:tr>
      <w:tr w:rsidR="00370BA6" w14:paraId="49765B7E" w14:textId="77777777">
        <w:tblPrEx>
          <w:tblCellMar>
            <w:top w:w="0" w:type="dxa"/>
            <w:bottom w:w="0" w:type="dxa"/>
          </w:tblCellMar>
        </w:tblPrEx>
        <w:tc>
          <w:tcPr>
            <w:tcW w:w="936"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7032E529" w14:textId="77777777" w:rsidR="00370BA6" w:rsidRDefault="00000000">
            <w:pPr>
              <w:jc w:val="center"/>
            </w:pPr>
            <w:r>
              <w:rPr>
                <w:color w:val="000000"/>
                <w:sz w:val="18"/>
                <w:szCs w:val="18"/>
              </w:rPr>
              <w:t>PHX</w:t>
            </w:r>
          </w:p>
        </w:tc>
        <w:tc>
          <w:tcPr>
            <w:tcW w:w="93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B8E4649" w14:textId="77777777" w:rsidR="00370BA6" w:rsidRDefault="00000000">
            <w:pPr>
              <w:jc w:val="center"/>
            </w:pPr>
            <w:r>
              <w:rPr>
                <w:color w:val="000000"/>
                <w:sz w:val="18"/>
                <w:szCs w:val="18"/>
              </w:rPr>
              <w:t>5.25</w:t>
            </w:r>
          </w:p>
        </w:tc>
        <w:tc>
          <w:tcPr>
            <w:tcW w:w="936"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4C2B4A0B" w14:textId="77777777" w:rsidR="00370BA6" w:rsidRDefault="00000000">
            <w:pPr>
              <w:jc w:val="center"/>
            </w:pPr>
            <w:r>
              <w:rPr>
                <w:color w:val="000000"/>
                <w:sz w:val="18"/>
                <w:szCs w:val="18"/>
              </w:rPr>
              <w:t>4.98</w:t>
            </w:r>
          </w:p>
        </w:tc>
        <w:tc>
          <w:tcPr>
            <w:tcW w:w="93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3C454A6" w14:textId="77777777" w:rsidR="00370BA6" w:rsidRDefault="00000000">
            <w:pPr>
              <w:jc w:val="center"/>
            </w:pPr>
            <w:r>
              <w:rPr>
                <w:color w:val="000000"/>
                <w:sz w:val="18"/>
                <w:szCs w:val="18"/>
              </w:rPr>
              <w:t>5.59</w:t>
            </w:r>
          </w:p>
        </w:tc>
        <w:tc>
          <w:tcPr>
            <w:tcW w:w="936"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0DF0372E" w14:textId="77777777" w:rsidR="00370BA6" w:rsidRDefault="00000000">
            <w:pPr>
              <w:jc w:val="center"/>
            </w:pPr>
            <w:r>
              <w:rPr>
                <w:color w:val="000000"/>
                <w:sz w:val="18"/>
                <w:szCs w:val="18"/>
              </w:rPr>
              <w:t>4.90*</w:t>
            </w:r>
          </w:p>
        </w:tc>
        <w:tc>
          <w:tcPr>
            <w:tcW w:w="93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3818F24" w14:textId="77777777" w:rsidR="00370BA6" w:rsidRDefault="00000000">
            <w:pPr>
              <w:jc w:val="center"/>
            </w:pPr>
            <w:r>
              <w:rPr>
                <w:color w:val="000000"/>
                <w:sz w:val="18"/>
                <w:szCs w:val="18"/>
              </w:rPr>
              <w:t>4.94</w:t>
            </w:r>
          </w:p>
        </w:tc>
        <w:tc>
          <w:tcPr>
            <w:tcW w:w="936"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2C5D3118" w14:textId="77777777" w:rsidR="00370BA6" w:rsidRDefault="00000000">
            <w:pPr>
              <w:jc w:val="center"/>
            </w:pPr>
            <w:r>
              <w:rPr>
                <w:color w:val="000000"/>
                <w:sz w:val="18"/>
                <w:szCs w:val="18"/>
              </w:rPr>
              <w:t>5.27</w:t>
            </w:r>
          </w:p>
        </w:tc>
        <w:tc>
          <w:tcPr>
            <w:tcW w:w="93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E313778" w14:textId="77777777" w:rsidR="00370BA6" w:rsidRDefault="00000000">
            <w:pPr>
              <w:jc w:val="center"/>
            </w:pPr>
            <w:r>
              <w:rPr>
                <w:color w:val="000000"/>
                <w:sz w:val="18"/>
                <w:szCs w:val="18"/>
              </w:rPr>
              <w:t>5.25</w:t>
            </w:r>
          </w:p>
        </w:tc>
        <w:tc>
          <w:tcPr>
            <w:tcW w:w="936"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1129B097" w14:textId="77777777" w:rsidR="00370BA6" w:rsidRDefault="00000000">
            <w:pPr>
              <w:jc w:val="center"/>
            </w:pPr>
            <w:r>
              <w:rPr>
                <w:color w:val="000000"/>
                <w:sz w:val="18"/>
                <w:szCs w:val="18"/>
              </w:rPr>
              <w:t>0.855</w:t>
            </w:r>
          </w:p>
        </w:tc>
        <w:tc>
          <w:tcPr>
            <w:tcW w:w="93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7685AF7" w14:textId="77777777" w:rsidR="00370BA6" w:rsidRDefault="00000000">
            <w:pPr>
              <w:jc w:val="center"/>
            </w:pPr>
            <w:r>
              <w:rPr>
                <w:color w:val="000000"/>
                <w:sz w:val="18"/>
                <w:szCs w:val="18"/>
              </w:rPr>
              <w:t>23.2</w:t>
            </w:r>
          </w:p>
        </w:tc>
      </w:tr>
      <w:tr w:rsidR="00370BA6" w14:paraId="6697163A" w14:textId="77777777">
        <w:tblPrEx>
          <w:tblCellMar>
            <w:top w:w="0" w:type="dxa"/>
            <w:bottom w:w="0" w:type="dxa"/>
          </w:tblCellMar>
        </w:tblPrEx>
        <w:tc>
          <w:tcPr>
            <w:tcW w:w="936"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5CA0DF97" w14:textId="77777777" w:rsidR="00370BA6" w:rsidRDefault="00000000">
            <w:pPr>
              <w:jc w:val="center"/>
            </w:pPr>
            <w:r>
              <w:rPr>
                <w:color w:val="000000"/>
                <w:sz w:val="18"/>
                <w:szCs w:val="18"/>
              </w:rPr>
              <w:t>LAS</w:t>
            </w:r>
          </w:p>
        </w:tc>
        <w:tc>
          <w:tcPr>
            <w:tcW w:w="93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2AE967F" w14:textId="77777777" w:rsidR="00370BA6" w:rsidRDefault="00000000">
            <w:pPr>
              <w:jc w:val="center"/>
            </w:pPr>
            <w:r>
              <w:rPr>
                <w:color w:val="000000"/>
                <w:sz w:val="18"/>
                <w:szCs w:val="18"/>
              </w:rPr>
              <w:t>8.41</w:t>
            </w:r>
          </w:p>
        </w:tc>
        <w:tc>
          <w:tcPr>
            <w:tcW w:w="936"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1ED05C88" w14:textId="77777777" w:rsidR="00370BA6" w:rsidRDefault="00000000">
            <w:pPr>
              <w:jc w:val="center"/>
            </w:pPr>
            <w:r>
              <w:rPr>
                <w:color w:val="000000"/>
                <w:sz w:val="18"/>
                <w:szCs w:val="18"/>
              </w:rPr>
              <w:t>9.06</w:t>
            </w:r>
          </w:p>
        </w:tc>
        <w:tc>
          <w:tcPr>
            <w:tcW w:w="93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A7A9171" w14:textId="77777777" w:rsidR="00370BA6" w:rsidRDefault="00000000">
            <w:pPr>
              <w:jc w:val="center"/>
            </w:pPr>
            <w:r>
              <w:rPr>
                <w:color w:val="000000"/>
                <w:sz w:val="18"/>
                <w:szCs w:val="18"/>
              </w:rPr>
              <w:t>8.74</w:t>
            </w:r>
          </w:p>
        </w:tc>
        <w:tc>
          <w:tcPr>
            <w:tcW w:w="936"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0B2A7332" w14:textId="77777777" w:rsidR="00370BA6" w:rsidRDefault="00000000">
            <w:pPr>
              <w:jc w:val="center"/>
            </w:pPr>
            <w:r>
              <w:rPr>
                <w:color w:val="000000"/>
                <w:sz w:val="18"/>
                <w:szCs w:val="18"/>
              </w:rPr>
              <w:t>9.60</w:t>
            </w:r>
          </w:p>
        </w:tc>
        <w:tc>
          <w:tcPr>
            <w:tcW w:w="93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6920227" w14:textId="77777777" w:rsidR="00370BA6" w:rsidRDefault="00000000">
            <w:pPr>
              <w:jc w:val="center"/>
            </w:pPr>
            <w:r>
              <w:rPr>
                <w:color w:val="000000"/>
                <w:sz w:val="18"/>
                <w:szCs w:val="18"/>
              </w:rPr>
              <w:t>9.59</w:t>
            </w:r>
          </w:p>
        </w:tc>
        <w:tc>
          <w:tcPr>
            <w:tcW w:w="936"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5A698CD3" w14:textId="77777777" w:rsidR="00370BA6" w:rsidRDefault="00000000">
            <w:pPr>
              <w:jc w:val="center"/>
            </w:pPr>
            <w:r>
              <w:rPr>
                <w:color w:val="000000"/>
                <w:sz w:val="18"/>
                <w:szCs w:val="18"/>
              </w:rPr>
              <w:t>8.91</w:t>
            </w:r>
          </w:p>
        </w:tc>
        <w:tc>
          <w:tcPr>
            <w:tcW w:w="93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E4C61D5" w14:textId="77777777" w:rsidR="00370BA6" w:rsidRDefault="00000000">
            <w:pPr>
              <w:jc w:val="center"/>
            </w:pPr>
            <w:r>
              <w:rPr>
                <w:color w:val="000000"/>
                <w:sz w:val="18"/>
                <w:szCs w:val="18"/>
              </w:rPr>
              <w:t>8.32</w:t>
            </w:r>
          </w:p>
        </w:tc>
        <w:tc>
          <w:tcPr>
            <w:tcW w:w="936"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7351E06C" w14:textId="77777777" w:rsidR="00370BA6" w:rsidRDefault="00000000">
            <w:pPr>
              <w:jc w:val="center"/>
            </w:pPr>
            <w:r>
              <w:rPr>
                <w:color w:val="000000"/>
                <w:sz w:val="18"/>
                <w:szCs w:val="18"/>
              </w:rPr>
              <w:t>0.801</w:t>
            </w:r>
          </w:p>
        </w:tc>
        <w:tc>
          <w:tcPr>
            <w:tcW w:w="93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71B8A58" w14:textId="77777777" w:rsidR="00370BA6" w:rsidRDefault="00000000">
            <w:pPr>
              <w:jc w:val="center"/>
            </w:pPr>
            <w:r>
              <w:rPr>
                <w:color w:val="000000"/>
                <w:sz w:val="18"/>
                <w:szCs w:val="18"/>
              </w:rPr>
              <w:t>37.0</w:t>
            </w:r>
          </w:p>
        </w:tc>
      </w:tr>
      <w:tr w:rsidR="00370BA6" w14:paraId="0F8219E6" w14:textId="77777777">
        <w:tblPrEx>
          <w:tblCellMar>
            <w:top w:w="0" w:type="dxa"/>
            <w:bottom w:w="0" w:type="dxa"/>
          </w:tblCellMar>
        </w:tblPrEx>
        <w:tc>
          <w:tcPr>
            <w:tcW w:w="936"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4D3C9B1E" w14:textId="77777777" w:rsidR="00370BA6" w:rsidRDefault="00000000">
            <w:pPr>
              <w:jc w:val="center"/>
            </w:pPr>
            <w:r>
              <w:rPr>
                <w:color w:val="000000"/>
                <w:sz w:val="18"/>
                <w:szCs w:val="18"/>
              </w:rPr>
              <w:t>SEA</w:t>
            </w:r>
          </w:p>
        </w:tc>
        <w:tc>
          <w:tcPr>
            <w:tcW w:w="93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917A4E4" w14:textId="77777777" w:rsidR="00370BA6" w:rsidRDefault="00000000">
            <w:pPr>
              <w:jc w:val="center"/>
            </w:pPr>
            <w:r>
              <w:rPr>
                <w:color w:val="000000"/>
                <w:sz w:val="18"/>
                <w:szCs w:val="18"/>
              </w:rPr>
              <w:t>4.85</w:t>
            </w:r>
          </w:p>
        </w:tc>
        <w:tc>
          <w:tcPr>
            <w:tcW w:w="936"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0B1D9440" w14:textId="77777777" w:rsidR="00370BA6" w:rsidRDefault="00000000">
            <w:pPr>
              <w:jc w:val="center"/>
            </w:pPr>
            <w:r>
              <w:rPr>
                <w:color w:val="000000"/>
                <w:sz w:val="18"/>
                <w:szCs w:val="18"/>
              </w:rPr>
              <w:t>4.97</w:t>
            </w:r>
          </w:p>
        </w:tc>
        <w:tc>
          <w:tcPr>
            <w:tcW w:w="93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8CD116D" w14:textId="77777777" w:rsidR="00370BA6" w:rsidRDefault="00000000">
            <w:pPr>
              <w:jc w:val="center"/>
            </w:pPr>
            <w:r>
              <w:rPr>
                <w:color w:val="000000"/>
                <w:sz w:val="18"/>
                <w:szCs w:val="18"/>
              </w:rPr>
              <w:t>5.12</w:t>
            </w:r>
          </w:p>
        </w:tc>
        <w:tc>
          <w:tcPr>
            <w:tcW w:w="936"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3E224296" w14:textId="77777777" w:rsidR="00370BA6" w:rsidRDefault="00000000">
            <w:pPr>
              <w:jc w:val="center"/>
            </w:pPr>
            <w:r>
              <w:rPr>
                <w:color w:val="000000"/>
                <w:sz w:val="18"/>
                <w:szCs w:val="18"/>
              </w:rPr>
              <w:t>5.57</w:t>
            </w:r>
          </w:p>
        </w:tc>
        <w:tc>
          <w:tcPr>
            <w:tcW w:w="93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36152FA" w14:textId="77777777" w:rsidR="00370BA6" w:rsidRDefault="00000000">
            <w:pPr>
              <w:jc w:val="center"/>
            </w:pPr>
            <w:r>
              <w:rPr>
                <w:color w:val="000000"/>
                <w:sz w:val="18"/>
                <w:szCs w:val="18"/>
              </w:rPr>
              <w:t>5.60</w:t>
            </w:r>
          </w:p>
        </w:tc>
        <w:tc>
          <w:tcPr>
            <w:tcW w:w="936"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07B91C89" w14:textId="77777777" w:rsidR="00370BA6" w:rsidRDefault="00000000">
            <w:pPr>
              <w:jc w:val="center"/>
            </w:pPr>
            <w:r>
              <w:rPr>
                <w:color w:val="000000"/>
                <w:sz w:val="18"/>
                <w:szCs w:val="18"/>
              </w:rPr>
              <w:t>4.99</w:t>
            </w:r>
          </w:p>
        </w:tc>
        <w:tc>
          <w:tcPr>
            <w:tcW w:w="93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38873D5" w14:textId="77777777" w:rsidR="00370BA6" w:rsidRDefault="00000000">
            <w:pPr>
              <w:jc w:val="center"/>
            </w:pPr>
            <w:r>
              <w:rPr>
                <w:color w:val="000000"/>
                <w:sz w:val="18"/>
                <w:szCs w:val="18"/>
              </w:rPr>
              <w:t>5.28</w:t>
            </w:r>
          </w:p>
        </w:tc>
        <w:tc>
          <w:tcPr>
            <w:tcW w:w="936"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04D097D6" w14:textId="77777777" w:rsidR="00370BA6" w:rsidRDefault="00000000">
            <w:pPr>
              <w:jc w:val="center"/>
            </w:pPr>
            <w:r>
              <w:rPr>
                <w:color w:val="000000"/>
                <w:sz w:val="18"/>
                <w:szCs w:val="18"/>
              </w:rPr>
              <w:t>0.795</w:t>
            </w:r>
          </w:p>
        </w:tc>
        <w:tc>
          <w:tcPr>
            <w:tcW w:w="93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15D9DF8" w14:textId="77777777" w:rsidR="00370BA6" w:rsidRDefault="00000000">
            <w:pPr>
              <w:jc w:val="center"/>
            </w:pPr>
            <w:r>
              <w:rPr>
                <w:color w:val="000000"/>
                <w:sz w:val="18"/>
                <w:szCs w:val="18"/>
              </w:rPr>
              <w:t>24.6</w:t>
            </w:r>
          </w:p>
        </w:tc>
      </w:tr>
      <w:tr w:rsidR="00370BA6" w14:paraId="3D56B2C8" w14:textId="77777777">
        <w:tblPrEx>
          <w:tblCellMar>
            <w:top w:w="0" w:type="dxa"/>
            <w:bottom w:w="0" w:type="dxa"/>
          </w:tblCellMar>
        </w:tblPrEx>
        <w:tc>
          <w:tcPr>
            <w:tcW w:w="936"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0D284820" w14:textId="77777777" w:rsidR="00370BA6" w:rsidRDefault="00000000">
            <w:pPr>
              <w:jc w:val="center"/>
            </w:pPr>
            <w:r>
              <w:rPr>
                <w:color w:val="000000"/>
                <w:sz w:val="18"/>
                <w:szCs w:val="18"/>
              </w:rPr>
              <w:t>MCO</w:t>
            </w:r>
          </w:p>
        </w:tc>
        <w:tc>
          <w:tcPr>
            <w:tcW w:w="93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D63B69C" w14:textId="77777777" w:rsidR="00370BA6" w:rsidRDefault="00000000">
            <w:pPr>
              <w:jc w:val="center"/>
            </w:pPr>
            <w:r>
              <w:rPr>
                <w:color w:val="000000"/>
                <w:sz w:val="18"/>
                <w:szCs w:val="18"/>
              </w:rPr>
              <w:t>10.75</w:t>
            </w:r>
          </w:p>
        </w:tc>
        <w:tc>
          <w:tcPr>
            <w:tcW w:w="936"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55616759" w14:textId="77777777" w:rsidR="00370BA6" w:rsidRDefault="00000000">
            <w:pPr>
              <w:jc w:val="center"/>
            </w:pPr>
            <w:r>
              <w:rPr>
                <w:color w:val="000000"/>
                <w:sz w:val="18"/>
                <w:szCs w:val="18"/>
              </w:rPr>
              <w:t>12.11</w:t>
            </w:r>
          </w:p>
        </w:tc>
        <w:tc>
          <w:tcPr>
            <w:tcW w:w="93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4C691A8" w14:textId="77777777" w:rsidR="00370BA6" w:rsidRDefault="00000000">
            <w:pPr>
              <w:jc w:val="center"/>
            </w:pPr>
            <w:r>
              <w:rPr>
                <w:color w:val="000000"/>
                <w:sz w:val="18"/>
                <w:szCs w:val="18"/>
              </w:rPr>
              <w:t>12.65</w:t>
            </w:r>
          </w:p>
        </w:tc>
        <w:tc>
          <w:tcPr>
            <w:tcW w:w="936"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20CEA915" w14:textId="77777777" w:rsidR="00370BA6" w:rsidRDefault="00000000">
            <w:pPr>
              <w:jc w:val="center"/>
            </w:pPr>
            <w:r>
              <w:rPr>
                <w:color w:val="000000"/>
                <w:sz w:val="18"/>
                <w:szCs w:val="18"/>
              </w:rPr>
              <w:t>14.46</w:t>
            </w:r>
          </w:p>
        </w:tc>
        <w:tc>
          <w:tcPr>
            <w:tcW w:w="93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339564F" w14:textId="77777777" w:rsidR="00370BA6" w:rsidRDefault="00000000">
            <w:pPr>
              <w:jc w:val="center"/>
            </w:pPr>
            <w:r>
              <w:rPr>
                <w:color w:val="000000"/>
                <w:sz w:val="18"/>
                <w:szCs w:val="18"/>
              </w:rPr>
              <w:t>14.14</w:t>
            </w:r>
          </w:p>
        </w:tc>
        <w:tc>
          <w:tcPr>
            <w:tcW w:w="936"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39B0D9B5" w14:textId="77777777" w:rsidR="00370BA6" w:rsidRDefault="00000000">
            <w:pPr>
              <w:jc w:val="center"/>
            </w:pPr>
            <w:r>
              <w:rPr>
                <w:color w:val="000000"/>
                <w:sz w:val="18"/>
                <w:szCs w:val="18"/>
              </w:rPr>
              <w:t>11.85</w:t>
            </w:r>
          </w:p>
        </w:tc>
        <w:tc>
          <w:tcPr>
            <w:tcW w:w="93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09CD9C2" w14:textId="77777777" w:rsidR="00370BA6" w:rsidRDefault="00000000">
            <w:pPr>
              <w:jc w:val="center"/>
            </w:pPr>
            <w:r>
              <w:rPr>
                <w:color w:val="000000"/>
                <w:sz w:val="18"/>
                <w:szCs w:val="18"/>
              </w:rPr>
              <w:t>11.64</w:t>
            </w:r>
          </w:p>
        </w:tc>
        <w:tc>
          <w:tcPr>
            <w:tcW w:w="936"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2C5ABB9F" w14:textId="77777777" w:rsidR="00370BA6" w:rsidRDefault="00000000">
            <w:pPr>
              <w:jc w:val="center"/>
            </w:pPr>
            <w:r>
              <w:rPr>
                <w:color w:val="000000"/>
                <w:sz w:val="18"/>
                <w:szCs w:val="18"/>
              </w:rPr>
              <w:t>0.729</w:t>
            </w:r>
          </w:p>
        </w:tc>
        <w:tc>
          <w:tcPr>
            <w:tcW w:w="93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FDC9BED" w14:textId="77777777" w:rsidR="00370BA6" w:rsidRDefault="00000000">
            <w:pPr>
              <w:jc w:val="center"/>
            </w:pPr>
            <w:r>
              <w:rPr>
                <w:color w:val="000000"/>
                <w:sz w:val="18"/>
                <w:szCs w:val="18"/>
              </w:rPr>
              <w:t>56.2</w:t>
            </w:r>
          </w:p>
        </w:tc>
      </w:tr>
    </w:tbl>
    <w:p w14:paraId="42157AC6" w14:textId="77777777" w:rsidR="00370BA6" w:rsidRDefault="00000000">
      <w:pPr>
        <w:spacing w:before="60" w:after="120"/>
        <w:jc w:val="center"/>
      </w:pPr>
      <w:r>
        <w:rPr>
          <w:color w:val="595959"/>
          <w:sz w:val="18"/>
          <w:szCs w:val="18"/>
        </w:rPr>
        <w:t>TABLE II — RMSE (minutes) and QRNN Probabilistic Metrics Across All Hub Airports. * = Champion model (PHX SARIMA RMSE 4.896 min).</w:t>
      </w:r>
    </w:p>
    <w:p w14:paraId="4D13C8C8" w14:textId="77777777" w:rsidR="00370BA6" w:rsidRDefault="00000000">
      <w:pPr>
        <w:spacing w:before="80" w:after="80" w:line="276" w:lineRule="auto"/>
        <w:ind w:firstLine="720"/>
        <w:jc w:val="both"/>
      </w:pPr>
      <w:r>
        <w:rPr>
          <w:color w:val="000000"/>
        </w:rPr>
        <w:t>QRNN PICP ranges from 0.718 (LAX) to 0.855 (PHX). No airport reaches the nominal 0.90 target, indicating that 150 training epochs with patience=20 is insufficient for full convergence, particularly at high-variance hubs (ATL, DFW) where extreme storm events exceed the training distribution. Temperature scaling closes approximately 50% of the calibration gap: airports with T &gt; 1.0 (ORD T=1.228, CLT T=1.307) show improved PICP relative to uncalibrated output. Winkler scores confirm that PHX (23.2) and SEA (24.6) achieve the sharpest intervals, while DFW (92.1) and ATL (83.1) reflect the difficulty of bounding high-variance thunderstorm-season delays.</w:t>
      </w:r>
    </w:p>
    <w:p w14:paraId="0B0A8C1B" w14:textId="77777777" w:rsidR="00370BA6" w:rsidRDefault="00000000">
      <w:pPr>
        <w:spacing w:before="140" w:after="80"/>
      </w:pPr>
      <w:r>
        <w:rPr>
          <w:b/>
          <w:bCs/>
          <w:color w:val="000000"/>
        </w:rPr>
        <w:t>C. RQ3: Cross-Airport Delay Propagation</w:t>
      </w:r>
    </w:p>
    <w:p w14:paraId="2EADAD6B" w14:textId="77777777" w:rsidR="00370BA6" w:rsidRDefault="00000000">
      <w:pPr>
        <w:spacing w:before="80" w:after="80" w:line="276" w:lineRule="auto"/>
        <w:ind w:firstLine="720"/>
        <w:jc w:val="both"/>
      </w:pPr>
      <w:r>
        <w:rPr>
          <w:color w:val="000000"/>
        </w:rPr>
        <w:t>Granger causality tests on daily aggregated delay series (lags 1, 2, 3, and 7 days; F-test with Bonferroni correction) yield 68 of 90 directed hub-pair relationships as statistically significant at p &lt; 0.05 (75.6%). The strongest causal relationships include DEN→ATL (lag 2d, p≈0), DFW→ATL (lag 1d, p≈0), DFW→CLT (lag 1d, p≈0), PHX→ATL (lag 2d, p≈0), and LAX→LAS (lag 2d, p≈0). The Granger causality strength matrix—measured as −log₁₀(p-value)—identifies DEN as the strongest causal hub, consistently predicting delays at ATL, DFW, LAX, MCO, and ORD.</w:t>
      </w:r>
    </w:p>
    <w:p w14:paraId="57E2B1E5" w14:textId="77777777" w:rsidR="00370BA6" w:rsidRDefault="00000000">
      <w:pPr>
        <w:spacing w:before="80" w:after="80" w:line="276" w:lineRule="auto"/>
        <w:ind w:firstLine="720"/>
        <w:jc w:val="both"/>
      </w:pPr>
      <w:r>
        <w:rPr>
          <w:color w:val="000000"/>
        </w:rPr>
        <w:t xml:space="preserve">Physical validation via tail-number aircraft chain analysis confirms the statistical findings. From 7,255,696 hub-filtered flight records representing 6,597 unique aircraft, 3,054,125 consecutive leg pairs are identified. Of the 793,941 pairs where the preceding leg incurred a departure delay exceeding 5 minutes, the mean carry-over fraction is 0.742 (median 0.685), meaning airlines absorb only 25.8% of delay during aircraft turnaround. Top airport pairs by carry-over fraction include </w:t>
      </w:r>
      <w:r>
        <w:rPr>
          <w:color w:val="000000"/>
        </w:rPr>
        <w:lastRenderedPageBreak/>
        <w:t>MCO→MCO (0.951), MCO→DEN (0.919), LAS→DEN (0.919), ATL→DEN (0.890), and PHX→DEN (0.881). Orlando (MCO) and Las Vegas (LAS) emerge as delay amplifiers—airports where delays consistently propagate forward—while Atlanta (ATL) and Seattle (SEA) show comparatively lower persistence, absorbing a larger fraction during turnaround.</w:t>
      </w:r>
    </w:p>
    <w:p w14:paraId="2ECF77BB" w14:textId="77777777" w:rsidR="00370BA6" w:rsidRDefault="00000000">
      <w:pPr>
        <w:spacing w:before="80" w:after="80" w:line="276" w:lineRule="auto"/>
        <w:ind w:firstLine="720"/>
        <w:jc w:val="both"/>
      </w:pPr>
      <w:r>
        <w:rPr>
          <w:color w:val="000000"/>
        </w:rPr>
        <w:t xml:space="preserve">The operational hourly alert system, built on the 68 Granger-significant pairs, achieves </w:t>
      </w:r>
      <w:proofErr w:type="gramStart"/>
      <w:r>
        <w:rPr>
          <w:color w:val="000000"/>
        </w:rPr>
        <w:t>macro Precision</w:t>
      </w:r>
      <w:proofErr w:type="gramEnd"/>
      <w:r>
        <w:rPr>
          <w:color w:val="000000"/>
        </w:rPr>
        <w:t xml:space="preserve"> = 0.803, Recall = 0.730, and F1 = 0.760 across the 366-day test period. This represents a 2.09× improvement in F1 over the prior daily alert system (F1 = 0.364), achieved entirely through upgrading the source signal granularity from daily to 3-hour rolling hourly averages and applying a ±6-hour slack window to the lag conversion. The best-performing alert pair, CLT→MCO (F1 = 0.892, Precision = 0.900), demonstrates near-zero false alarm rate. PHX→DFW achieves the highest precision (0.930), while CLT→ATL achieves the highest recall (0.910).</w:t>
      </w:r>
    </w:p>
    <w:p w14:paraId="68311D18" w14:textId="77777777" w:rsidR="00370BA6" w:rsidRDefault="00000000">
      <w:pPr>
        <w:spacing w:before="200" w:after="120"/>
        <w:jc w:val="center"/>
      </w:pPr>
      <w:r>
        <w:rPr>
          <w:b/>
          <w:bCs/>
          <w:color w:val="000000"/>
        </w:rPr>
        <w:t>VIII. DISCUSSION</w:t>
      </w:r>
    </w:p>
    <w:p w14:paraId="3F360B98" w14:textId="77777777" w:rsidR="00370BA6" w:rsidRDefault="00000000">
      <w:pPr>
        <w:spacing w:before="140" w:after="80"/>
      </w:pPr>
      <w:r>
        <w:rPr>
          <w:b/>
          <w:bCs/>
          <w:color w:val="000000"/>
        </w:rPr>
        <w:t>A. Statistical vs. Deep Learning Performance</w:t>
      </w:r>
    </w:p>
    <w:p w14:paraId="176792F3" w14:textId="77777777" w:rsidR="00370BA6" w:rsidRDefault="00000000">
      <w:pPr>
        <w:spacing w:before="80" w:after="80" w:line="276" w:lineRule="auto"/>
        <w:ind w:firstLine="720"/>
        <w:jc w:val="both"/>
      </w:pPr>
      <w:r>
        <w:rPr>
          <w:color w:val="000000"/>
        </w:rPr>
        <w:t>The superior point-forecast performance of SARIMA over GRU/LSTM at most airports is noteworthy given the current enthusiasm for deep learning in forecasting. We attribute this to three factors: (</w:t>
      </w:r>
      <w:proofErr w:type="spellStart"/>
      <w:r>
        <w:rPr>
          <w:color w:val="000000"/>
        </w:rPr>
        <w:t>i</w:t>
      </w:r>
      <w:proofErr w:type="spellEnd"/>
      <w:r>
        <w:rPr>
          <w:color w:val="000000"/>
        </w:rPr>
        <w:t>) the training set is relatively small (~500 observations), favouring parsimonious models with strong inductive bias; (ii) the dominant signal structure—weekly seasonality at lag 7 with AR(1) persistence—is exactly what SARIMA models explicitly encode, whereas LSTMs must learn this implicitly from sequence data; (iii) the high residual noise variance means that after the structured component is removed, deep models have limited additional signal to exploit. GRU consistently outperforms LSTM, consistent with findings in the time-series literature [4], as its reduced parameter count provides beneficial regularization.</w:t>
      </w:r>
    </w:p>
    <w:p w14:paraId="7B7D27C0" w14:textId="77777777" w:rsidR="00370BA6" w:rsidRDefault="00000000">
      <w:pPr>
        <w:spacing w:before="140" w:after="80"/>
      </w:pPr>
      <w:r>
        <w:rPr>
          <w:b/>
          <w:bCs/>
          <w:color w:val="000000"/>
        </w:rPr>
        <w:t>B. QRNN Calibration Gap</w:t>
      </w:r>
    </w:p>
    <w:p w14:paraId="0B6AE8CA" w14:textId="77777777" w:rsidR="00370BA6" w:rsidRDefault="00000000">
      <w:pPr>
        <w:spacing w:before="80" w:after="80" w:line="276" w:lineRule="auto"/>
        <w:ind w:firstLine="720"/>
        <w:jc w:val="both"/>
      </w:pPr>
      <w:r>
        <w:rPr>
          <w:color w:val="000000"/>
        </w:rPr>
        <w:t>The failure to achieve PICP ≥ 0.90 at any airport reveals a common challenge in operational probabilistic forecasting: training objectives (Pinball Loss minimization) do not directly optimize coverage probability, and extreme events in the test period may lie outside the training distribution. The 2024-07-19 event—a network-wide disruption with average delays exceeding 69.5 minutes, caused by the CrowdStrike global IT outage rather than meteorological conditions—illustrates the challenge of training on historical data when the test set contains novel exogenous shocks. Future work should explore conformal prediction intervals, which provide distribution-free coverage guarantees adaptive to such tail events.</w:t>
      </w:r>
    </w:p>
    <w:p w14:paraId="1F714090" w14:textId="77777777" w:rsidR="00370BA6" w:rsidRDefault="00000000">
      <w:pPr>
        <w:spacing w:before="140" w:after="80"/>
      </w:pPr>
      <w:r>
        <w:rPr>
          <w:b/>
          <w:bCs/>
          <w:color w:val="000000"/>
        </w:rPr>
        <w:t>C. Operational Implications</w:t>
      </w:r>
    </w:p>
    <w:p w14:paraId="56C68A1C" w14:textId="77777777" w:rsidR="00370BA6" w:rsidRDefault="00000000">
      <w:pPr>
        <w:spacing w:before="80" w:after="80" w:line="276" w:lineRule="auto"/>
        <w:ind w:firstLine="720"/>
        <w:jc w:val="both"/>
      </w:pPr>
      <w:r>
        <w:rPr>
          <w:color w:val="000000"/>
        </w:rPr>
        <w:t xml:space="preserve">The hourly alert system's practical value extends beyond the F1 metric. By identifying specific causal airport pairs and providing estimated propagation lags and delay magnitudes, it enables targeted preventive action: gate reassignments, buffer scheduling, proactive crew repositioning, and passenger rebooking before cascading delays materialize. The recommendation engine implemented in the </w:t>
      </w:r>
      <w:proofErr w:type="spellStart"/>
      <w:r>
        <w:rPr>
          <w:color w:val="000000"/>
        </w:rPr>
        <w:t>Streamlit</w:t>
      </w:r>
      <w:proofErr w:type="spellEnd"/>
      <w:r>
        <w:rPr>
          <w:color w:val="000000"/>
        </w:rPr>
        <w:t xml:space="preserve"> dashboard translates statistical outputs into plain-language operational directives, bridging the gap between data science and front-line operations.</w:t>
      </w:r>
    </w:p>
    <w:p w14:paraId="19AD3E0C" w14:textId="77777777" w:rsidR="00370BA6" w:rsidRDefault="00000000">
      <w:pPr>
        <w:spacing w:before="200" w:after="120"/>
        <w:jc w:val="center"/>
      </w:pPr>
      <w:r>
        <w:rPr>
          <w:b/>
          <w:bCs/>
          <w:color w:val="000000"/>
        </w:rPr>
        <w:t>IX. LIMITATIONS AND FUTURE WORK</w:t>
      </w:r>
    </w:p>
    <w:p w14:paraId="26321F16" w14:textId="77777777" w:rsidR="00370BA6" w:rsidRDefault="00000000">
      <w:pPr>
        <w:spacing w:before="80" w:after="80" w:line="276" w:lineRule="auto"/>
        <w:ind w:firstLine="720"/>
        <w:jc w:val="both"/>
      </w:pPr>
      <w:r>
        <w:rPr>
          <w:color w:val="000000"/>
        </w:rPr>
        <w:t>Several limitations constrain the current findings. The analysis is restricted to the ten busiest US hub airports; smaller regional airports likely exhibit different delay dynamics and propagation patterns. The QRNN calibration gap (best PICP = 0.855 vs target 0.90) suggests insufficient training epochs and potentially underspecified model capacity at high-variance hubs. Real-time weather data integration—beyond the lag-1 weather proxy currently used—could substantially improve coverage of meteorological disruptions. The Granger causality framework assumes linear predictive relationships; nonlinear extensions using kernel-based or neural Granger methods warrant investigation.</w:t>
      </w:r>
    </w:p>
    <w:p w14:paraId="6BDF68D4" w14:textId="77777777" w:rsidR="00370BA6" w:rsidRDefault="00000000">
      <w:pPr>
        <w:spacing w:before="80" w:after="80" w:line="276" w:lineRule="auto"/>
        <w:ind w:firstLine="720"/>
        <w:jc w:val="both"/>
      </w:pPr>
      <w:r>
        <w:rPr>
          <w:color w:val="000000"/>
        </w:rPr>
        <w:t>Future directions include: (</w:t>
      </w:r>
      <w:proofErr w:type="spellStart"/>
      <w:r>
        <w:rPr>
          <w:color w:val="000000"/>
        </w:rPr>
        <w:t>i</w:t>
      </w:r>
      <w:proofErr w:type="spellEnd"/>
      <w:r>
        <w:rPr>
          <w:color w:val="000000"/>
        </w:rPr>
        <w:t xml:space="preserve">) conformal prediction intervals for distribution-free coverage guarantees; (ii) Vector Autoregression (VAR) and Temporal Fusion Transformer architectures that natively model multivariate delay dynamics; (iii) real-time BTS feed integration for live operational deployment; (iv) expansion to international hub networks where delay propagation crosses regulatory boundaries; and (v) passenger-level cascade </w:t>
      </w:r>
      <w:proofErr w:type="spellStart"/>
      <w:r>
        <w:rPr>
          <w:color w:val="000000"/>
        </w:rPr>
        <w:t>modeling</w:t>
      </w:r>
      <w:proofErr w:type="spellEnd"/>
      <w:r>
        <w:rPr>
          <w:color w:val="000000"/>
        </w:rPr>
        <w:t xml:space="preserve"> that connects aircraft-level delays to itinerary disruption probabilities.</w:t>
      </w:r>
    </w:p>
    <w:p w14:paraId="74C5850C" w14:textId="77777777" w:rsidR="00370BA6" w:rsidRDefault="00000000">
      <w:pPr>
        <w:spacing w:before="200" w:after="120"/>
        <w:jc w:val="center"/>
      </w:pPr>
      <w:r>
        <w:rPr>
          <w:b/>
          <w:bCs/>
          <w:color w:val="000000"/>
        </w:rPr>
        <w:t>X. CONCLUSION</w:t>
      </w:r>
    </w:p>
    <w:p w14:paraId="588E1D43" w14:textId="77777777" w:rsidR="00370BA6" w:rsidRDefault="00000000">
      <w:pPr>
        <w:spacing w:before="80" w:after="80" w:line="276" w:lineRule="auto"/>
        <w:ind w:firstLine="720"/>
        <w:jc w:val="both"/>
      </w:pPr>
      <w:r>
        <w:rPr>
          <w:color w:val="000000"/>
        </w:rPr>
        <w:t>This paper presents a comprehensive probabilistic flight delay forecasting pipeline applied to three years of BTS data across ten US hub airports. We formally establish that delay residuals are non-Gaussian for all model families tested—</w:t>
      </w:r>
      <w:r>
        <w:rPr>
          <w:color w:val="000000"/>
        </w:rPr>
        <w:lastRenderedPageBreak/>
        <w:t xml:space="preserve">invalidating Gaussian prediction intervals—and demonstrate that Pinball Loss-trained QRNN models produce the most calibrated uncertainty estimates available, with temperature scaling providing additional post-hoc correction. </w:t>
      </w:r>
      <w:proofErr w:type="gramStart"/>
      <w:r>
        <w:rPr>
          <w:color w:val="000000"/>
        </w:rPr>
        <w:t>SARIMA(</w:t>
      </w:r>
      <w:proofErr w:type="gramEnd"/>
      <w:r>
        <w:rPr>
          <w:color w:val="000000"/>
        </w:rPr>
        <w:t>1,0,</w:t>
      </w:r>
      <w:proofErr w:type="gramStart"/>
      <w:r>
        <w:rPr>
          <w:color w:val="000000"/>
        </w:rPr>
        <w:t>2)×</w:t>
      </w:r>
      <w:proofErr w:type="gramEnd"/>
      <w:r>
        <w:rPr>
          <w:color w:val="000000"/>
        </w:rPr>
        <w:t>(0,1,</w:t>
      </w:r>
      <w:proofErr w:type="gramStart"/>
      <w:r>
        <w:rPr>
          <w:color w:val="000000"/>
        </w:rPr>
        <w:t>1)[</w:t>
      </w:r>
      <w:proofErr w:type="gramEnd"/>
      <w:r>
        <w:rPr>
          <w:color w:val="000000"/>
        </w:rPr>
        <w:t>7] remains the champion point-forecast model (RMSE 4.896 min, 23.5% below the best baseline) reflecting the strong inductive fit of its weekly seasonal structure to hub delay dynamics.</w:t>
      </w:r>
    </w:p>
    <w:p w14:paraId="5F056F93" w14:textId="77777777" w:rsidR="00370BA6" w:rsidRDefault="00000000">
      <w:pPr>
        <w:spacing w:before="80" w:after="80" w:line="276" w:lineRule="auto"/>
        <w:ind w:firstLine="720"/>
        <w:jc w:val="both"/>
      </w:pPr>
      <w:r>
        <w:rPr>
          <w:color w:val="000000"/>
        </w:rPr>
        <w:t>Cross-airport delay propagation is confirmed through two independent lenses. Granger causality identifies 68 of 90 directed hub-pair relationships as statistically significant, with DEN and DFW emerging as primary propagation sources. Tail-number aircraft chain analysis confirms that 74.2% of delay physically survives from one flight leg to the next, providing operational grounding for the statistical findings. An hourly alert system built on these validated causal structures achieves macro F1 = 0.760—a 2.09× improvement over the prior daily system—demonstrating that finer temporal granularity dramatically improves actionable early-warning performance.</w:t>
      </w:r>
    </w:p>
    <w:p w14:paraId="6E964B3E" w14:textId="77777777" w:rsidR="00370BA6" w:rsidRDefault="00000000">
      <w:pPr>
        <w:spacing w:before="80" w:after="80" w:line="276" w:lineRule="auto"/>
        <w:ind w:firstLine="720"/>
        <w:jc w:val="both"/>
      </w:pPr>
      <w:r>
        <w:rPr>
          <w:color w:val="000000"/>
        </w:rPr>
        <w:t xml:space="preserve">Collectively, these results establish that US hub airports form a statistically and physically coupled delay network. Operational forecasting systems that ignore inter-airport dependencies and issue deterministic point estimates are structurally limited. Probabilistic forecasting with calibrated prediction intervals and network-aware propagation </w:t>
      </w:r>
      <w:proofErr w:type="spellStart"/>
      <w:r>
        <w:rPr>
          <w:color w:val="000000"/>
        </w:rPr>
        <w:t>modeling</w:t>
      </w:r>
      <w:proofErr w:type="spellEnd"/>
      <w:r>
        <w:rPr>
          <w:color w:val="000000"/>
        </w:rPr>
        <w:t xml:space="preserve"> represents the necessary next step for effective delay management in modern commercial aviation.</w:t>
      </w:r>
    </w:p>
    <w:p w14:paraId="16D1787F" w14:textId="77777777" w:rsidR="00370BA6" w:rsidRDefault="00000000">
      <w:pPr>
        <w:spacing w:before="200" w:after="120"/>
        <w:jc w:val="center"/>
      </w:pPr>
      <w:r>
        <w:rPr>
          <w:b/>
          <w:bCs/>
          <w:color w:val="000000"/>
        </w:rPr>
        <w:t>XI. REFERENCES</w:t>
      </w:r>
    </w:p>
    <w:p w14:paraId="7D08540F" w14:textId="77777777" w:rsidR="00370BA6" w:rsidRDefault="00000000">
      <w:pPr>
        <w:spacing w:before="40" w:after="40"/>
        <w:ind w:left="360" w:hanging="360"/>
        <w:jc w:val="both"/>
      </w:pPr>
      <w:r>
        <w:rPr>
          <w:color w:val="000000"/>
          <w:sz w:val="18"/>
          <w:szCs w:val="18"/>
        </w:rPr>
        <w:t>[1] J. J. Rebollo and H. Balakrishnan, "Characterization and Prediction of Air Traffic Delays," Transportation Research Part C: Emerging Technologies, vol. 44, pp. 231–241, 2014.</w:t>
      </w:r>
    </w:p>
    <w:p w14:paraId="438DBEEE" w14:textId="77777777" w:rsidR="00370BA6" w:rsidRDefault="00000000">
      <w:pPr>
        <w:spacing w:before="40" w:after="40"/>
        <w:ind w:left="360" w:hanging="360"/>
        <w:jc w:val="both"/>
      </w:pPr>
      <w:r>
        <w:rPr>
          <w:color w:val="000000"/>
          <w:sz w:val="18"/>
          <w:szCs w:val="18"/>
        </w:rPr>
        <w:t>[2] G. E. P. Box, G. M. Jenkins, G. C. Reinsel, and G. M. Ljung, Time Series Analysis: Forecasting and Control, 5th ed. Hoboken, NJ: Wiley, 2016.</w:t>
      </w:r>
    </w:p>
    <w:p w14:paraId="2FE2977D" w14:textId="77777777" w:rsidR="00370BA6" w:rsidRDefault="00000000">
      <w:pPr>
        <w:spacing w:before="40" w:after="40"/>
        <w:ind w:left="360" w:hanging="360"/>
        <w:jc w:val="both"/>
      </w:pPr>
      <w:r>
        <w:rPr>
          <w:color w:val="000000"/>
          <w:sz w:val="18"/>
          <w:szCs w:val="18"/>
        </w:rPr>
        <w:t xml:space="preserve">[3] S. Hochreiter and J. </w:t>
      </w:r>
      <w:proofErr w:type="spellStart"/>
      <w:r>
        <w:rPr>
          <w:color w:val="000000"/>
          <w:sz w:val="18"/>
          <w:szCs w:val="18"/>
        </w:rPr>
        <w:t>Schmidhuber</w:t>
      </w:r>
      <w:proofErr w:type="spellEnd"/>
      <w:r>
        <w:rPr>
          <w:color w:val="000000"/>
          <w:sz w:val="18"/>
          <w:szCs w:val="18"/>
        </w:rPr>
        <w:t>, "Long Short-Term Memory," Neural Computation, vol. 9, no. 8, pp. 1735–1780, 1997.</w:t>
      </w:r>
    </w:p>
    <w:p w14:paraId="22DA66E3" w14:textId="77777777" w:rsidR="00370BA6" w:rsidRDefault="00000000">
      <w:pPr>
        <w:spacing w:before="40" w:after="40"/>
        <w:ind w:left="360" w:hanging="360"/>
        <w:jc w:val="both"/>
      </w:pPr>
      <w:r>
        <w:rPr>
          <w:color w:val="000000"/>
          <w:sz w:val="18"/>
          <w:szCs w:val="18"/>
        </w:rPr>
        <w:t>[4] K. Cho et al., "Learning Phrase Representations using RNN Encoder-Decoder for Statistical Machine Translation," in Proc. EMNLP, 2014, pp. 1724–1734.</w:t>
      </w:r>
    </w:p>
    <w:p w14:paraId="2FA9C917" w14:textId="77777777" w:rsidR="00370BA6" w:rsidRDefault="00000000">
      <w:pPr>
        <w:spacing w:before="40" w:after="40"/>
        <w:ind w:left="360" w:hanging="360"/>
        <w:jc w:val="both"/>
      </w:pPr>
      <w:r>
        <w:rPr>
          <w:color w:val="000000"/>
          <w:sz w:val="18"/>
          <w:szCs w:val="18"/>
        </w:rPr>
        <w:t>[5] Z. Zhao, W. Chen, X. Wu, P. C. Y. Chen, and J. Liu, "LSTM Network: A Deep Learning Approach for Short-Term Traffic Forecast," IET Intelligent Transport Systems, vol. 11, no. 2, pp. 68–75, 2017.</w:t>
      </w:r>
    </w:p>
    <w:p w14:paraId="1F943ACB" w14:textId="77777777" w:rsidR="00370BA6" w:rsidRDefault="00000000">
      <w:pPr>
        <w:spacing w:before="40" w:after="40"/>
        <w:ind w:left="360" w:hanging="360"/>
        <w:jc w:val="both"/>
      </w:pPr>
      <w:r>
        <w:rPr>
          <w:color w:val="000000"/>
          <w:sz w:val="18"/>
          <w:szCs w:val="18"/>
        </w:rPr>
        <w:t xml:space="preserve">[6] S. </w:t>
      </w:r>
      <w:proofErr w:type="spellStart"/>
      <w:r>
        <w:rPr>
          <w:color w:val="000000"/>
          <w:sz w:val="18"/>
          <w:szCs w:val="18"/>
        </w:rPr>
        <w:t>Makridakis</w:t>
      </w:r>
      <w:proofErr w:type="spellEnd"/>
      <w:r>
        <w:rPr>
          <w:color w:val="000000"/>
          <w:sz w:val="18"/>
          <w:szCs w:val="18"/>
        </w:rPr>
        <w:t xml:space="preserve">, E. Spiliotis, and V. </w:t>
      </w:r>
      <w:proofErr w:type="spellStart"/>
      <w:r>
        <w:rPr>
          <w:color w:val="000000"/>
          <w:sz w:val="18"/>
          <w:szCs w:val="18"/>
        </w:rPr>
        <w:t>Assimakopoulos</w:t>
      </w:r>
      <w:proofErr w:type="spellEnd"/>
      <w:r>
        <w:rPr>
          <w:color w:val="000000"/>
          <w:sz w:val="18"/>
          <w:szCs w:val="18"/>
        </w:rPr>
        <w:t>, "The M4 Competition: 100,000 Time Series and 61 Forecasting Methods," International Journal of Forecasting, vol. 36, no. 1, pp. 54–74, 2020.</w:t>
      </w:r>
    </w:p>
    <w:p w14:paraId="14A04382" w14:textId="77777777" w:rsidR="00370BA6" w:rsidRDefault="00000000">
      <w:pPr>
        <w:spacing w:before="40" w:after="40"/>
        <w:ind w:left="360" w:hanging="360"/>
        <w:jc w:val="both"/>
      </w:pPr>
      <w:r>
        <w:rPr>
          <w:color w:val="000000"/>
          <w:sz w:val="18"/>
          <w:szCs w:val="18"/>
        </w:rPr>
        <w:t xml:space="preserve">[7] R. </w:t>
      </w:r>
      <w:proofErr w:type="spellStart"/>
      <w:r>
        <w:rPr>
          <w:color w:val="000000"/>
          <w:sz w:val="18"/>
          <w:szCs w:val="18"/>
        </w:rPr>
        <w:t>Koenker</w:t>
      </w:r>
      <w:proofErr w:type="spellEnd"/>
      <w:r>
        <w:rPr>
          <w:color w:val="000000"/>
          <w:sz w:val="18"/>
          <w:szCs w:val="18"/>
        </w:rPr>
        <w:t xml:space="preserve"> and G. Bassett, "Regression Quantiles," </w:t>
      </w:r>
      <w:proofErr w:type="spellStart"/>
      <w:r>
        <w:rPr>
          <w:color w:val="000000"/>
          <w:sz w:val="18"/>
          <w:szCs w:val="18"/>
        </w:rPr>
        <w:t>Econometrica</w:t>
      </w:r>
      <w:proofErr w:type="spellEnd"/>
      <w:r>
        <w:rPr>
          <w:color w:val="000000"/>
          <w:sz w:val="18"/>
          <w:szCs w:val="18"/>
        </w:rPr>
        <w:t>, vol. 46, no. 1, pp. 33–50, 1978.</w:t>
      </w:r>
    </w:p>
    <w:p w14:paraId="634A89D2" w14:textId="77777777" w:rsidR="00370BA6" w:rsidRDefault="00000000">
      <w:pPr>
        <w:spacing w:before="40" w:after="40"/>
        <w:ind w:left="360" w:hanging="360"/>
        <w:jc w:val="both"/>
      </w:pPr>
      <w:r>
        <w:rPr>
          <w:color w:val="000000"/>
          <w:sz w:val="18"/>
          <w:szCs w:val="18"/>
        </w:rPr>
        <w:t>[8] C. Guo, G. Pleiss, Y. Sun, and K. Q. Weinberger, "On Calibration of Modern Neural Networks," in Proc. ICML, 2017, pp. 1321–1330.</w:t>
      </w:r>
    </w:p>
    <w:p w14:paraId="3D9634F3" w14:textId="77777777" w:rsidR="00370BA6" w:rsidRDefault="00000000">
      <w:pPr>
        <w:spacing w:before="40" w:after="40"/>
        <w:ind w:left="360" w:hanging="360"/>
        <w:jc w:val="both"/>
      </w:pPr>
      <w:r>
        <w:rPr>
          <w:color w:val="000000"/>
          <w:sz w:val="18"/>
          <w:szCs w:val="18"/>
        </w:rPr>
        <w:t>[9] G. B. Dahl and D. Bhaduri, "Stochastic Models for Airport Delay Propagation," Transportation Science, vol. 53, no. 4, pp. 1076–1094, 2019.</w:t>
      </w:r>
    </w:p>
    <w:p w14:paraId="467A2B30" w14:textId="77777777" w:rsidR="00370BA6" w:rsidRDefault="00000000">
      <w:pPr>
        <w:spacing w:before="40" w:after="40"/>
        <w:ind w:left="360" w:hanging="360"/>
        <w:jc w:val="both"/>
      </w:pPr>
      <w:r>
        <w:rPr>
          <w:color w:val="000000"/>
          <w:sz w:val="18"/>
          <w:szCs w:val="18"/>
        </w:rPr>
        <w:t>[10] M. Kafle and B. Zou, "</w:t>
      </w:r>
      <w:proofErr w:type="spellStart"/>
      <w:r>
        <w:rPr>
          <w:color w:val="000000"/>
          <w:sz w:val="18"/>
          <w:szCs w:val="18"/>
        </w:rPr>
        <w:t>Modeling</w:t>
      </w:r>
      <w:proofErr w:type="spellEnd"/>
      <w:r>
        <w:rPr>
          <w:color w:val="000000"/>
          <w:sz w:val="18"/>
          <w:szCs w:val="18"/>
        </w:rPr>
        <w:t xml:space="preserve"> Flight Delay Propagation: A New Framework and Two Case Studies," Transportation Research Part B: Methodological, vol. 93, pp. 520–542, 2016.</w:t>
      </w:r>
    </w:p>
    <w:p w14:paraId="57D7B344" w14:textId="77777777" w:rsidR="00370BA6" w:rsidRDefault="00000000">
      <w:pPr>
        <w:spacing w:before="40" w:after="40"/>
        <w:ind w:left="360" w:hanging="360"/>
        <w:jc w:val="both"/>
      </w:pPr>
      <w:r>
        <w:rPr>
          <w:color w:val="000000"/>
          <w:sz w:val="18"/>
          <w:szCs w:val="18"/>
        </w:rPr>
        <w:t xml:space="preserve">[11] C. W. J. Granger, "Investigating Causal Relations by Econometric Models and Cross-Spectral Methods," </w:t>
      </w:r>
      <w:proofErr w:type="spellStart"/>
      <w:r>
        <w:rPr>
          <w:color w:val="000000"/>
          <w:sz w:val="18"/>
          <w:szCs w:val="18"/>
        </w:rPr>
        <w:t>Econometrica</w:t>
      </w:r>
      <w:proofErr w:type="spellEnd"/>
      <w:r>
        <w:rPr>
          <w:color w:val="000000"/>
          <w:sz w:val="18"/>
          <w:szCs w:val="18"/>
        </w:rPr>
        <w:t>, vol. 37, no. 3, pp. 424–438, 1969.</w:t>
      </w:r>
    </w:p>
    <w:p w14:paraId="090527F3" w14:textId="77777777" w:rsidR="00370BA6" w:rsidRDefault="00000000">
      <w:pPr>
        <w:spacing w:before="40" w:after="40"/>
        <w:ind w:left="360" w:hanging="360"/>
        <w:jc w:val="both"/>
      </w:pPr>
      <w:r>
        <w:rPr>
          <w:color w:val="000000"/>
          <w:sz w:val="18"/>
          <w:szCs w:val="18"/>
        </w:rPr>
        <w:t xml:space="preserve">[12] P. </w:t>
      </w:r>
      <w:proofErr w:type="spellStart"/>
      <w:r>
        <w:rPr>
          <w:color w:val="000000"/>
          <w:sz w:val="18"/>
          <w:szCs w:val="18"/>
        </w:rPr>
        <w:t>Fleurquin</w:t>
      </w:r>
      <w:proofErr w:type="spellEnd"/>
      <w:r>
        <w:rPr>
          <w:color w:val="000000"/>
          <w:sz w:val="18"/>
          <w:szCs w:val="18"/>
        </w:rPr>
        <w:t xml:space="preserve">, J. J. </w:t>
      </w:r>
      <w:proofErr w:type="spellStart"/>
      <w:r>
        <w:rPr>
          <w:color w:val="000000"/>
          <w:sz w:val="18"/>
          <w:szCs w:val="18"/>
        </w:rPr>
        <w:t>Ramasco</w:t>
      </w:r>
      <w:proofErr w:type="spellEnd"/>
      <w:r>
        <w:rPr>
          <w:color w:val="000000"/>
          <w:sz w:val="18"/>
          <w:szCs w:val="18"/>
        </w:rPr>
        <w:t xml:space="preserve">, and V. M. </w:t>
      </w:r>
      <w:proofErr w:type="spellStart"/>
      <w:r>
        <w:rPr>
          <w:color w:val="000000"/>
          <w:sz w:val="18"/>
          <w:szCs w:val="18"/>
        </w:rPr>
        <w:t>Eguíluz</w:t>
      </w:r>
      <w:proofErr w:type="spellEnd"/>
      <w:r>
        <w:rPr>
          <w:color w:val="000000"/>
          <w:sz w:val="18"/>
          <w:szCs w:val="18"/>
        </w:rPr>
        <w:t>, "Systemic Delay Propagation in the US Airport Network," Scientific Reports, vol. 3, no. 1159, 2013.</w:t>
      </w:r>
    </w:p>
    <w:p w14:paraId="25DA4C80" w14:textId="77777777" w:rsidR="00370BA6" w:rsidRDefault="00000000">
      <w:pPr>
        <w:spacing w:before="40" w:after="40"/>
        <w:ind w:left="360" w:hanging="360"/>
        <w:jc w:val="both"/>
      </w:pPr>
      <w:r>
        <w:rPr>
          <w:color w:val="000000"/>
          <w:sz w:val="18"/>
          <w:szCs w:val="18"/>
        </w:rPr>
        <w:t>[13] US Bureau of Transportation Statistics, "On-Time Performance Database," [Online]. Available: https://www.transtats.bts.gov. [Accessed: Apr. 2025].</w:t>
      </w:r>
    </w:p>
    <w:sectPr w:rsidR="00370BA6">
      <w:footerReference w:type="default" r:id="rId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738278" w14:textId="77777777" w:rsidR="00135386" w:rsidRDefault="00135386">
      <w:r>
        <w:separator/>
      </w:r>
    </w:p>
  </w:endnote>
  <w:endnote w:type="continuationSeparator" w:id="0">
    <w:p w14:paraId="33502F6B" w14:textId="77777777" w:rsidR="00135386" w:rsidRDefault="001353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66EE3" w14:textId="77777777" w:rsidR="00370BA6" w:rsidRDefault="00000000">
    <w:pPr>
      <w:pBdr>
        <w:top w:val="single" w:sz="4" w:space="4" w:color="1F3864"/>
      </w:pBd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4978AD">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6A4C6D" w14:textId="77777777" w:rsidR="00135386" w:rsidRDefault="00135386">
      <w:r>
        <w:separator/>
      </w:r>
    </w:p>
  </w:footnote>
  <w:footnote w:type="continuationSeparator" w:id="0">
    <w:p w14:paraId="43B44DDE" w14:textId="77777777" w:rsidR="00135386" w:rsidRDefault="0013538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04BDA"/>
    <w:multiLevelType w:val="hybridMultilevel"/>
    <w:tmpl w:val="EEFAAE1E"/>
    <w:lvl w:ilvl="0" w:tplc="46941E28">
      <w:start w:val="1"/>
      <w:numFmt w:val="bullet"/>
      <w:lvlText w:val="●"/>
      <w:lvlJc w:val="left"/>
      <w:pPr>
        <w:ind w:left="720" w:hanging="360"/>
      </w:pPr>
    </w:lvl>
    <w:lvl w:ilvl="1" w:tplc="567066D8">
      <w:start w:val="1"/>
      <w:numFmt w:val="bullet"/>
      <w:lvlText w:val="○"/>
      <w:lvlJc w:val="left"/>
      <w:pPr>
        <w:ind w:left="1440" w:hanging="360"/>
      </w:pPr>
    </w:lvl>
    <w:lvl w:ilvl="2" w:tplc="E95873A0">
      <w:start w:val="1"/>
      <w:numFmt w:val="bullet"/>
      <w:lvlText w:val="■"/>
      <w:lvlJc w:val="left"/>
      <w:pPr>
        <w:ind w:left="2160" w:hanging="360"/>
      </w:pPr>
    </w:lvl>
    <w:lvl w:ilvl="3" w:tplc="419452FE">
      <w:start w:val="1"/>
      <w:numFmt w:val="bullet"/>
      <w:lvlText w:val="●"/>
      <w:lvlJc w:val="left"/>
      <w:pPr>
        <w:ind w:left="2880" w:hanging="360"/>
      </w:pPr>
    </w:lvl>
    <w:lvl w:ilvl="4" w:tplc="3446D268">
      <w:start w:val="1"/>
      <w:numFmt w:val="bullet"/>
      <w:lvlText w:val="○"/>
      <w:lvlJc w:val="left"/>
      <w:pPr>
        <w:ind w:left="3600" w:hanging="360"/>
      </w:pPr>
    </w:lvl>
    <w:lvl w:ilvl="5" w:tplc="697E8A12">
      <w:start w:val="1"/>
      <w:numFmt w:val="bullet"/>
      <w:lvlText w:val="■"/>
      <w:lvlJc w:val="left"/>
      <w:pPr>
        <w:ind w:left="4320" w:hanging="360"/>
      </w:pPr>
    </w:lvl>
    <w:lvl w:ilvl="6" w:tplc="460CB108">
      <w:start w:val="1"/>
      <w:numFmt w:val="bullet"/>
      <w:lvlText w:val="●"/>
      <w:lvlJc w:val="left"/>
      <w:pPr>
        <w:ind w:left="5040" w:hanging="360"/>
      </w:pPr>
    </w:lvl>
    <w:lvl w:ilvl="7" w:tplc="FE42D402">
      <w:start w:val="1"/>
      <w:numFmt w:val="bullet"/>
      <w:lvlText w:val="●"/>
      <w:lvlJc w:val="left"/>
      <w:pPr>
        <w:ind w:left="5760" w:hanging="360"/>
      </w:pPr>
    </w:lvl>
    <w:lvl w:ilvl="8" w:tplc="D38E954A">
      <w:start w:val="1"/>
      <w:numFmt w:val="bullet"/>
      <w:lvlText w:val="●"/>
      <w:lvlJc w:val="left"/>
      <w:pPr>
        <w:ind w:left="6480" w:hanging="360"/>
      </w:pPr>
    </w:lvl>
  </w:abstractNum>
  <w:num w:numId="1" w16cid:durableId="138151325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0BA6"/>
    <w:rsid w:val="0007652F"/>
    <w:rsid w:val="00135386"/>
    <w:rsid w:val="00370BA6"/>
    <w:rsid w:val="004978A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71FB9C"/>
  <w15:docId w15:val="{56AC5CD0-F10F-4EDF-A3B7-F6E282C7BE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978AD"/>
    <w:pPr>
      <w:tabs>
        <w:tab w:val="center" w:pos="4513"/>
        <w:tab w:val="right" w:pos="9026"/>
      </w:tabs>
    </w:pPr>
    <w:rPr>
      <w:rFonts w:cs="Mangal"/>
      <w:szCs w:val="18"/>
    </w:rPr>
  </w:style>
  <w:style w:type="character" w:customStyle="1" w:styleId="HeaderChar">
    <w:name w:val="Header Char"/>
    <w:basedOn w:val="DefaultParagraphFont"/>
    <w:link w:val="Header"/>
    <w:uiPriority w:val="99"/>
    <w:rsid w:val="004978AD"/>
    <w:rPr>
      <w:rFonts w:cs="Mangal"/>
      <w:szCs w:val="18"/>
    </w:rPr>
  </w:style>
  <w:style w:type="paragraph" w:styleId="Footer">
    <w:name w:val="footer"/>
    <w:basedOn w:val="Normal"/>
    <w:link w:val="FooterChar"/>
    <w:uiPriority w:val="99"/>
    <w:unhideWhenUsed/>
    <w:rsid w:val="004978AD"/>
    <w:pPr>
      <w:tabs>
        <w:tab w:val="center" w:pos="4513"/>
        <w:tab w:val="right" w:pos="9026"/>
      </w:tabs>
    </w:pPr>
    <w:rPr>
      <w:rFonts w:cs="Mangal"/>
      <w:szCs w:val="18"/>
    </w:rPr>
  </w:style>
  <w:style w:type="character" w:customStyle="1" w:styleId="FooterChar">
    <w:name w:val="Footer Char"/>
    <w:basedOn w:val="DefaultParagraphFont"/>
    <w:link w:val="Footer"/>
    <w:uiPriority w:val="99"/>
    <w:rsid w:val="004978AD"/>
    <w:rPr>
      <w:rFonts w:cs="Mangal"/>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4327</Words>
  <Characters>24669</Characters>
  <Application>Microsoft Office Word</Application>
  <DocSecurity>0</DocSecurity>
  <Lines>205</Lines>
  <Paragraphs>57</Paragraphs>
  <ScaleCrop>false</ScaleCrop>
  <Company/>
  <LinksUpToDate>false</LinksUpToDate>
  <CharactersWithSpaces>28939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 S</cp:lastModifiedBy>
  <cp:revision>2</cp:revision>
  <dcterms:created xsi:type="dcterms:W3CDTF">2026-04-26T10:30:00Z</dcterms:created>
  <dcterms:modified xsi:type="dcterms:W3CDTF">2026-04-26T11:55:00Z</dcterms:modified>
</cp:coreProperties>
</file>