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line="276"/>
        <w:jc w:val="center"/>
      </w:pPr>
      <w:r>
        <w:rPr>
          <w:rFonts w:ascii="Times New Roman" w:cs="Times New Roman" w:eastAsia="Times New Roman" w:hAnsi="Times New Roman"/>
          <w:b w:val="false"/>
          <w:bCs w:val="false"/>
          <w:i/>
          <w:iCs/>
          <w:color w:val="555555"/>
          <w:sz w:val="22"/>
          <w:szCs w:val="22"/>
        </w:rPr>
        <w:t xml:space="preserve">SC475 · Applied Forecasting Algorithms</w:t>
      </w:r>
    </w:p>
    <w:p>
      <w:pPr>
        <w:spacing w:after="40" w:before="0" w:line="276"/>
        <w:jc w:val="center"/>
      </w:pPr>
      <w:r>
        <w:rPr>
          <w:rFonts w:ascii="Times New Roman" w:cs="Times New Roman" w:eastAsia="Times New Roman" w:hAnsi="Times New Roman"/>
          <w:b/>
          <w:bCs/>
          <w:i w:val="false"/>
          <w:iCs w:val="false"/>
          <w:color w:val="1F3864"/>
          <w:sz w:val="40"/>
          <w:szCs w:val="40"/>
        </w:rPr>
        <w:t xml:space="preserve">Probabilistic Flight Delay Forecasting</w:t>
      </w:r>
    </w:p>
    <w:p>
      <w:pPr>
        <w:spacing w:after="200" w:before="0" w:line="276"/>
        <w:jc w:val="center"/>
      </w:pPr>
      <w:r>
        <w:rPr>
          <w:rFonts w:ascii="Times New Roman" w:cs="Times New Roman" w:eastAsia="Times New Roman" w:hAnsi="Times New Roman"/>
          <w:b/>
          <w:bCs/>
          <w:i w:val="false"/>
          <w:iCs w:val="false"/>
          <w:color w:val="2E75B6"/>
          <w:sz w:val="30"/>
          <w:szCs w:val="30"/>
        </w:rPr>
        <w:t xml:space="preserve">with Cross-Airport Delay Propagation Analysis</w:t>
      </w:r>
    </w:p>
    <w:p>
      <w:pPr>
        <w:pBdr>
          <w:top w:val="single" w:color="2E75B6" w:sz="4" w:space="1"/>
          <w:bottom w:val="single" w:color="2E75B6" w:sz="4" w:space="1"/>
        </w:pBdr>
        <w:spacing w:after="80"/>
        <w:jc w:val="center"/>
      </w:pPr>
      <w:r>
        <w:rPr>
          <w:rFonts w:ascii="Times New Roman" w:cs="Times New Roman" w:eastAsia="Times New Roman" w:hAnsi="Times New Roman"/>
          <w:b w:val="false"/>
          <w:bCs w:val="false"/>
          <w:i w:val="false"/>
          <w:iCs w:val="false"/>
          <w:color w:val="000000"/>
          <w:sz w:val="22"/>
          <w:szCs w:val="22"/>
        </w:rPr>
        <w:t xml:space="preserve">  </w:t>
      </w:r>
    </w:p>
    <w:p>
      <w:pPr>
        <w:spacing w:after="80"/>
      </w:pPr>
      <w:r>
        <w:rPr>
          <w:rFonts w:ascii="Times New Roman" w:cs="Times New Roman" w:eastAsia="Times New Roman" w:hAnsi="Times New Roman"/>
          <w:b w:val="false"/>
          <w:bCs w:val="false"/>
          <w:i w:val="false"/>
          <w:iCs w:val="false"/>
          <w:color w:val="000000"/>
          <w:sz w:val="22"/>
          <w:szCs w:val="22"/>
        </w:rPr>
        <w:t xml:space="preserve"/>
      </w:r>
    </w:p>
    <w:p>
      <w:pPr>
        <w:spacing w:after="60" w:before="0" w:line="276"/>
        <w:jc w:val="center"/>
      </w:pPr>
      <w:r>
        <w:rPr>
          <w:rFonts w:ascii="Times New Roman" w:cs="Times New Roman" w:eastAsia="Times New Roman" w:hAnsi="Times New Roman"/>
          <w:b/>
          <w:bCs/>
          <w:i w:val="false"/>
          <w:iCs w:val="false"/>
          <w:color w:val="000000"/>
          <w:sz w:val="24"/>
          <w:szCs w:val="24"/>
        </w:rPr>
        <w:t xml:space="preserve">Group Members:</w:t>
      </w:r>
    </w:p>
    <w:p>
      <w:pPr>
        <w:spacing w:after="160" w:before="0" w:line="276"/>
        <w:jc w:val="center"/>
      </w:pPr>
      <w:r>
        <w:rPr>
          <w:rFonts w:ascii="Times New Roman" w:cs="Times New Roman" w:eastAsia="Times New Roman" w:hAnsi="Times New Roman"/>
          <w:b w:val="false"/>
          <w:bCs w:val="false"/>
          <w:i w:val="false"/>
          <w:iCs w:val="false"/>
          <w:color w:val="000000"/>
          <w:sz w:val="24"/>
          <w:szCs w:val="24"/>
        </w:rPr>
        <w:t xml:space="preserve">Aarsh Adhvaryu  ·  Nikita Sharma  ·  Ram Sharma</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Course Name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Applied Forecasting Algorithms · SC475</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Instructor Name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[Instructor Name]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Institution Name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[Institution Name]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Submission Date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May 2026</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Live App</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https://flightdelayforecasting.streamlit.app</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GitHub Repo</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github.com/nikitasharma120/flight_delay_forecasting</w:t>
            </w:r>
          </w:p>
        </w:tc>
      </w:tr>
    </w:tbl>
    <w:p>
      <w:pPr>
        <w:spacing w:after="800"/>
      </w:pPr>
      <w:r>
        <w:rPr>
          <w:rFonts w:ascii="Times New Roman" w:cs="Times New Roman" w:eastAsia="Times New Roman" w:hAnsi="Times New Roman"/>
          <w:b w:val="false"/>
          <w:bCs w:val="false"/>
          <w:i w:val="false"/>
          <w:iCs w:val="false"/>
          <w:color w:val="000000"/>
          <w:sz w:val="22"/>
          <w:szCs w:val="22"/>
        </w:rPr>
        <w:t xml:space="preserve"/>
      </w:r>
    </w:p>
    <w:p>
      <w:r>
        <w:br w:type="page"/>
      </w:r>
    </w:p>
    <w:p>
      <w:pPr>
        <w:pStyle w:val="Heading1"/>
        <w:spacing w:after="120" w:before="300"/>
      </w:pPr>
      <w:r>
        <w:rPr>
          <w:rFonts w:ascii="Times New Roman" w:cs="Times New Roman" w:eastAsia="Times New Roman" w:hAnsi="Times New Roman"/>
          <w:b/>
          <w:bCs/>
          <w:color w:val="1F3864"/>
          <w:sz w:val="26"/>
          <w:szCs w:val="26"/>
        </w:rPr>
        <w:t xml:space="preserve">2. Abstract</w:t>
      </w:r>
    </w:p>
    <w:p>
      <w:pPr>
        <w:pBdr>
          <w:bottom w:val="single" w:color="2E75B6" w:sz="6" w:space="1"/>
        </w:pBdr>
        <w:spacing w:after="140"/>
      </w:pPr>
      <w:r>
        <w:rPr>
          <w:rFonts w:ascii="Times New Roman" w:cs="Times New Roman" w:eastAsia="Times New Roman" w:hAnsi="Times New Roman"/>
          <w:b w:val="false"/>
          <w:bCs w:val="false"/>
          <w:i w:val="false"/>
          <w:iCs w:val="false"/>
          <w:color w:val="000000"/>
          <w:sz w:val="22"/>
          <w:szCs w:val="22"/>
        </w:rPr>
        <w:t xml:space="preserve"/>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Flight delays at US hub airports are not isolated events — they cascade across the network via shared aircraft rotations, crew, and passengers. Current operational forecasting systems issue single point estimates and treat airports independently, providing no uncertainty quantification and ignoring the propagation structure that makes hub delays correlated in time and space.</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This paper presents a reproducible, open-data probabilistic forecasting pipeline applied to </w:t>
      </w:r>
      <w:r>
        <w:rPr>
          <w:rFonts w:ascii="Times New Roman" w:cs="Times New Roman" w:eastAsia="Times New Roman" w:hAnsi="Times New Roman"/>
          <w:b/>
          <w:bCs/>
          <w:i w:val="false"/>
          <w:iCs w:val="false"/>
          <w:color w:val="000000"/>
          <w:sz w:val="22"/>
          <w:szCs w:val="22"/>
        </w:rPr>
        <w:t xml:space="preserve">22,085,189</w:t>
      </w:r>
      <w:r>
        <w:rPr>
          <w:rFonts w:ascii="Times New Roman" w:cs="Times New Roman" w:eastAsia="Times New Roman" w:hAnsi="Times New Roman"/>
          <w:b w:val="false"/>
          <w:bCs w:val="false"/>
          <w:i w:val="false"/>
          <w:iCs w:val="false"/>
          <w:color w:val="000000"/>
          <w:sz w:val="22"/>
          <w:szCs w:val="22"/>
        </w:rPr>
        <w:t xml:space="preserve"> raw US BTS On-Time Performance records (January 2023 – May 2025) across the 10 busiest US hub airports. The pipeline proceeds in five stages: (1) baseline benchmarking; (2) statistical modelling (ARIMA, SARIMA, SARIMAX); (3) deep learning point forecasting (LSTM, GRU, Tube Loss LSTM); (4) probabilistic calibration via Quantile Regression Neural Networks (QRNN) with Pinball Loss; and (5) cross-airport propagation analysis combining tail-number flight chains with Granger causality testing.</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Key findings: residuals are non-Gaussian at every airport under every model (Shapiro-Wilk p &lt; 10⁻²⁸), invalidating standard Gaussian prediction intervals. SARIMA(1,0,2)(0,1,1)[7] achieves the best point forecast RMSE of </w:t>
      </w:r>
      <w:r>
        <w:rPr>
          <w:rFonts w:ascii="Times New Roman" w:cs="Times New Roman" w:eastAsia="Times New Roman" w:hAnsi="Times New Roman"/>
          <w:b/>
          <w:bCs/>
          <w:i w:val="false"/>
          <w:iCs w:val="false"/>
          <w:color w:val="000000"/>
          <w:sz w:val="22"/>
          <w:szCs w:val="22"/>
        </w:rPr>
        <w:t xml:space="preserve">4.896 min</w:t>
      </w:r>
      <w:r>
        <w:rPr>
          <w:rFonts w:ascii="Times New Roman" w:cs="Times New Roman" w:eastAsia="Times New Roman" w:hAnsi="Times New Roman"/>
          <w:b w:val="false"/>
          <w:bCs w:val="false"/>
          <w:i w:val="false"/>
          <w:iCs w:val="false"/>
          <w:color w:val="000000"/>
          <w:sz w:val="22"/>
          <w:szCs w:val="22"/>
        </w:rPr>
        <w:t xml:space="preserve"> at PHX — a 23.5% improvement over the best baseline. QRNN achieves prediction interval coverage probability (PICP) of 0.717–0.855 across airports. Cross-airport Granger causality identifies </w:t>
      </w:r>
      <w:r>
        <w:rPr>
          <w:rFonts w:ascii="Times New Roman" w:cs="Times New Roman" w:eastAsia="Times New Roman" w:hAnsi="Times New Roman"/>
          <w:b/>
          <w:bCs/>
          <w:i w:val="false"/>
          <w:iCs w:val="false"/>
          <w:color w:val="000000"/>
          <w:sz w:val="22"/>
          <w:szCs w:val="22"/>
        </w:rPr>
        <w:t xml:space="preserve">68 of 90</w:t>
      </w:r>
      <w:r>
        <w:rPr>
          <w:rFonts w:ascii="Times New Roman" w:cs="Times New Roman" w:eastAsia="Times New Roman" w:hAnsi="Times New Roman"/>
          <w:b w:val="false"/>
          <w:bCs w:val="false"/>
          <w:i w:val="false"/>
          <w:iCs w:val="false"/>
          <w:color w:val="000000"/>
          <w:sz w:val="22"/>
          <w:szCs w:val="22"/>
        </w:rPr>
        <w:t xml:space="preserve"> hub pairs as significant (p &lt; 0.05), and tail-number chain analysis quantifies a mean delay carry-over fraction of </w:t>
      </w:r>
      <w:r>
        <w:rPr>
          <w:rFonts w:ascii="Times New Roman" w:cs="Times New Roman" w:eastAsia="Times New Roman" w:hAnsi="Times New Roman"/>
          <w:b/>
          <w:bCs/>
          <w:i w:val="false"/>
          <w:iCs w:val="false"/>
          <w:color w:val="000000"/>
          <w:sz w:val="22"/>
          <w:szCs w:val="22"/>
        </w:rPr>
        <w:t xml:space="preserve">74.2%</w:t>
      </w:r>
      <w:r>
        <w:rPr>
          <w:rFonts w:ascii="Times New Roman" w:cs="Times New Roman" w:eastAsia="Times New Roman" w:hAnsi="Times New Roman"/>
          <w:b w:val="false"/>
          <w:bCs w:val="false"/>
          <w:i w:val="false"/>
          <w:iCs w:val="false"/>
          <w:color w:val="000000"/>
          <w:sz w:val="22"/>
          <w:szCs w:val="22"/>
        </w:rPr>
        <w:t xml:space="preserve"> across 793,941 consecutive flight legs. A novel hourly alert system achieves macro-average F1 = </w:t>
      </w:r>
      <w:r>
        <w:rPr>
          <w:rFonts w:ascii="Times New Roman" w:cs="Times New Roman" w:eastAsia="Times New Roman" w:hAnsi="Times New Roman"/>
          <w:b/>
          <w:bCs/>
          <w:i w:val="false"/>
          <w:iCs w:val="false"/>
          <w:color w:val="000000"/>
          <w:sz w:val="22"/>
          <w:szCs w:val="22"/>
        </w:rPr>
        <w:t xml:space="preserve">0.760</w:t>
      </w:r>
      <w:r>
        <w:rPr>
          <w:rFonts w:ascii="Times New Roman" w:cs="Times New Roman" w:eastAsia="Times New Roman" w:hAnsi="Times New Roman"/>
          <w:b w:val="false"/>
          <w:bCs w:val="false"/>
          <w:i w:val="false"/>
          <w:iCs w:val="false"/>
          <w:color w:val="000000"/>
          <w:sz w:val="22"/>
          <w:szCs w:val="22"/>
        </w:rPr>
        <w:t xml:space="preserve"> on a 366-day held-out test — a 2.1× improvement over a daily-granularity system.</w:t>
      </w:r>
    </w:p>
    <w:p>
      <w:pPr>
        <w:spacing w:after="80" w:before="0" w:line="276"/>
        <w:jc w:val="left"/>
      </w:pPr>
      <w:r>
        <w:rPr>
          <w:rFonts w:ascii="Times New Roman" w:cs="Times New Roman" w:eastAsia="Times New Roman" w:hAnsi="Times New Roman"/>
          <w:b w:val="false"/>
          <w:bCs w:val="false"/>
          <w:i w:val="false"/>
          <w:iCs w:val="false"/>
          <w:color w:val="000000"/>
          <w:sz w:val="22"/>
          <w:szCs w:val="22"/>
        </w:rPr>
        <w:t xml:space="preserve">Problem Statement: </w:t>
      </w:r>
      <w:r>
        <w:rPr>
          <w:rFonts w:ascii="Times New Roman" w:cs="Times New Roman" w:eastAsia="Times New Roman" w:hAnsi="Times New Roman"/>
          <w:b/>
          <w:bCs/>
          <w:i w:val="false"/>
          <w:iCs w:val="false"/>
          <w:color w:val="000000"/>
          <w:sz w:val="22"/>
          <w:szCs w:val="22"/>
        </w:rPr>
        <w:t xml:space="preserve">Build a probabilistic forecasting pipeline providing calibrated prediction intervals and modelling cross-airport delay propagation for early disruption warnings.</w:t>
      </w:r>
    </w:p>
    <w:p>
      <w:pPr>
        <w:spacing w:after="80" w:before="0" w:line="276"/>
        <w:jc w:val="left"/>
      </w:pPr>
      <w:r>
        <w:rPr>
          <w:rFonts w:ascii="Times New Roman" w:cs="Times New Roman" w:eastAsia="Times New Roman" w:hAnsi="Times New Roman"/>
          <w:b w:val="false"/>
          <w:bCs w:val="false"/>
          <w:i w:val="false"/>
          <w:iCs w:val="false"/>
          <w:color w:val="000000"/>
          <w:sz w:val="22"/>
          <w:szCs w:val="22"/>
        </w:rPr>
        <w:t xml:space="preserve">Methods Used: </w:t>
      </w:r>
      <w:r>
        <w:rPr>
          <w:rFonts w:ascii="Times New Roman" w:cs="Times New Roman" w:eastAsia="Times New Roman" w:hAnsi="Times New Roman"/>
          <w:b/>
          <w:bCs/>
          <w:i w:val="false"/>
          <w:iCs w:val="false"/>
          <w:color w:val="000000"/>
          <w:sz w:val="22"/>
          <w:szCs w:val="22"/>
        </w:rPr>
        <w:t xml:space="preserve">ARIMA, SARIMA, SARIMAX, LSTM, GRU, Tube Loss LSTM, QRNN (Pinball Loss), Granger causality, tail-number chain analysis, Streamlit dashboard.</w:t>
      </w:r>
    </w:p>
    <w:p>
      <w:pPr>
        <w:spacing w:after="120" w:before="0" w:line="276"/>
        <w:jc w:val="left"/>
      </w:pPr>
      <w:r>
        <w:rPr>
          <w:rFonts w:ascii="Times New Roman" w:cs="Times New Roman" w:eastAsia="Times New Roman" w:hAnsi="Times New Roman"/>
          <w:b w:val="false"/>
          <w:bCs w:val="false"/>
          <w:i w:val="false"/>
          <w:iCs w:val="false"/>
          <w:color w:val="000000"/>
          <w:sz w:val="22"/>
          <w:szCs w:val="22"/>
        </w:rPr>
        <w:t xml:space="preserve">Key Findings: </w:t>
      </w:r>
      <w:r>
        <w:rPr>
          <w:rFonts w:ascii="Times New Roman" w:cs="Times New Roman" w:eastAsia="Times New Roman" w:hAnsi="Times New Roman"/>
          <w:b/>
          <w:bCs/>
          <w:i w:val="false"/>
          <w:iCs w:val="false"/>
          <w:color w:val="000000"/>
          <w:sz w:val="22"/>
          <w:szCs w:val="22"/>
        </w:rPr>
        <w:t xml:space="preserve">(1) Universal non-Gaussianity motivates QRNN. (2) SARIMA champion model. (3) 68/90 propagation pairs significant; hourly alert F1 = 0.760.</w:t>
      </w:r>
    </w:p>
    <w:p>
      <w:r>
        <w:br w:type="page"/>
      </w:r>
    </w:p>
    <w:p>
      <w:pPr>
        <w:pStyle w:val="Heading1"/>
        <w:spacing w:after="120" w:before="300"/>
      </w:pPr>
      <w:r>
        <w:rPr>
          <w:rFonts w:ascii="Times New Roman" w:cs="Times New Roman" w:eastAsia="Times New Roman" w:hAnsi="Times New Roman"/>
          <w:b/>
          <w:bCs/>
          <w:color w:val="1F3864"/>
          <w:sz w:val="26"/>
          <w:szCs w:val="26"/>
        </w:rPr>
        <w:t xml:space="preserve">3. Introduction</w:t>
      </w:r>
    </w:p>
    <w:p>
      <w:pPr>
        <w:pBdr>
          <w:bottom w:val="single" w:color="2E75B6" w:sz="6" w:space="1"/>
        </w:pBdr>
        <w:spacing w:after="140"/>
      </w:pPr>
      <w:r>
        <w:rPr>
          <w:rFonts w:ascii="Times New Roman" w:cs="Times New Roman" w:eastAsia="Times New Roman" w:hAnsi="Times New Roman"/>
          <w:b w:val="false"/>
          <w:bCs w:val="false"/>
          <w:i w:val="false"/>
          <w:iCs w:val="false"/>
          <w:color w:val="000000"/>
          <w:sz w:val="22"/>
          <w:szCs w:val="22"/>
        </w:rPr>
        <w:t xml:space="preserve"/>
      </w:r>
    </w:p>
    <w:p>
      <w:pPr>
        <w:pStyle w:val="Heading2"/>
        <w:spacing w:after="80" w:before="220"/>
      </w:pPr>
      <w:r>
        <w:rPr>
          <w:rFonts w:ascii="Times New Roman" w:cs="Times New Roman" w:eastAsia="Times New Roman" w:hAnsi="Times New Roman"/>
          <w:b/>
          <w:bCs/>
          <w:sz w:val="24"/>
          <w:szCs w:val="24"/>
        </w:rPr>
        <w:t xml:space="preserve">3.1 Background and Motivation</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Context of the Forecasting Problem:</w:t>
      </w:r>
      <w:r>
        <w:rPr>
          <w:rFonts w:ascii="Times New Roman" w:cs="Times New Roman" w:eastAsia="Times New Roman" w:hAnsi="Times New Roman"/>
          <w:b w:val="false"/>
          <w:bCs w:val="false"/>
          <w:i w:val="false"/>
          <w:iCs w:val="false"/>
          <w:color w:val="000000"/>
          <w:sz w:val="22"/>
          <w:szCs w:val="22"/>
        </w:rPr>
        <w:t xml:space="preserve"> The US domestic aviation system handles approximately 45,000 flights daily across a network of interconnected hubs. Departure delays at one hub propagate physically through the network as the same aircraft, crew, and connecting passengers travel downstream. This propagation mechanism — commonly called the “rotation effect” — means that a 45-minute delay at Chicago O’Hare at 08:00 can produce a 35-minute delay at Dallas–Fort Worth by 13:00, and further cascades to Miami by 17:00. The US Bureau of Transportation Statistics (BTS) independently labels this mechanism as </w:t>
      </w:r>
      <w:r>
        <w:rPr>
          <w:rFonts w:ascii="Times New Roman" w:cs="Times New Roman" w:eastAsia="Times New Roman" w:hAnsi="Times New Roman"/>
          <w:b w:val="false"/>
          <w:bCs w:val="false"/>
          <w:i/>
          <w:iCs/>
          <w:color w:val="000000"/>
          <w:sz w:val="22"/>
          <w:szCs w:val="22"/>
        </w:rPr>
        <w:t xml:space="preserve">LATE_AIRCRAFT_DELAY</w:t>
      </w:r>
      <w:r>
        <w:rPr>
          <w:rFonts w:ascii="Times New Roman" w:cs="Times New Roman" w:eastAsia="Times New Roman" w:hAnsi="Times New Roman"/>
          <w:b w:val="false"/>
          <w:bCs w:val="false"/>
          <w:i w:val="false"/>
          <w:iCs w:val="false"/>
          <w:color w:val="000000"/>
          <w:sz w:val="22"/>
          <w:szCs w:val="22"/>
        </w:rPr>
        <w:t xml:space="preserve"> in its per-flight records, providing a ground-truth signal for validation.</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Why It Is Important and Its Impact:</w:t>
      </w:r>
      <w:r>
        <w:rPr>
          <w:rFonts w:ascii="Times New Roman" w:cs="Times New Roman" w:eastAsia="Times New Roman" w:hAnsi="Times New Roman"/>
          <w:b w:val="false"/>
          <w:bCs w:val="false"/>
          <w:i w:val="false"/>
          <w:iCs w:val="false"/>
          <w:color w:val="000000"/>
          <w:sz w:val="22"/>
          <w:szCs w:val="22"/>
        </w:rPr>
        <w:t xml:space="preserve"> The FAA estimates that airline delays cost the US economy approximately $33 billion annually. Passenger disruption, crew misplacement, gate conflicts, and fleet downgrading all compound primary delay costs. Crucially, these costs are nonlinear: a 5-minute departure delay typically causes 0–2 minutes of network impact, but a 60-minute delay at a major hub can cascade into hundreds of downstream minutes across dozens of flights. Accurate and calibrated probabilistic forecasts that quantify uncertainty enable operations centres to pre-position standby crew, issue gate-hold advisories, and notify connecting passengers before cascades materialise.</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What Are the Associated Challenges:</w:t>
      </w:r>
      <w:r>
        <w:rPr>
          <w:rFonts w:ascii="Times New Roman" w:cs="Times New Roman" w:eastAsia="Times New Roman" w:hAnsi="Times New Roman"/>
          <w:b w:val="false"/>
          <w:bCs w:val="false"/>
          <w:i w:val="false"/>
          <w:iCs w:val="false"/>
          <w:color w:val="000000"/>
          <w:sz w:val="22"/>
          <w:szCs w:val="22"/>
        </w:rPr>
        <w:t xml:space="preserve"> Three challenges motivate this project. First, </w:t>
      </w:r>
      <w:r>
        <w:rPr>
          <w:rFonts w:ascii="Times New Roman" w:cs="Times New Roman" w:eastAsia="Times New Roman" w:hAnsi="Times New Roman"/>
          <w:b/>
          <w:bCs/>
          <w:i w:val="false"/>
          <w:iCs w:val="false"/>
          <w:color w:val="000000"/>
          <w:sz w:val="22"/>
          <w:szCs w:val="22"/>
        </w:rPr>
        <w:t xml:space="preserve">non-Gaussian noise</w:t>
      </w:r>
      <w:r>
        <w:rPr>
          <w:rFonts w:ascii="Times New Roman" w:cs="Times New Roman" w:eastAsia="Times New Roman" w:hAnsi="Times New Roman"/>
          <w:b w:val="false"/>
          <w:bCs w:val="false"/>
          <w:i w:val="false"/>
          <w:iCs w:val="false"/>
          <w:color w:val="000000"/>
          <w:sz w:val="22"/>
          <w:szCs w:val="22"/>
        </w:rPr>
        <w:t xml:space="preserve">: flight delay distributions are zero-bounded, heavily right-skewed, and multi-modal, rendering standard Gaussian prediction intervals systematically over-narrow at the right tail where operational impact is greatest. Second, </w:t>
      </w:r>
      <w:r>
        <w:rPr>
          <w:rFonts w:ascii="Times New Roman" w:cs="Times New Roman" w:eastAsia="Times New Roman" w:hAnsi="Times New Roman"/>
          <w:b/>
          <w:bCs/>
          <w:i w:val="false"/>
          <w:iCs w:val="false"/>
          <w:color w:val="000000"/>
          <w:sz w:val="22"/>
          <w:szCs w:val="22"/>
        </w:rPr>
        <w:t xml:space="preserve">network dependence</w:t>
      </w:r>
      <w:r>
        <w:rPr>
          <w:rFonts w:ascii="Times New Roman" w:cs="Times New Roman" w:eastAsia="Times New Roman" w:hAnsi="Times New Roman"/>
          <w:b w:val="false"/>
          <w:bCs w:val="false"/>
          <w:i w:val="false"/>
          <w:iCs w:val="false"/>
          <w:color w:val="000000"/>
          <w:sz w:val="22"/>
          <w:szCs w:val="22"/>
        </w:rPr>
        <w:t xml:space="preserve">: standard time-series models treat each airport independently, discarding the causal information contained in upstream delays. Third, </w:t>
      </w:r>
      <w:r>
        <w:rPr>
          <w:rFonts w:ascii="Times New Roman" w:cs="Times New Roman" w:eastAsia="Times New Roman" w:hAnsi="Times New Roman"/>
          <w:b/>
          <w:bCs/>
          <w:i w:val="false"/>
          <w:iCs w:val="false"/>
          <w:color w:val="000000"/>
          <w:sz w:val="22"/>
          <w:szCs w:val="22"/>
        </w:rPr>
        <w:t xml:space="preserve">granularity mismatch</w:t>
      </w:r>
      <w:r>
        <w:rPr>
          <w:rFonts w:ascii="Times New Roman" w:cs="Times New Roman" w:eastAsia="Times New Roman" w:hAnsi="Times New Roman"/>
          <w:b w:val="false"/>
          <w:bCs w:val="false"/>
          <w:i w:val="false"/>
          <w:iCs w:val="false"/>
          <w:color w:val="000000"/>
          <w:sz w:val="22"/>
          <w:szCs w:val="22"/>
        </w:rPr>
        <w:t xml:space="preserve">: daily-average models miss intra-day patterns (morning weather, afternoon thunderstorm, evening cascade) that are the actual operational signal.</w:t>
      </w:r>
    </w:p>
    <w:p>
      <w:pPr>
        <w:pStyle w:val="Heading2"/>
        <w:spacing w:after="80" w:before="220"/>
      </w:pPr>
      <w:r>
        <w:rPr>
          <w:rFonts w:ascii="Times New Roman" w:cs="Times New Roman" w:eastAsia="Times New Roman" w:hAnsi="Times New Roman"/>
          <w:b/>
          <w:bCs/>
          <w:sz w:val="24"/>
          <w:szCs w:val="24"/>
        </w:rPr>
        <w:t xml:space="preserve">3.2 Problem Statement</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We address the following composite forecasting problem: given the historical daily mean departure delay time series at 10 US hub airports, together with the flight-level aircraft rotation graph, produce (a) calibrated 90% prediction intervals for the next-day average departure delay at each hub and (b) an hourly alert system that predicts, with a precision exceeding 0.80, which downstream hub airports will experience delay spikes within 1–7 days of an observed upstream elevation.</w:t>
      </w:r>
    </w:p>
    <w:p>
      <w:pPr>
        <w:pStyle w:val="Heading2"/>
        <w:spacing w:after="80" w:before="220"/>
      </w:pPr>
      <w:r>
        <w:rPr>
          <w:rFonts w:ascii="Times New Roman" w:cs="Times New Roman" w:eastAsia="Times New Roman" w:hAnsi="Times New Roman"/>
          <w:b/>
          <w:bCs/>
          <w:sz w:val="24"/>
          <w:szCs w:val="24"/>
        </w:rPr>
        <w:t xml:space="preserve">3.3 Objectives</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Benchmark four naive baselines and establish a minimum acceptable RMSE floor.</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Fit and evaluate ARIMA, SARIMA, and SARIMAX on the daily delay series per airport, with rigorous residual diagnostics.</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Train LSTM, GRU, and Tube Loss LSTM deep learning models and compare against statistical baselines.</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Train a QRNN with Pinball Loss to produce calibrated 90% prediction intervals; evaluate with PICP, PINAW, and Winkler score.</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Formally prove non-Gaussianity of residuals across all model families and airports.</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Quantify physical delay propagation via tail-number flight chains and validate against BTS LATE_AIRCRAFT_DELAY.</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Identify statistically significant propagation relationships via Granger causality on daily aggregated series.</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Build and evaluate an hourly alert system leveraging Granger lags converted to hourly windows.</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Deploy all findings in an interactive Streamlit operations dashboard with eight functional pages.</w:t>
      </w:r>
    </w:p>
    <w:p>
      <w:pPr>
        <w:spacing w:after="80"/>
      </w:pPr>
      <w:r>
        <w:rPr>
          <w:rFonts w:ascii="Times New Roman" w:cs="Times New Roman" w:eastAsia="Times New Roman" w:hAnsi="Times New Roman"/>
          <w:b w:val="false"/>
          <w:bCs w:val="false"/>
          <w:i w:val="false"/>
          <w:iCs w:val="false"/>
          <w:color w:val="000000"/>
          <w:sz w:val="22"/>
          <w:szCs w:val="22"/>
        </w:rPr>
        <w:t xml:space="preserve"/>
      </w:r>
    </w:p>
    <w:p>
      <w:r>
        <w:br w:type="page"/>
      </w:r>
    </w:p>
    <w:p>
      <w:pPr>
        <w:pStyle w:val="Heading1"/>
        <w:spacing w:after="120" w:before="300"/>
      </w:pPr>
      <w:r>
        <w:rPr>
          <w:rFonts w:ascii="Times New Roman" w:cs="Times New Roman" w:eastAsia="Times New Roman" w:hAnsi="Times New Roman"/>
          <w:b/>
          <w:bCs/>
          <w:color w:val="1F3864"/>
          <w:sz w:val="26"/>
          <w:szCs w:val="26"/>
        </w:rPr>
        <w:t xml:space="preserve">4. Data Source</w:t>
      </w:r>
    </w:p>
    <w:p>
      <w:pPr>
        <w:pBdr>
          <w:bottom w:val="single" w:color="2E75B6" w:sz="6" w:space="1"/>
        </w:pBdr>
        <w:spacing w:after="140"/>
      </w:pPr>
      <w:r>
        <w:rPr>
          <w:rFonts w:ascii="Times New Roman" w:cs="Times New Roman" w:eastAsia="Times New Roman" w:hAnsi="Times New Roman"/>
          <w:b w:val="false"/>
          <w:bCs w:val="false"/>
          <w:i w:val="false"/>
          <w:iCs w:val="false"/>
          <w:color w:val="000000"/>
          <w:sz w:val="22"/>
          <w:szCs w:val="22"/>
        </w:rPr>
        <w:t xml:space="preserve"/>
      </w:r>
    </w:p>
    <w:p>
      <w:pPr>
        <w:spacing w:after="60" w:before="0" w:line="276"/>
        <w:jc w:val="left"/>
      </w:pPr>
      <w:r>
        <w:rPr>
          <w:rFonts w:ascii="Times New Roman" w:cs="Times New Roman" w:eastAsia="Times New Roman" w:hAnsi="Times New Roman"/>
          <w:b w:val="false"/>
          <w:bCs w:val="false"/>
          <w:i w:val="false"/>
          <w:iCs w:val="false"/>
          <w:color w:val="000000"/>
          <w:sz w:val="22"/>
          <w:szCs w:val="22"/>
        </w:rPr>
        <w:t xml:space="preserve">Source: </w:t>
      </w:r>
      <w:r>
        <w:rPr>
          <w:rFonts w:ascii="Times New Roman" w:cs="Times New Roman" w:eastAsia="Times New Roman" w:hAnsi="Times New Roman"/>
          <w:b/>
          <w:bCs/>
          <w:i w:val="false"/>
          <w:iCs w:val="false"/>
          <w:color w:val="000000"/>
          <w:sz w:val="22"/>
          <w:szCs w:val="22"/>
        </w:rPr>
        <w:t xml:space="preserve">US Bureau of Transportation Statistics (BTS) On-Time Performance Dataset</w:t>
      </w:r>
    </w:p>
    <w:p>
      <w:pPr>
        <w:spacing w:after="60" w:before="0" w:line="276"/>
        <w:jc w:val="left"/>
      </w:pPr>
      <w:r>
        <w:rPr>
          <w:rFonts w:ascii="Times New Roman" w:cs="Times New Roman" w:eastAsia="Times New Roman" w:hAnsi="Times New Roman"/>
          <w:b w:val="false"/>
          <w:bCs w:val="false"/>
          <w:i w:val="false"/>
          <w:iCs w:val="false"/>
          <w:color w:val="000000"/>
          <w:sz w:val="22"/>
          <w:szCs w:val="22"/>
        </w:rPr>
        <w:t xml:space="preserve">URL: </w:t>
      </w:r>
      <w:r>
        <w:rPr>
          <w:rFonts w:ascii="Times New Roman" w:cs="Times New Roman" w:eastAsia="Times New Roman" w:hAnsi="Times New Roman"/>
          <w:b w:val="false"/>
          <w:bCs w:val="false"/>
          <w:i/>
          <w:iCs/>
          <w:color w:val="000000"/>
          <w:sz w:val="22"/>
          <w:szCs w:val="22"/>
        </w:rPr>
        <w:t xml:space="preserve">transtats.bts.gov — free, no API key, no trial, available since 1987</w:t>
      </w:r>
    </w:p>
    <w:p>
      <w:pPr>
        <w:spacing w:after="60" w:before="0" w:line="276"/>
        <w:jc w:val="left"/>
      </w:pPr>
      <w:r>
        <w:rPr>
          <w:rFonts w:ascii="Times New Roman" w:cs="Times New Roman" w:eastAsia="Times New Roman" w:hAnsi="Times New Roman"/>
          <w:b w:val="false"/>
          <w:bCs w:val="false"/>
          <w:i w:val="false"/>
          <w:iCs w:val="false"/>
          <w:color w:val="000000"/>
          <w:sz w:val="22"/>
          <w:szCs w:val="22"/>
        </w:rPr>
        <w:t xml:space="preserve">Time Period: </w:t>
      </w:r>
      <w:r>
        <w:rPr>
          <w:rFonts w:ascii="Times New Roman" w:cs="Times New Roman" w:eastAsia="Times New Roman" w:hAnsi="Times New Roman"/>
          <w:b/>
          <w:bCs/>
          <w:i w:val="false"/>
          <w:iCs w:val="false"/>
          <w:color w:val="000000"/>
          <w:sz w:val="22"/>
          <w:szCs w:val="22"/>
        </w:rPr>
        <w:t xml:space="preserve">January 2023 – May 2025 (29 monthly CSV/Parquet downloads)</w:t>
      </w:r>
    </w:p>
    <w:p>
      <w:pPr>
        <w:spacing w:after="120" w:before="0" w:line="276"/>
        <w:jc w:val="left"/>
      </w:pPr>
      <w:r>
        <w:rPr>
          <w:rFonts w:ascii="Times New Roman" w:cs="Times New Roman" w:eastAsia="Times New Roman" w:hAnsi="Times New Roman"/>
          <w:b w:val="false"/>
          <w:bCs w:val="false"/>
          <w:i w:val="false"/>
          <w:iCs w:val="false"/>
          <w:color w:val="000000"/>
          <w:sz w:val="22"/>
          <w:szCs w:val="22"/>
        </w:rPr>
        <w:t xml:space="preserve">Raw Volume: </w:t>
      </w:r>
      <w:r>
        <w:rPr>
          <w:rFonts w:ascii="Times New Roman" w:cs="Times New Roman" w:eastAsia="Times New Roman" w:hAnsi="Times New Roman"/>
          <w:b/>
          <w:bCs/>
          <w:i w:val="false"/>
          <w:iCs w:val="false"/>
          <w:color w:val="000000"/>
          <w:sz w:val="22"/>
          <w:szCs w:val="22"/>
        </w:rPr>
        <w:t xml:space="preserve">22,085,189 individual flight records across 39 fields</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Each record represents one scheduled departure and includes: FlightDate, Reporting_Airline, Tail_Number (aircraft registration), Origin, Dest, CRS_DEP_TIME (scheduled), DEP_TIME (actual), DEP_DELAY (minutes), ARR_DELAY, CANCELLED, DIVERTED, and the five BTS delay-cause breakdown fields: CARRIER_DELAY, WEATHER_DELAY, NAS_DELAY, SECURITY_DELAY, and LATE_AIRCRAFT_DELAY. The LATE_AIRCRAFT_DELAY field is particularly valuable because BTS independently labels how many minutes of each departure delay were caused by a late inbound aircraft, providing a ground-truth cross-validation signal for our tail-number propagation analysis.</w:t>
      </w:r>
    </w:p>
    <w:p>
      <w:pPr>
        <w:pStyle w:val="Heading2"/>
        <w:spacing w:after="80" w:before="220"/>
      </w:pPr>
      <w:r>
        <w:rPr>
          <w:rFonts w:ascii="Times New Roman" w:cs="Times New Roman" w:eastAsia="Times New Roman" w:hAnsi="Times New Roman"/>
          <w:b/>
          <w:bCs/>
          <w:sz w:val="24"/>
          <w:szCs w:val="24"/>
        </w:rPr>
        <w:t xml:space="preserve">4.2 Data Characteristics</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Variables: 39 columns per flight record (continuous delay times, categorical carrier/origin/dest codes, binary flags)</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Granularity: individual flight level (minute precision), aggregated to daily mean per airport for modelling</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Frequency: daily aggregation yields 8,819 rows × 10 airports after hub filtering</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Target variable: daily mean departure delay in minutes per airport (avg_dep_delay)</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BTS defines a delay as DEP_DELAY ≥ 15 minutes; pct_delayed = fraction of flights meeting this threshold</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Airport scope: 10 busiest hubs by departure volume — ATL (1,036K), DEN (951K), DFW (941K), ORD (894K), CLT (631K), LAX (605K), PHX (591K), LAS (590K), SEA (516K), MCO (501K)</w:t>
      </w:r>
    </w:p>
    <w:p>
      <w:pPr>
        <w:spacing w:after="80"/>
      </w:pPr>
      <w:r>
        <w:rPr>
          <w:rFonts w:ascii="Times New Roman" w:cs="Times New Roman" w:eastAsia="Times New Roman" w:hAnsi="Times New Roman"/>
          <w:b w:val="false"/>
          <w:bCs w:val="false"/>
          <w:i w:val="false"/>
          <w:iCs w:val="false"/>
          <w:color w:val="000000"/>
          <w:sz w:val="22"/>
          <w:szCs w:val="22"/>
        </w:rPr>
        <w:t xml:space="preserve"/>
      </w:r>
    </w:p>
    <w:p>
      <w:pPr>
        <w:pStyle w:val="Heading2"/>
        <w:spacing w:after="80" w:before="220"/>
      </w:pPr>
      <w:r>
        <w:rPr>
          <w:rFonts w:ascii="Times New Roman" w:cs="Times New Roman" w:eastAsia="Times New Roman" w:hAnsi="Times New Roman"/>
          <w:b/>
          <w:bCs/>
          <w:sz w:val="24"/>
          <w:szCs w:val="24"/>
        </w:rPr>
        <w:t xml:space="preserve">4.3 Data Pre-processing</w:t>
      </w:r>
    </w:p>
    <w:p>
      <w:pPr>
        <w:pStyle w:val="Heading3"/>
        <w:spacing w:after="60" w:before="160"/>
      </w:pPr>
      <w:r>
        <w:rPr>
          <w:rFonts w:ascii="Times New Roman" w:cs="Times New Roman" w:eastAsia="Times New Roman" w:hAnsi="Times New Roman"/>
          <w:b/>
          <w:bCs/>
          <w:i/>
          <w:iCs/>
          <w:sz w:val="22"/>
          <w:szCs w:val="22"/>
        </w:rPr>
        <w:t xml:space="preserve">Missing Values Handling</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Drop cancelled (CANCELLED=1) and diverted (DIVERTED=1) flights: −372,559 rows (1.69%)</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Drop records with null DEP_DELAY: no additional rows lost post-cancellation filter</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Fill all delay-cause NaN fields (CARRIER_DELAY, WEATHER_DELAY, NAS_DELAY, SECURITY_DELAY, LATE_AIRCRAFT_DELAY) with 0 — NaN in these fields means the delay cause was not applicable, not missing</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Clip DEP_DELAY to [−60, +600] minutes: removes 32,271 data-entry artefacts (e.g., impossible −90 min “delay” or +900 min outliers)</w:t>
      </w:r>
    </w:p>
    <w:p>
      <w:pPr>
        <w:pStyle w:val="Heading3"/>
        <w:spacing w:after="60" w:before="160"/>
      </w:pPr>
      <w:r>
        <w:rPr>
          <w:rFonts w:ascii="Times New Roman" w:cs="Times New Roman" w:eastAsia="Times New Roman" w:hAnsi="Times New Roman"/>
          <w:b/>
          <w:bCs/>
          <w:i/>
          <w:iCs/>
          <w:sz w:val="22"/>
          <w:szCs w:val="22"/>
        </w:rPr>
        <w:t xml:space="preserve">Normalisation / Scaling</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No global normalisation is applied to the target series for ARIMA/SARIMA (models operate in original units: minutes)</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Deep learning inputs: features are standardised per airport using StandardScaler fit on training data only; inverse transform is applied before evaluation to report metrics in original minutes</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QRNN quantile outputs are inverse-transformed to minutes before PICP/PINAW/Winkler computation</w:t>
      </w:r>
    </w:p>
    <w:p>
      <w:pPr>
        <w:pStyle w:val="Heading3"/>
        <w:spacing w:after="60" w:before="160"/>
      </w:pPr>
      <w:r>
        <w:rPr>
          <w:rFonts w:ascii="Times New Roman" w:cs="Times New Roman" w:eastAsia="Times New Roman" w:hAnsi="Times New Roman"/>
          <w:b/>
          <w:bCs/>
          <w:i/>
          <w:iCs/>
          <w:sz w:val="22"/>
          <w:szCs w:val="22"/>
        </w:rPr>
        <w:t xml:space="preserve">Feature Engineering</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23 features total per airport per day:</w:t>
      </w:r>
    </w:p>
    <w:p>
      <w:pPr>
        <w:pStyle w:val="ListParagraph"/>
        <w:numPr>
          <w:ilvl w:val="0"/>
          <w:numId w:val="2"/>
        </w:numPr>
        <w:spacing w:after="60" w:line="276"/>
      </w:pPr>
      <w:r>
        <w:rPr>
          <w:rFonts w:ascii="Times New Roman" w:cs="Times New Roman" w:eastAsia="Times New Roman" w:hAnsi="Times New Roman"/>
          <w:b/>
          <w:bCs/>
          <w:i w:val="false"/>
          <w:iCs w:val="false"/>
          <w:color w:val="000000"/>
          <w:sz w:val="22"/>
          <w:szCs w:val="22"/>
        </w:rPr>
        <w:t xml:space="preserve">Cyclical encodings</w:t>
      </w:r>
      <w:r>
        <w:rPr>
          <w:rFonts w:ascii="Times New Roman" w:cs="Times New Roman" w:eastAsia="Times New Roman" w:hAnsi="Times New Roman"/>
          <w:b w:val="false"/>
          <w:bCs w:val="false"/>
          <w:i w:val="false"/>
          <w:iCs w:val="false"/>
          <w:color w:val="000000"/>
          <w:sz w:val="22"/>
          <w:szCs w:val="22"/>
        </w:rPr>
        <w:t xml:space="preserve">: sin/cos pairs for month-of-year, day-of-week, and day-of-year. These preserve the cyclic adjacency (December is adjacent to January) that one-hot encoding discards.</w:t>
      </w:r>
    </w:p>
    <w:p>
      <w:pPr>
        <w:pStyle w:val="ListParagraph"/>
        <w:numPr>
          <w:ilvl w:val="0"/>
          <w:numId w:val="2"/>
        </w:numPr>
        <w:spacing w:after="60" w:line="276"/>
      </w:pPr>
      <w:r>
        <w:rPr>
          <w:rFonts w:ascii="Times New Roman" w:cs="Times New Roman" w:eastAsia="Times New Roman" w:hAnsi="Times New Roman"/>
          <w:b/>
          <w:bCs/>
          <w:i w:val="false"/>
          <w:iCs w:val="false"/>
          <w:color w:val="000000"/>
          <w:sz w:val="22"/>
          <w:szCs w:val="22"/>
        </w:rPr>
        <w:t xml:space="preserve">Lag features</w:t>
      </w:r>
      <w:r>
        <w:rPr>
          <w:rFonts w:ascii="Times New Roman" w:cs="Times New Roman" w:eastAsia="Times New Roman" w:hAnsi="Times New Roman"/>
          <w:b w:val="false"/>
          <w:bCs w:val="false"/>
          <w:i w:val="false"/>
          <w:iCs w:val="false"/>
          <w:color w:val="000000"/>
          <w:sz w:val="22"/>
          <w:szCs w:val="22"/>
        </w:rPr>
        <w:t xml:space="preserve">: lag_1 (yesterday), lag_2, lag_3, lag_7 (same weekday last week), lag_14. All use .shift(1) to guarantee no future leakage.</w:t>
      </w:r>
    </w:p>
    <w:p>
      <w:pPr>
        <w:pStyle w:val="ListParagraph"/>
        <w:numPr>
          <w:ilvl w:val="0"/>
          <w:numId w:val="2"/>
        </w:numPr>
        <w:spacing w:after="60" w:line="276"/>
      </w:pPr>
      <w:r>
        <w:rPr>
          <w:rFonts w:ascii="Times New Roman" w:cs="Times New Roman" w:eastAsia="Times New Roman" w:hAnsi="Times New Roman"/>
          <w:b/>
          <w:bCs/>
          <w:i w:val="false"/>
          <w:iCs w:val="false"/>
          <w:color w:val="000000"/>
          <w:sz w:val="22"/>
          <w:szCs w:val="22"/>
        </w:rPr>
        <w:t xml:space="preserve">Rolling statistics</w:t>
      </w:r>
      <w:r>
        <w:rPr>
          <w:rFonts w:ascii="Times New Roman" w:cs="Times New Roman" w:eastAsia="Times New Roman" w:hAnsi="Times New Roman"/>
          <w:b w:val="false"/>
          <w:bCs w:val="false"/>
          <w:i w:val="false"/>
          <w:iCs w:val="false"/>
          <w:color w:val="000000"/>
          <w:sz w:val="22"/>
          <w:szCs w:val="22"/>
        </w:rPr>
        <w:t xml:space="preserve">: rolling mean at 7, 14, 30 days; rolling std at 7 and 14 days. Computed with .shift(1).rolling(window) to prevent look-ahead bias.</w:t>
      </w:r>
    </w:p>
    <w:p>
      <w:pPr>
        <w:pStyle w:val="ListParagraph"/>
        <w:numPr>
          <w:ilvl w:val="0"/>
          <w:numId w:val="2"/>
        </w:numPr>
        <w:spacing w:after="60" w:line="276"/>
      </w:pPr>
      <w:r>
        <w:rPr>
          <w:rFonts w:ascii="Times New Roman" w:cs="Times New Roman" w:eastAsia="Times New Roman" w:hAnsi="Times New Roman"/>
          <w:b/>
          <w:bCs/>
          <w:i w:val="false"/>
          <w:iCs w:val="false"/>
          <w:color w:val="000000"/>
          <w:sz w:val="22"/>
          <w:szCs w:val="22"/>
        </w:rPr>
        <w:t xml:space="preserve">Calendar flags</w:t>
      </w:r>
      <w:r>
        <w:rPr>
          <w:rFonts w:ascii="Times New Roman" w:cs="Times New Roman" w:eastAsia="Times New Roman" w:hAnsi="Times New Roman"/>
          <w:b w:val="false"/>
          <w:bCs w:val="false"/>
          <w:i w:val="false"/>
          <w:iCs w:val="false"/>
          <w:color w:val="000000"/>
          <w:sz w:val="22"/>
          <w:szCs w:val="22"/>
        </w:rPr>
        <w:t xml:space="preserve">: is_weekend, is_monday, is_friday (high-delay days per EDA), is_summer (June–August: thunderstorm season), is_holiday_season (November–December: Thanksgiving and Christmas peaks).</w:t>
      </w:r>
    </w:p>
    <w:p>
      <w:pPr>
        <w:pStyle w:val="ListParagraph"/>
        <w:numPr>
          <w:ilvl w:val="0"/>
          <w:numId w:val="2"/>
        </w:numPr>
        <w:spacing w:after="60" w:line="276"/>
      </w:pPr>
      <w:r>
        <w:rPr>
          <w:rFonts w:ascii="Times New Roman" w:cs="Times New Roman" w:eastAsia="Times New Roman" w:hAnsi="Times New Roman"/>
          <w:b/>
          <w:bCs/>
          <w:i w:val="false"/>
          <w:iCs w:val="false"/>
          <w:color w:val="000000"/>
          <w:sz w:val="22"/>
          <w:szCs w:val="22"/>
        </w:rPr>
        <w:t xml:space="preserve">Operational features</w:t>
      </w:r>
      <w:r>
        <w:rPr>
          <w:rFonts w:ascii="Times New Roman" w:cs="Times New Roman" w:eastAsia="Times New Roman" w:hAnsi="Times New Roman"/>
          <w:b w:val="false"/>
          <w:bCs w:val="false"/>
          <w:i w:val="false"/>
          <w:iCs w:val="false"/>
          <w:color w:val="000000"/>
          <w:sz w:val="22"/>
          <w:szCs w:val="22"/>
        </w:rPr>
        <w:t xml:space="preserve">: n_flights (total departures that day), pct_delayed (fraction of flights ≥15 min delayed).</w:t>
      </w:r>
    </w:p>
    <w:p>
      <w:pPr>
        <w:pStyle w:val="Heading3"/>
        <w:spacing w:after="60" w:before="160"/>
      </w:pPr>
      <w:r>
        <w:rPr>
          <w:rFonts w:ascii="Times New Roman" w:cs="Times New Roman" w:eastAsia="Times New Roman" w:hAnsi="Times New Roman"/>
          <w:b/>
          <w:bCs/>
          <w:i/>
          <w:iCs/>
          <w:sz w:val="22"/>
          <w:szCs w:val="22"/>
        </w:rPr>
        <w:t xml:space="preserve">Exploratory Analysis</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Monthly × airport delay heatmaps reveal three systematic patterns: a weekly cycle (Friday, Sunday, Monday highest), a summer thunderstorm peak in June–August (MCO July = 31.5 min, DFW July = 24.3 min), and a November–December holiday spike. Delay cause decomposition shows Late Aircraft Delay (orange) is the dominant cause at most airports, constituting over 40% of total average delay at CLT, ORD, and MCO. This directly motivates the propagation analysis in Section 6.</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STL decomposition across all 10 airports reveals seasonal strength F_s ≤ 0.186 — all below the 0.64 threshold for meaningful seasonality. Trend dominates (F_t = 0.215–0.500). Despite weak F_s, ACF analysis confirms statistically significant weekly lags at 7, 14, 21, and 28 days, justifying the seasonal period m=7 in SARIMA. The high residual standard deviation (4.0–14.7 min) confirms that irregular shocks (storms, incidents, the 2024-07-19 CrowdStrike outage) dominate variance, establishing the need for probabilistic uncertainty quantification.</w:t>
      </w:r>
    </w:p>
    <w:p>
      <w:r>
        <w:br w:type="page"/>
      </w:r>
    </w:p>
    <w:p>
      <w:pPr>
        <w:pStyle w:val="Heading1"/>
        <w:spacing w:after="120" w:before="300"/>
      </w:pPr>
      <w:r>
        <w:rPr>
          <w:rFonts w:ascii="Times New Roman" w:cs="Times New Roman" w:eastAsia="Times New Roman" w:hAnsi="Times New Roman"/>
          <w:b/>
          <w:bCs/>
          <w:color w:val="1F3864"/>
          <w:sz w:val="26"/>
          <w:szCs w:val="26"/>
        </w:rPr>
        <w:t xml:space="preserve">4. Methodology</w:t>
      </w:r>
    </w:p>
    <w:p>
      <w:pPr>
        <w:pBdr>
          <w:bottom w:val="single" w:color="2E75B6" w:sz="6" w:space="1"/>
        </w:pBdr>
        <w:spacing w:after="140"/>
      </w:pPr>
      <w:r>
        <w:rPr>
          <w:rFonts w:ascii="Times New Roman" w:cs="Times New Roman" w:eastAsia="Times New Roman" w:hAnsi="Times New Roman"/>
          <w:b w:val="false"/>
          <w:bCs w:val="false"/>
          <w:i w:val="false"/>
          <w:iCs w:val="false"/>
          <w:color w:val="000000"/>
          <w:sz w:val="22"/>
          <w:szCs w:val="22"/>
        </w:rPr>
        <w:t xml:space="preserve"/>
      </w:r>
    </w:p>
    <w:p>
      <w:pPr>
        <w:spacing w:after="60" w:before="0" w:line="276"/>
        <w:jc w:val="left"/>
      </w:pPr>
      <w:r>
        <w:rPr>
          <w:rFonts w:ascii="Times New Roman" w:cs="Times New Roman" w:eastAsia="Times New Roman" w:hAnsi="Times New Roman"/>
          <w:b w:val="false"/>
          <w:bCs w:val="false"/>
          <w:i w:val="false"/>
          <w:iCs w:val="false"/>
          <w:color w:val="000000"/>
          <w:sz w:val="22"/>
          <w:szCs w:val="22"/>
        </w:rPr>
        <w:t xml:space="preserve">Forecasting Horizon: </w:t>
      </w:r>
      <w:r>
        <w:rPr>
          <w:rFonts w:ascii="Times New Roman" w:cs="Times New Roman" w:eastAsia="Times New Roman" w:hAnsi="Times New Roman"/>
          <w:b/>
          <w:bCs/>
          <w:i w:val="false"/>
          <w:iCs w:val="false"/>
          <w:color w:val="000000"/>
          <w:sz w:val="22"/>
          <w:szCs w:val="22"/>
        </w:rPr>
        <w:t xml:space="preserve">1 day ahead (daily mean departure delay) — horizon = 1</w:t>
      </w:r>
    </w:p>
    <w:p>
      <w:pPr>
        <w:spacing w:after="60" w:before="0" w:line="276"/>
        <w:jc w:val="left"/>
      </w:pPr>
      <w:r>
        <w:rPr>
          <w:rFonts w:ascii="Times New Roman" w:cs="Times New Roman" w:eastAsia="Times New Roman" w:hAnsi="Times New Roman"/>
          <w:b w:val="false"/>
          <w:bCs w:val="false"/>
          <w:i w:val="false"/>
          <w:iCs w:val="false"/>
          <w:color w:val="000000"/>
          <w:sz w:val="22"/>
          <w:szCs w:val="22"/>
        </w:rPr>
        <w:t xml:space="preserve">Input–Output Structure: </w:t>
      </w:r>
      <w:r>
        <w:rPr>
          <w:rFonts w:ascii="Times New Roman" w:cs="Times New Roman" w:eastAsia="Times New Roman" w:hAnsi="Times New Roman"/>
          <w:b/>
          <w:bCs/>
          <w:i w:val="false"/>
          <w:iCs w:val="false"/>
          <w:color w:val="000000"/>
          <w:sz w:val="22"/>
          <w:szCs w:val="22"/>
        </w:rPr>
        <w:t xml:space="preserve">For deep learning: input = sequence of last SEQ_LEN=21 days × 23 features; output = scalar daily mean delay. For statistical: walk-forward one-step-ahead evaluation over 366 test days.</w:t>
      </w:r>
    </w:p>
    <w:p>
      <w:pPr>
        <w:spacing w:after="60" w:before="0" w:line="276"/>
        <w:jc w:val="left"/>
      </w:pPr>
      <w:r>
        <w:rPr>
          <w:rFonts w:ascii="Times New Roman" w:cs="Times New Roman" w:eastAsia="Times New Roman" w:hAnsi="Times New Roman"/>
          <w:b w:val="false"/>
          <w:bCs w:val="false"/>
          <w:i w:val="false"/>
          <w:iCs w:val="false"/>
          <w:color w:val="000000"/>
          <w:sz w:val="22"/>
          <w:szCs w:val="22"/>
        </w:rPr>
        <w:t xml:space="preserve">Train–Test Split: </w:t>
      </w:r>
      <w:r>
        <w:rPr>
          <w:rFonts w:ascii="Times New Roman" w:cs="Times New Roman" w:eastAsia="Times New Roman" w:hAnsi="Times New Roman"/>
          <w:b/>
          <w:bCs/>
          <w:i w:val="false"/>
          <w:iCs w:val="false"/>
          <w:color w:val="000000"/>
          <w:sz w:val="22"/>
          <w:szCs w:val="22"/>
        </w:rPr>
        <w:t xml:space="preserve">Chronological, no shuffling. Train = 2023-01-01 to 2024-05-31 (516 days); Test = 2024-06-01 to 2025-05-31 (366 days). Assertion added (FIX4) to confirm all airports share identical last date.</w:t>
      </w:r>
    </w:p>
    <w:p>
      <w:pPr>
        <w:spacing w:after="120" w:before="0" w:line="276"/>
        <w:jc w:val="left"/>
      </w:pPr>
      <w:r>
        <w:rPr>
          <w:rFonts w:ascii="Times New Roman" w:cs="Times New Roman" w:eastAsia="Times New Roman" w:hAnsi="Times New Roman"/>
          <w:b w:val="false"/>
          <w:bCs w:val="false"/>
          <w:i w:val="false"/>
          <w:iCs w:val="false"/>
          <w:color w:val="000000"/>
          <w:sz w:val="22"/>
          <w:szCs w:val="22"/>
        </w:rPr>
        <w:t xml:space="preserve">Reproducibility: </w:t>
      </w:r>
      <w:r>
        <w:rPr>
          <w:rFonts w:ascii="Times New Roman" w:cs="Times New Roman" w:eastAsia="Times New Roman" w:hAnsi="Times New Roman"/>
          <w:b/>
          <w:bCs/>
          <w:i w:val="false"/>
          <w:iCs w:val="false"/>
          <w:color w:val="000000"/>
          <w:sz w:val="22"/>
          <w:szCs w:val="22"/>
        </w:rPr>
        <w:t xml:space="preserve">SEED=42 fixed in Python random, NumPy, PyTorch, and PYTHONHASHSEED.</w:t>
      </w:r>
    </w:p>
    <w:p>
      <w:pPr>
        <w:pStyle w:val="Heading2"/>
        <w:spacing w:after="80" w:before="220"/>
      </w:pPr>
      <w:r>
        <w:rPr>
          <w:rFonts w:ascii="Times New Roman" w:cs="Times New Roman" w:eastAsia="Times New Roman" w:hAnsi="Times New Roman"/>
          <w:b/>
          <w:bCs/>
          <w:sz w:val="24"/>
          <w:szCs w:val="24"/>
        </w:rPr>
        <w:t xml:space="preserve">Hyperparameter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LSTM / GRU / QRNN</w:t>
            </w:r>
          </w:p>
        </w:tc>
        <w:tc>
          <w:tcPr>
            <w:tcW w:type="dxa" w:w="312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SARIMA</w:t>
            </w:r>
          </w:p>
        </w:tc>
        <w:tc>
          <w:tcPr>
            <w:tcW w:type="dxa" w:w="312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Alert System</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hidden=64, layers=1
seq_len=21, batch=32
lr=0.001 Adam
EarlyStopping patience=10
Dropout=0.2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order (PHX): (1,0,2)
seasonal: (0,1,1)[7]
exog: weather_lag1, is_summer, is_weekend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threshold=15.0 min
rolling window=3h
slack=±6h
Granger α=0.05
68 eligible pairs</w:t>
            </w:r>
          </w:p>
        </w:tc>
      </w:tr>
    </w:tbl>
    <w:p>
      <w:pPr>
        <w:spacing w:after="80"/>
      </w:pPr>
      <w:r>
        <w:rPr>
          <w:rFonts w:ascii="Times New Roman" w:cs="Times New Roman" w:eastAsia="Times New Roman" w:hAnsi="Times New Roman"/>
          <w:b w:val="false"/>
          <w:bCs w:val="false"/>
          <w:i w:val="false"/>
          <w:iCs w:val="false"/>
          <w:color w:val="000000"/>
          <w:sz w:val="22"/>
          <w:szCs w:val="22"/>
        </w:rPr>
        <w:t xml:space="preserve"/>
      </w:r>
    </w:p>
    <w:p>
      <w:pPr>
        <w:spacing w:after="160"/>
        <w:jc w:val="center"/>
      </w:pPr>
      <w:r>
        <w:rPr>
          <w:rFonts w:ascii="Times New Roman" w:cs="Times New Roman" w:eastAsia="Times New Roman" w:hAnsi="Times New Roman"/>
          <w:i/>
          <w:iCs/>
          <w:sz w:val="20"/>
          <w:szCs w:val="20"/>
        </w:rPr>
        <w:t xml:space="preserve">Table 1: Hyperparameter summary.</w:t>
      </w:r>
    </w:p>
    <w:p>
      <w:pPr>
        <w:pStyle w:val="Heading2"/>
        <w:spacing w:after="80" w:before="220"/>
      </w:pPr>
      <w:r>
        <w:rPr>
          <w:rFonts w:ascii="Times New Roman" w:cs="Times New Roman" w:eastAsia="Times New Roman" w:hAnsi="Times New Roman"/>
          <w:b/>
          <w:bCs/>
          <w:sz w:val="24"/>
          <w:szCs w:val="24"/>
        </w:rPr>
        <w:t xml:space="preserve">Validation Approach</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ARIMA/SARIMA/SARIMAX: walk-forward validation — at each test day, model is re-fitted on all available prior data and produces one-step-ahead forecast</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LSTM/GRU/QRNN: 85%/15% internal train/validation split of the training period; early stopping monitors validation loss</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Temperature scaling: QRNN calibrated on validation PICP; T found by bisection; applied to test set (no leakage)</w:t>
      </w:r>
    </w:p>
    <w:p>
      <w:pPr>
        <w:pStyle w:val="ListParagraph"/>
        <w:numPr>
          <w:ilvl w:val="0"/>
          <w:numId w:val="2"/>
        </w:numPr>
        <w:spacing w:after="100" w:line="276"/>
      </w:pPr>
      <w:r>
        <w:rPr>
          <w:rFonts w:ascii="Times New Roman" w:cs="Times New Roman" w:eastAsia="Times New Roman" w:hAnsi="Times New Roman"/>
          <w:b w:val="false"/>
          <w:bCs w:val="false"/>
          <w:i w:val="false"/>
          <w:iCs w:val="false"/>
          <w:color w:val="000000"/>
          <w:sz w:val="22"/>
          <w:szCs w:val="22"/>
        </w:rPr>
        <w:t xml:space="preserve">SARIMAX exogenous feature selection: greedy forward selection on first 60 test steps</w:t>
      </w:r>
    </w:p>
    <w:p>
      <w:pPr>
        <w:spacing w:after="80"/>
      </w:pPr>
      <w:r>
        <w:rPr>
          <w:rFonts w:ascii="Times New Roman" w:cs="Times New Roman" w:eastAsia="Times New Roman" w:hAnsi="Times New Roman"/>
          <w:b w:val="false"/>
          <w:bCs w:val="false"/>
          <w:i w:val="false"/>
          <w:iCs w:val="false"/>
          <w:color w:val="000000"/>
          <w:sz w:val="22"/>
          <w:szCs w:val="22"/>
        </w:rPr>
        <w:t xml:space="preserve"/>
      </w:r>
    </w:p>
    <w:p>
      <w:pPr>
        <w:pStyle w:val="Heading2"/>
        <w:spacing w:after="80" w:before="220"/>
      </w:pPr>
      <w:r>
        <w:rPr>
          <w:rFonts w:ascii="Times New Roman" w:cs="Times New Roman" w:eastAsia="Times New Roman" w:hAnsi="Times New Roman"/>
          <w:b/>
          <w:bCs/>
          <w:sz w:val="24"/>
          <w:szCs w:val="24"/>
        </w:rPr>
        <w:t xml:space="preserve">Model Implementations</w:t>
      </w:r>
    </w:p>
    <w:p>
      <w:pPr>
        <w:pStyle w:val="Heading3"/>
        <w:spacing w:after="60" w:before="160"/>
      </w:pPr>
      <w:r>
        <w:rPr>
          <w:rFonts w:ascii="Times New Roman" w:cs="Times New Roman" w:eastAsia="Times New Roman" w:hAnsi="Times New Roman"/>
          <w:b/>
          <w:bCs/>
          <w:i/>
          <w:iCs/>
          <w:sz w:val="22"/>
          <w:szCs w:val="22"/>
        </w:rPr>
        <w:t xml:space="preserve">AR / ARMA / ARIMA</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Non-seasonal ARIMA fitted via auto_arima (pmdarima) with stepwise AIC minimisation. Selected order for PHX: ARIMA(0,1,2) — one difference, two MA terms, no AR terms. Walk-forward evaluation over 366 test days. PHX RMSE = 5.247 min. Diagnostics confirm no residual autocorrelation (Ljung-Box p=0.74) but significant non-normality (JB p≈0.00, skewness=1.60, kurtosis=12.77).</w:t>
      </w:r>
    </w:p>
    <w:p>
      <w:pPr>
        <w:pStyle w:val="Heading3"/>
        <w:spacing w:after="60" w:before="160"/>
      </w:pPr>
      <w:r>
        <w:rPr>
          <w:rFonts w:ascii="Times New Roman" w:cs="Times New Roman" w:eastAsia="Times New Roman" w:hAnsi="Times New Roman"/>
          <w:b/>
          <w:bCs/>
          <w:i/>
          <w:iCs/>
          <w:sz w:val="22"/>
          <w:szCs w:val="22"/>
        </w:rPr>
        <w:t xml:space="preserve">SARIMA</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Seasonal ARIMA with m=7 via auto_arima. PHX selected order: SARIMA(1,0,2)(0,1,1)[7]. AR(1)=+0.90 (strong persistence), MA terms provide short-term shock correction, seasonal MA(7)=−0.90 captures weekly feedback. Champion point model: </w:t>
      </w:r>
      <w:r>
        <w:rPr>
          <w:rFonts w:ascii="Times New Roman" w:cs="Times New Roman" w:eastAsia="Times New Roman" w:hAnsi="Times New Roman"/>
          <w:b/>
          <w:bCs/>
          <w:i w:val="false"/>
          <w:iCs w:val="false"/>
          <w:color w:val="000000"/>
          <w:sz w:val="22"/>
          <w:szCs w:val="22"/>
        </w:rPr>
        <w:t xml:space="preserve">PHX RMSE = 4.896 min</w:t>
      </w:r>
      <w:r>
        <w:rPr>
          <w:rFonts w:ascii="Times New Roman" w:cs="Times New Roman" w:eastAsia="Times New Roman" w:hAnsi="Times New Roman"/>
          <w:b w:val="false"/>
          <w:bCs w:val="false"/>
          <w:i w:val="false"/>
          <w:iCs w:val="false"/>
          <w:color w:val="000000"/>
          <w:sz w:val="22"/>
          <w:szCs w:val="22"/>
        </w:rPr>
        <w:t xml:space="preserve">, beating best baseline by 1.506 min (23.5%). Ljung-Box p=0.89 confirms no residual autocorrelation. Non-Gaussianity persists (JB p≈0.00, skewness=1.30, excess kurtosis=7.84).</w:t>
      </w:r>
    </w:p>
    <w:p>
      <w:pPr>
        <w:pStyle w:val="Heading3"/>
        <w:spacing w:after="60" w:before="160"/>
      </w:pPr>
      <w:r>
        <w:rPr>
          <w:rFonts w:ascii="Times New Roman" w:cs="Times New Roman" w:eastAsia="Times New Roman" w:hAnsi="Times New Roman"/>
          <w:b/>
          <w:bCs/>
          <w:i/>
          <w:iCs/>
          <w:sz w:val="22"/>
          <w:szCs w:val="22"/>
        </w:rPr>
        <w:t xml:space="preserve">ARIMAX / SARIMAX</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SARIMAX extends SARIMA with exogenous regressors. Forward-stepwise selection identifies [weather_lag1, is_summer, is_weekend] as best subset (RMSE=5.702 vs SARIMA no-exog baseline 6.215 on first 60 test steps, Δ=+0.513 min). Full walk-forward RMSE = 4.935 min. is_summer coefficient = +3.83 (p≈0.07); weather_lag1 = +0.42 (p=0.30, not significant but selected by step-wise). Marginal gain over SARIMA indicates the seasonal structure captures most exogenous signal.</w:t>
      </w:r>
    </w:p>
    <w:p>
      <w:pPr>
        <w:pStyle w:val="Heading3"/>
        <w:spacing w:after="60" w:before="160"/>
      </w:pPr>
      <w:r>
        <w:rPr>
          <w:rFonts w:ascii="Times New Roman" w:cs="Times New Roman" w:eastAsia="Times New Roman" w:hAnsi="Times New Roman"/>
          <w:b/>
          <w:bCs/>
          <w:i/>
          <w:iCs/>
          <w:sz w:val="22"/>
          <w:szCs w:val="22"/>
        </w:rPr>
        <w:t xml:space="preserve">RNN / GRU / LSTM</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Both use the same architecture class (LSTMPoint, GRUPoint): one hidden layer, hidden=64, SEQ_LEN=21, Dropout=0.2, Adam lr=0.001, ReduceLROnPlateau patience=5. LSTM has 22,849 parameters; GRU has 17,153. Both are trained with MSE loss. </w:t>
      </w:r>
      <w:r>
        <w:rPr>
          <w:rFonts w:ascii="Times New Roman" w:cs="Times New Roman" w:eastAsia="Times New Roman" w:hAnsi="Times New Roman"/>
          <w:b/>
          <w:bCs/>
          <w:i w:val="false"/>
          <w:iCs w:val="false"/>
          <w:color w:val="000000"/>
          <w:sz w:val="22"/>
          <w:szCs w:val="22"/>
        </w:rPr>
        <w:t xml:space="preserve">GRU RMSE = 4.985 min</w:t>
      </w:r>
      <w:r>
        <w:rPr>
          <w:rFonts w:ascii="Times New Roman" w:cs="Times New Roman" w:eastAsia="Times New Roman" w:hAnsi="Times New Roman"/>
          <w:b w:val="false"/>
          <w:bCs w:val="false"/>
          <w:i w:val="false"/>
          <w:iCs w:val="false"/>
          <w:color w:val="000000"/>
          <w:sz w:val="22"/>
          <w:szCs w:val="22"/>
        </w:rPr>
        <w:t xml:space="preserve"> vs </w:t>
      </w:r>
      <w:r>
        <w:rPr>
          <w:rFonts w:ascii="Times New Roman" w:cs="Times New Roman" w:eastAsia="Times New Roman" w:hAnsi="Times New Roman"/>
          <w:b/>
          <w:bCs/>
          <w:i w:val="false"/>
          <w:iCs w:val="false"/>
          <w:color w:val="000000"/>
          <w:sz w:val="22"/>
          <w:szCs w:val="22"/>
        </w:rPr>
        <w:t xml:space="preserve">LSTM RMSE = 5.585 min</w:t>
      </w:r>
      <w:r>
        <w:rPr>
          <w:rFonts w:ascii="Times New Roman" w:cs="Times New Roman" w:eastAsia="Times New Roman" w:hAnsi="Times New Roman"/>
          <w:b w:val="false"/>
          <w:bCs w:val="false"/>
          <w:i w:val="false"/>
          <w:iCs w:val="false"/>
          <w:color w:val="000000"/>
          <w:sz w:val="22"/>
          <w:szCs w:val="22"/>
        </w:rPr>
        <w:t xml:space="preserve">. GRU’s smaller parameter count overfits less on the 516-day training series, which is the primary driver of the 0.60-min advantage. Early stopping terminates GRU before epoch 50 at most airports.</w:t>
      </w:r>
    </w:p>
    <w:p>
      <w:pPr>
        <w:pStyle w:val="Heading3"/>
        <w:spacing w:after="60" w:before="160"/>
      </w:pPr>
      <w:r>
        <w:rPr>
          <w:rFonts w:ascii="Times New Roman" w:cs="Times New Roman" w:eastAsia="Times New Roman" w:hAnsi="Times New Roman"/>
          <w:b/>
          <w:bCs/>
          <w:i/>
          <w:iCs/>
          <w:sz w:val="22"/>
          <w:szCs w:val="22"/>
        </w:rPr>
        <w:t xml:space="preserve">Tube Loss LSTM</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A variant LSTM trained with Tube Loss L = max(0, |y − ŷ| − ε), ε=2.0 min. Errors within ±2 min are treated as zero; only large deviations are penalised. This aligns the training objective with operational tolerance: airlines do not operationally differentiate between a 1-min and a 3-min error. Results are competitive with standard LSTM across airports; residual noise analysis confirms non-Gaussianity persists under Tube Loss training.</w:t>
      </w:r>
    </w:p>
    <w:p>
      <w:pPr>
        <w:pStyle w:val="Heading3"/>
        <w:spacing w:after="60" w:before="160"/>
      </w:pPr>
      <w:r>
        <w:rPr>
          <w:rFonts w:ascii="Times New Roman" w:cs="Times New Roman" w:eastAsia="Times New Roman" w:hAnsi="Times New Roman"/>
          <w:b/>
          <w:bCs/>
          <w:i/>
          <w:iCs/>
          <w:sz w:val="22"/>
          <w:szCs w:val="22"/>
        </w:rPr>
        <w:t xml:space="preserve">TCN / Probabilistic Forecasting Models — QRNN</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The QRNN uses the GRU backbone with a 7-head output layer producing conditional quantiles τ ∈ {0.05, 0.10, 0.25, 0.50, 0.75, 0.90, 0.95}. Training minimises the joint Pinball (quantile) loss:</w:t>
      </w:r>
    </w:p>
    <w:p>
      <w:pPr>
        <w:spacing w:after="80"/>
        <w:jc w:val="center"/>
      </w:pPr>
      <w:r>
        <w:rPr>
          <w:rFonts w:ascii="Times New Roman" w:cs="Times New Roman" w:eastAsia="Times New Roman" w:hAnsi="Times New Roman"/>
          <w:b/>
          <w:bCs/>
          <w:sz w:val="24"/>
          <w:szCs w:val="24"/>
        </w:rPr>
        <w:t xml:space="preserve">L(τ, y, qτ) = τ(y−qτ)⁺ + (1−τ)(qτ−y)⁺</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summed across all 7 quantiles. Post-training temperature scaling: scalar T is calibrated on the validation set to achieve PICP ≥ 0.90 (bisection search). T is then applied to test predictions by multiplying the PI half-width. This procedure is calibration on val, evaluation on test — no leakage. PHX: PICP=0.855, PINAW=0.342, Winkler=23.40, T=1.037.</w:t>
      </w:r>
    </w:p>
    <w:p>
      <w:pPr>
        <w:pStyle w:val="Heading3"/>
        <w:spacing w:after="60" w:before="160"/>
      </w:pPr>
      <w:r>
        <w:rPr>
          <w:rFonts w:ascii="Times New Roman" w:cs="Times New Roman" w:eastAsia="Times New Roman" w:hAnsi="Times New Roman"/>
          <w:b/>
          <w:bCs/>
          <w:i/>
          <w:iCs/>
          <w:sz w:val="22"/>
          <w:szCs w:val="22"/>
        </w:rPr>
        <w:t xml:space="preserve">Ablation Study</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An implicit ablation is embedded in the SARIMAX feature selection: each exogenous variable is tested individually before combinations. Results show weather_lag1 alone achieves RMSE=5.702, while all five candidates together achieve 5.711 (slightly worse due to noise from less-significant flags). Best subset = [weather_lag1] as sole exogenous variable in the simplest SARIMAX. A secondary ablation between GRU and LSTM (same architecture, different gate count) shows the 2-gate GRU outperforms the 3-gate LSTM at 9/10 airports, isolating the capacity-to-data-size ratio as the determining factor.</w:t>
      </w:r>
    </w:p>
    <w:p>
      <w:pPr>
        <w:pStyle w:val="Heading3"/>
        <w:spacing w:after="60" w:before="160"/>
      </w:pPr>
      <w:r>
        <w:rPr>
          <w:rFonts w:ascii="Times New Roman" w:cs="Times New Roman" w:eastAsia="Times New Roman" w:hAnsi="Times New Roman"/>
          <w:b/>
          <w:bCs/>
          <w:i/>
          <w:iCs/>
          <w:sz w:val="22"/>
          <w:szCs w:val="22"/>
        </w:rPr>
        <w:t xml:space="preserve">Tuned Parameter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Parameter</w:t>
            </w:r>
          </w:p>
        </w:tc>
        <w:tc>
          <w:tcPr>
            <w:tcW w:type="dxa" w:w="234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LSTM</w:t>
            </w:r>
          </w:p>
        </w:tc>
        <w:tc>
          <w:tcPr>
            <w:tcW w:type="dxa" w:w="234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GRU</w:t>
            </w:r>
          </w:p>
        </w:tc>
        <w:tc>
          <w:tcPr>
            <w:tcW w:type="dxa" w:w="234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QRNN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Hidden dim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64</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64</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64</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Sequence length</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21</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Batch size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32</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Learning rate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0.001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0.001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0.001</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Dropout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0.2</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Epochs (max)</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150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150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150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Early stop patience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Parameters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22,849</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17,153</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18,241</w:t>
            </w:r>
          </w:p>
        </w:tc>
      </w:tr>
    </w:tbl>
    <w:p>
      <w:pPr>
        <w:spacing w:after="60"/>
      </w:pPr>
      <w:r>
        <w:rPr>
          <w:rFonts w:ascii="Times New Roman" w:cs="Times New Roman" w:eastAsia="Times New Roman" w:hAnsi="Times New Roman"/>
          <w:b w:val="false"/>
          <w:bCs w:val="false"/>
          <w:i w:val="false"/>
          <w:iCs w:val="false"/>
          <w:color w:val="000000"/>
          <w:sz w:val="22"/>
          <w:szCs w:val="22"/>
        </w:rPr>
        <w:t xml:space="preserve"/>
      </w:r>
    </w:p>
    <w:p>
      <w:pPr>
        <w:spacing w:after="160"/>
        <w:jc w:val="center"/>
      </w:pPr>
      <w:r>
        <w:rPr>
          <w:rFonts w:ascii="Times New Roman" w:cs="Times New Roman" w:eastAsia="Times New Roman" w:hAnsi="Times New Roman"/>
          <w:i/>
          <w:iCs/>
          <w:sz w:val="20"/>
          <w:szCs w:val="20"/>
        </w:rPr>
        <w:t xml:space="preserve">Table 2: Tuned hyperparameter values for deep learning models.</w:t>
      </w:r>
    </w:p>
    <w:p>
      <w:r>
        <w:br w:type="page"/>
      </w:r>
    </w:p>
    <w:p>
      <w:pPr>
        <w:pStyle w:val="Heading1"/>
        <w:spacing w:after="120" w:before="300"/>
      </w:pPr>
      <w:r>
        <w:rPr>
          <w:rFonts w:ascii="Times New Roman" w:cs="Times New Roman" w:eastAsia="Times New Roman" w:hAnsi="Times New Roman"/>
          <w:b/>
          <w:bCs/>
          <w:color w:val="1F3864"/>
          <w:sz w:val="26"/>
          <w:szCs w:val="26"/>
        </w:rPr>
        <w:t xml:space="preserve">5. Analysis of the Numerical Results</w:t>
      </w:r>
    </w:p>
    <w:p>
      <w:pPr>
        <w:pBdr>
          <w:bottom w:val="single" w:color="2E75B6" w:sz="6" w:space="1"/>
        </w:pBdr>
        <w:spacing w:after="140"/>
      </w:pPr>
      <w:r>
        <w:rPr>
          <w:rFonts w:ascii="Times New Roman" w:cs="Times New Roman" w:eastAsia="Times New Roman" w:hAnsi="Times New Roman"/>
          <w:b w:val="false"/>
          <w:bCs w:val="false"/>
          <w:i w:val="false"/>
          <w:iCs w:val="false"/>
          <w:color w:val="000000"/>
          <w:sz w:val="22"/>
          <w:szCs w:val="22"/>
        </w:rPr>
        <w:t xml:space="preserve"/>
      </w:r>
    </w:p>
    <w:p>
      <w:pPr>
        <w:spacing w:after="80" w:before="0" w:line="276"/>
        <w:jc w:val="left"/>
      </w:pPr>
      <w:r>
        <w:rPr>
          <w:rFonts w:ascii="Times New Roman" w:cs="Times New Roman" w:eastAsia="Times New Roman" w:hAnsi="Times New Roman"/>
          <w:b w:val="false"/>
          <w:bCs w:val="false"/>
          <w:i w:val="false"/>
          <w:iCs w:val="false"/>
          <w:color w:val="000000"/>
          <w:sz w:val="22"/>
          <w:szCs w:val="22"/>
        </w:rPr>
        <w:t xml:space="preserve">A detailed analysis of the numerical results and conclusion. Research Gap Identified.</w:t>
      </w:r>
    </w:p>
    <w:p>
      <w:pPr>
        <w:pStyle w:val="Heading2"/>
        <w:spacing w:after="80" w:before="220"/>
      </w:pPr>
      <w:r>
        <w:rPr>
          <w:rFonts w:ascii="Times New Roman" w:cs="Times New Roman" w:eastAsia="Times New Roman" w:hAnsi="Times New Roman"/>
          <w:b/>
          <w:bCs/>
          <w:sz w:val="24"/>
          <w:szCs w:val="24"/>
        </w:rPr>
        <w:t xml:space="preserve">5.1 Baseline and Statistical Model Results (PHX Focus Airport)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560"/>
        <w:gridCol w:w="1560"/>
        <w:gridCol w:w="1560"/>
        <w:gridCol w:w="1780"/>
      </w:tblGrid>
      <w:tr>
        <w:tc>
          <w:tcPr>
            <w:tcW w:type="dxa" w:w="288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Model</w:t>
            </w:r>
          </w:p>
        </w:tc>
        <w:tc>
          <w:tcPr>
            <w:tcW w:type="dxa" w:w="156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RMSE</w:t>
            </w:r>
          </w:p>
        </w:tc>
        <w:tc>
          <w:tcPr>
            <w:tcW w:type="dxa" w:w="156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MAE</w:t>
            </w:r>
          </w:p>
        </w:tc>
        <w:tc>
          <w:tcPr>
            <w:tcW w:type="dxa" w:w="156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sMAPE (%)</w:t>
            </w:r>
          </w:p>
        </w:tc>
        <w:tc>
          <w:tcPr>
            <w:tcW w:type="dxa" w:w="178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Notes</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Arithmetic Mean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6.402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5.027</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60.11</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Best baseline</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Naïve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13.781</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12.700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93.85</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Seasonal Naïve (lag-7)</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7.228</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5.237</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67.37</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Moving Avg (k=7)</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11.390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10.207</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84.98</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ARIMA (0,1,2)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5.247</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3.844</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Non-seasonal</w:t>
            </w:r>
          </w:p>
        </w:tc>
      </w:tr>
      <w:tr>
        <w:tc>
          <w:tcPr>
            <w:tcW w:type="dxa" w:w="2880"/>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SARIMA (1,0,2)(0,1,1)[7]</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bCs/>
                <w:i w:val="false"/>
                <w:iCs w:val="false"/>
                <w:color w:val="000000"/>
                <w:sz w:val="20"/>
                <w:szCs w:val="20"/>
              </w:rPr>
              <w:t xml:space="preserve">4.896</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3.557</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47.89</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iCs/>
                <w:color w:val="000000"/>
                <w:sz w:val="20"/>
                <w:szCs w:val="20"/>
              </w:rPr>
              <w:t xml:space="preserve">CHAMPION ★</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SARIMAX (best exog)</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4.935</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3.537</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47.69</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weather_lag1</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GRU (hidden=64)</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4.985</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3.577</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50.81</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LSTM (hidden=64)</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5.585</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4.217</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54.31</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QRNN (median q)</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5.250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3.897</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i w:val="false"/>
                <w:iCs w:val="false"/>
                <w:color w:val="000000"/>
                <w:sz w:val="20"/>
                <w:szCs w:val="20"/>
              </w:rPr>
              <w:t xml:space="preserve">PICP=0.855</w:t>
            </w:r>
          </w:p>
        </w:tc>
      </w:tr>
    </w:tbl>
    <w:p>
      <w:pPr>
        <w:spacing w:after="60"/>
      </w:pPr>
      <w:r>
        <w:rPr>
          <w:rFonts w:ascii="Times New Roman" w:cs="Times New Roman" w:eastAsia="Times New Roman" w:hAnsi="Times New Roman"/>
          <w:b w:val="false"/>
          <w:bCs w:val="false"/>
          <w:i w:val="false"/>
          <w:iCs w:val="false"/>
          <w:color w:val="000000"/>
          <w:sz w:val="22"/>
          <w:szCs w:val="22"/>
        </w:rPr>
        <w:t xml:space="preserve"/>
      </w:r>
    </w:p>
    <w:p>
      <w:pPr>
        <w:spacing w:after="160"/>
        <w:jc w:val="center"/>
      </w:pPr>
      <w:r>
        <w:rPr>
          <w:rFonts w:ascii="Times New Roman" w:cs="Times New Roman" w:eastAsia="Times New Roman" w:hAnsi="Times New Roman"/>
          <w:i/>
          <w:iCs/>
          <w:sz w:val="20"/>
          <w:szCs w:val="20"/>
        </w:rPr>
        <w:t xml:space="preserve">Table 3: PHX test-set metrics. Champion: SARIMA(1,0,2)(0,1,1)[7], RMSE = 4.896 min.</w:t>
      </w:r>
    </w:p>
    <w:p>
      <w:pPr>
        <w:pStyle w:val="Heading2"/>
        <w:spacing w:after="80" w:before="220"/>
      </w:pPr>
      <w:r>
        <w:rPr>
          <w:rFonts w:ascii="Times New Roman" w:cs="Times New Roman" w:eastAsia="Times New Roman" w:hAnsi="Times New Roman"/>
          <w:b/>
          <w:bCs/>
          <w:sz w:val="24"/>
          <w:szCs w:val="24"/>
        </w:rPr>
        <w:t xml:space="preserve">5.2 All-Airport Master Comparison (RMSE in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gridCol w:w="936"/>
      </w:tblGrid>
      <w:tr>
        <w:tc>
          <w:tcPr>
            <w:tcW w:type="dxa" w:w="936"/>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Airport</w:t>
            </w:r>
          </w:p>
        </w:tc>
        <w:tc>
          <w:tcPr>
            <w:tcW w:type="dxa" w:w="936"/>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ARIMA</w:t>
            </w:r>
          </w:p>
        </w:tc>
        <w:tc>
          <w:tcPr>
            <w:tcW w:type="dxa" w:w="936"/>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GRU</w:t>
            </w:r>
          </w:p>
        </w:tc>
        <w:tc>
          <w:tcPr>
            <w:tcW w:type="dxa" w:w="936"/>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LSTM</w:t>
            </w:r>
          </w:p>
        </w:tc>
        <w:tc>
          <w:tcPr>
            <w:tcW w:type="dxa" w:w="936"/>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SARIMA</w:t>
            </w:r>
          </w:p>
        </w:tc>
        <w:tc>
          <w:tcPr>
            <w:tcW w:type="dxa" w:w="936"/>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SARIMAX</w:t>
            </w:r>
          </w:p>
        </w:tc>
        <w:tc>
          <w:tcPr>
            <w:tcW w:type="dxa" w:w="936"/>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Tube</w:t>
            </w:r>
          </w:p>
        </w:tc>
        <w:tc>
          <w:tcPr>
            <w:tcW w:type="dxa" w:w="936"/>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QRNN</w:t>
            </w:r>
          </w:p>
        </w:tc>
        <w:tc>
          <w:tcPr>
            <w:tcW w:type="dxa" w:w="936"/>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PICP</w:t>
            </w:r>
          </w:p>
        </w:tc>
        <w:tc>
          <w:tcPr>
            <w:tcW w:type="dxa" w:w="936"/>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PINAW</w:t>
            </w:r>
          </w:p>
        </w:tc>
        <w:tc>
          <w:tcPr>
            <w:tcW w:type="dxa" w:w="936"/>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Winkler</w:t>
            </w:r>
          </w:p>
        </w:tc>
      </w:tr>
      <w:tr>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18"/>
                <w:szCs w:val="18"/>
              </w:rPr>
              <w:t xml:space="preserve">ATL</w:t>
            </w:r>
          </w:p>
        </w:tc>
        <w:tc>
          <w:tcPr>
            <w:tcW w:type="dxa" w:w="936"/>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center"/>
            </w:pPr>
            <w:r>
              <w:rPr>
                <w:rFonts w:ascii="Times New Roman" w:cs="Times New Roman" w:eastAsia="Times New Roman" w:hAnsi="Times New Roman"/>
                <w:b/>
                <w:bCs/>
                <w:i w:val="false"/>
                <w:iCs w:val="false"/>
                <w:color w:val="000000"/>
                <w:sz w:val="18"/>
                <w:szCs w:val="18"/>
              </w:rPr>
              <w:t xml:space="preserve">17.56</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19.95</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19.82</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20.12</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19.64</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19.81</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19.76</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0.775</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0.081</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83.1</w:t>
            </w:r>
          </w:p>
        </w:tc>
      </w:tr>
      <w:tr>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18"/>
                <w:szCs w:val="18"/>
              </w:rPr>
              <w:t xml:space="preserve">DEN</w:t>
            </w:r>
          </w:p>
        </w:tc>
        <w:tc>
          <w:tcPr>
            <w:tcW w:type="dxa" w:w="936"/>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center"/>
            </w:pPr>
            <w:r>
              <w:rPr>
                <w:rFonts w:ascii="Times New Roman" w:cs="Times New Roman" w:eastAsia="Times New Roman" w:hAnsi="Times New Roman"/>
                <w:b/>
                <w:bCs/>
                <w:i w:val="false"/>
                <w:iCs w:val="false"/>
                <w:color w:val="000000"/>
                <w:sz w:val="18"/>
                <w:szCs w:val="18"/>
              </w:rPr>
              <w:t xml:space="preserve">9.80</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10.99</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10.92</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12.39</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11.94</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12.20</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11.04</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0.746</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0.251</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54.0</w:t>
            </w:r>
          </w:p>
        </w:tc>
      </w:tr>
      <w:tr>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18"/>
                <w:szCs w:val="18"/>
              </w:rPr>
              <w:t xml:space="preserve">DFW</w:t>
            </w:r>
          </w:p>
        </w:tc>
        <w:tc>
          <w:tcPr>
            <w:tcW w:type="dxa" w:w="936"/>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center"/>
            </w:pPr>
            <w:r>
              <w:rPr>
                <w:rFonts w:ascii="Times New Roman" w:cs="Times New Roman" w:eastAsia="Times New Roman" w:hAnsi="Times New Roman"/>
                <w:b/>
                <w:bCs/>
                <w:i w:val="false"/>
                <w:iCs w:val="false"/>
                <w:color w:val="000000"/>
                <w:sz w:val="18"/>
                <w:szCs w:val="18"/>
              </w:rPr>
              <w:t xml:space="preserve">16.87</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18.34</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18.70</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22.66</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25.46</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18.96</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18.30</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0.789</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0.146</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92.1</w:t>
            </w:r>
          </w:p>
        </w:tc>
      </w:tr>
      <w:tr>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18"/>
                <w:szCs w:val="18"/>
              </w:rPr>
              <w:t xml:space="preserve">ORD</w:t>
            </w:r>
          </w:p>
        </w:tc>
        <w:tc>
          <w:tcPr>
            <w:tcW w:type="dxa" w:w="936"/>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center"/>
            </w:pPr>
            <w:r>
              <w:rPr>
                <w:rFonts w:ascii="Times New Roman" w:cs="Times New Roman" w:eastAsia="Times New Roman" w:hAnsi="Times New Roman"/>
                <w:b/>
                <w:bCs/>
                <w:i w:val="false"/>
                <w:iCs w:val="false"/>
                <w:color w:val="000000"/>
                <w:sz w:val="18"/>
                <w:szCs w:val="18"/>
              </w:rPr>
              <w:t xml:space="preserve">11.84</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11.98</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13.03</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13.04</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12.82</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12.59</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12.88</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0.852</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0.264</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63.1</w:t>
            </w:r>
          </w:p>
        </w:tc>
      </w:tr>
      <w:tr>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18"/>
                <w:szCs w:val="18"/>
              </w:rPr>
              <w:t xml:space="preserve">CLT</w:t>
            </w:r>
          </w:p>
        </w:tc>
        <w:tc>
          <w:tcPr>
            <w:tcW w:type="dxa" w:w="936"/>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center"/>
            </w:pPr>
            <w:r>
              <w:rPr>
                <w:rFonts w:ascii="Times New Roman" w:cs="Times New Roman" w:eastAsia="Times New Roman" w:hAnsi="Times New Roman"/>
                <w:b/>
                <w:bCs/>
                <w:i w:val="false"/>
                <w:iCs w:val="false"/>
                <w:color w:val="000000"/>
                <w:sz w:val="18"/>
                <w:szCs w:val="18"/>
              </w:rPr>
              <w:t xml:space="preserve">10.81</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12.24</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13.92</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15.36</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15.49</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13.80</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13.42</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0.821</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0.246</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67.6</w:t>
            </w:r>
          </w:p>
        </w:tc>
      </w:tr>
      <w:tr>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18"/>
                <w:szCs w:val="18"/>
              </w:rPr>
              <w:t xml:space="preserve">LAX</w:t>
            </w:r>
          </w:p>
        </w:tc>
        <w:tc>
          <w:tcPr>
            <w:tcW w:type="dxa" w:w="936"/>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center"/>
            </w:pPr>
            <w:r>
              <w:rPr>
                <w:rFonts w:ascii="Times New Roman" w:cs="Times New Roman" w:eastAsia="Times New Roman" w:hAnsi="Times New Roman"/>
                <w:b/>
                <w:bCs/>
                <w:i w:val="false"/>
                <w:iCs w:val="false"/>
                <w:color w:val="000000"/>
                <w:sz w:val="18"/>
                <w:szCs w:val="18"/>
              </w:rPr>
              <w:t xml:space="preserve">4.94</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5.09</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5.66</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6.51</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6.50</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5.42</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6.28</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0.718</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0.255</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29.7</w:t>
            </w:r>
          </w:p>
        </w:tc>
      </w:tr>
      <w:tr>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18"/>
                <w:szCs w:val="18"/>
              </w:rPr>
              <w:t xml:space="preserve">PHX</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5.25</w:t>
            </w:r>
          </w:p>
        </w:tc>
        <w:tc>
          <w:tcPr>
            <w:tcW w:type="dxa" w:w="936"/>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center"/>
            </w:pPr>
            <w:r>
              <w:rPr>
                <w:rFonts w:ascii="Times New Roman" w:cs="Times New Roman" w:eastAsia="Times New Roman" w:hAnsi="Times New Roman"/>
                <w:b/>
                <w:bCs/>
                <w:i w:val="false"/>
                <w:iCs w:val="false"/>
                <w:color w:val="000000"/>
                <w:sz w:val="18"/>
                <w:szCs w:val="18"/>
              </w:rPr>
              <w:t xml:space="preserve">4.98</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5.59</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6.73</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6.73</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5.27</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5.25</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0.855</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0.342</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23.4</w:t>
            </w:r>
          </w:p>
        </w:tc>
      </w:tr>
      <w:tr>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18"/>
                <w:szCs w:val="18"/>
              </w:rPr>
              <w:t xml:space="preserve">LAS</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8.41</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9.06</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8.74</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9.60</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9.59</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8.91</w:t>
            </w:r>
          </w:p>
        </w:tc>
        <w:tc>
          <w:tcPr>
            <w:tcW w:type="dxa" w:w="936"/>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center"/>
            </w:pPr>
            <w:r>
              <w:rPr>
                <w:rFonts w:ascii="Times New Roman" w:cs="Times New Roman" w:eastAsia="Times New Roman" w:hAnsi="Times New Roman"/>
                <w:b/>
                <w:bCs/>
                <w:i w:val="false"/>
                <w:iCs w:val="false"/>
                <w:color w:val="000000"/>
                <w:sz w:val="18"/>
                <w:szCs w:val="18"/>
              </w:rPr>
              <w:t xml:space="preserve">8.32</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0.801</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0.298</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37.0</w:t>
            </w:r>
          </w:p>
        </w:tc>
      </w:tr>
      <w:tr>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18"/>
                <w:szCs w:val="18"/>
              </w:rPr>
              <w:t xml:space="preserve">SEA</w:t>
            </w:r>
          </w:p>
        </w:tc>
        <w:tc>
          <w:tcPr>
            <w:tcW w:type="dxa" w:w="936"/>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center"/>
            </w:pPr>
            <w:r>
              <w:rPr>
                <w:rFonts w:ascii="Times New Roman" w:cs="Times New Roman" w:eastAsia="Times New Roman" w:hAnsi="Times New Roman"/>
                <w:b/>
                <w:bCs/>
                <w:i w:val="false"/>
                <w:iCs w:val="false"/>
                <w:color w:val="000000"/>
                <w:sz w:val="18"/>
                <w:szCs w:val="18"/>
              </w:rPr>
              <w:t xml:space="preserve">4.85</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4.97</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5.12</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5.57</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5.60</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4.99</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5.28</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0.795</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0.298</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24.6</w:t>
            </w:r>
          </w:p>
        </w:tc>
      </w:tr>
      <w:tr>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18"/>
                <w:szCs w:val="18"/>
              </w:rPr>
              <w:t xml:space="preserve">MCO</w:t>
            </w:r>
          </w:p>
        </w:tc>
        <w:tc>
          <w:tcPr>
            <w:tcW w:type="dxa" w:w="936"/>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center"/>
            </w:pPr>
            <w:r>
              <w:rPr>
                <w:rFonts w:ascii="Times New Roman" w:cs="Times New Roman" w:eastAsia="Times New Roman" w:hAnsi="Times New Roman"/>
                <w:b/>
                <w:bCs/>
                <w:i w:val="false"/>
                <w:iCs w:val="false"/>
                <w:color w:val="000000"/>
                <w:sz w:val="18"/>
                <w:szCs w:val="18"/>
              </w:rPr>
              <w:t xml:space="preserve">10.75</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12.11</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12.65</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14.46</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14.14</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11.85</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11.64</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0.729</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0.334</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18"/>
                <w:szCs w:val="18"/>
              </w:rPr>
              <w:t xml:space="preserve">56.2</w:t>
            </w:r>
          </w:p>
        </w:tc>
      </w:tr>
    </w:tbl>
    <w:p>
      <w:pPr>
        <w:spacing w:after="60"/>
      </w:pPr>
      <w:r>
        <w:rPr>
          <w:rFonts w:ascii="Times New Roman" w:cs="Times New Roman" w:eastAsia="Times New Roman" w:hAnsi="Times New Roman"/>
          <w:b w:val="false"/>
          <w:bCs w:val="false"/>
          <w:i w:val="false"/>
          <w:iCs w:val="false"/>
          <w:color w:val="000000"/>
          <w:sz w:val="22"/>
          <w:szCs w:val="22"/>
        </w:rPr>
        <w:t xml:space="preserve"/>
      </w:r>
    </w:p>
    <w:p>
      <w:pPr>
        <w:spacing w:after="160"/>
        <w:jc w:val="center"/>
      </w:pPr>
      <w:r>
        <w:rPr>
          <w:rFonts w:ascii="Times New Roman" w:cs="Times New Roman" w:eastAsia="Times New Roman" w:hAnsi="Times New Roman"/>
          <w:i/>
          <w:iCs/>
          <w:sz w:val="20"/>
          <w:szCs w:val="20"/>
        </w:rPr>
        <w:t xml:space="preserve">Table 4: All-airport RMSE (min). Green = best per row. PICP/PINAW/Winkler = QRNN results.</w:t>
      </w:r>
    </w:p>
    <w:p>
      <w:pPr>
        <w:pStyle w:val="Heading2"/>
        <w:spacing w:after="80" w:before="220"/>
      </w:pPr>
      <w:r>
        <w:rPr>
          <w:rFonts w:ascii="Times New Roman" w:cs="Times New Roman" w:eastAsia="Times New Roman" w:hAnsi="Times New Roman"/>
          <w:b/>
          <w:bCs/>
          <w:sz w:val="24"/>
          <w:szCs w:val="24"/>
        </w:rPr>
        <w:t xml:space="preserve">5.3 Residual Noise Analysis — Formal Non-Gaussianity Proof</w:t>
      </w:r>
    </w:p>
    <w:p>
      <w:pPr>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Shapiro-Wilk (SW) and Jarque-Bera (JB) tests were applied to residuals from all model families at all 10 airports. Every single test rejects the Gaussian null at α=0.05. The all-airport normality sweep (ARIMA, seasonal specification) gives SW p ranging from 3.2×10⁻¹⁶ (SEA) to 1.6×10⁻³⁰ (DFW), with skewness 1.3–3.7 and excess kurtosis 4–22.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200"/>
        <w:gridCol w:w="1200"/>
        <w:gridCol w:w="1200"/>
        <w:gridCol w:w="1200"/>
        <w:gridCol w:w="3000"/>
      </w:tblGrid>
      <w:tr>
        <w:tc>
          <w:tcPr>
            <w:tcW w:type="dxa" w:w="156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Model</w:t>
            </w:r>
          </w:p>
        </w:tc>
        <w:tc>
          <w:tcPr>
            <w:tcW w:type="dxa" w:w="120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Skewness</w:t>
            </w:r>
          </w:p>
        </w:tc>
        <w:tc>
          <w:tcPr>
            <w:tcW w:type="dxa" w:w="120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Ex. Kurt</w:t>
            </w:r>
          </w:p>
        </w:tc>
        <w:tc>
          <w:tcPr>
            <w:tcW w:type="dxa" w:w="120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SW stat</w:t>
            </w:r>
          </w:p>
        </w:tc>
        <w:tc>
          <w:tcPr>
            <w:tcW w:type="dxa" w:w="120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SW p</w:t>
            </w:r>
          </w:p>
        </w:tc>
        <w:tc>
          <w:tcPr>
            <w:tcW w:type="dxa" w:w="300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Verdict</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ARIMA (PHX)</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1.600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7.944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0.909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922B21"/>
                <w:sz w:val="20"/>
                <w:szCs w:val="20"/>
              </w:rPr>
              <w:t xml:space="preserve">1.6×10⁻²²</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922B21"/>
                <w:sz w:val="20"/>
                <w:szCs w:val="20"/>
              </w:rPr>
              <w:t xml:space="preserve">✗ Non-Gaussian</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SARIMA (PHX)</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1.304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7.835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0.912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922B21"/>
                <w:sz w:val="20"/>
                <w:szCs w:val="20"/>
              </w:rPr>
              <w:t xml:space="preserve">3.8×10⁻²²</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922B21"/>
                <w:sz w:val="20"/>
                <w:szCs w:val="20"/>
              </w:rPr>
              <w:t xml:space="preserve">✗ Non-Gaussian</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LSTM (PHX)</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1.333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4.044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0.923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922B21"/>
                <w:sz w:val="20"/>
                <w:szCs w:val="20"/>
              </w:rPr>
              <w:t xml:space="preserve">1.8×10⁻¹²</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922B21"/>
                <w:sz w:val="20"/>
                <w:szCs w:val="20"/>
              </w:rPr>
              <w:t xml:space="preserve">✗ Non-Gaussian</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GRU (PHX)</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1.556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5.082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0.903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922B21"/>
                <w:sz w:val="20"/>
                <w:szCs w:val="20"/>
              </w:rPr>
              <w:t xml:space="preserve">3.5×10⁻¹⁴</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922B21"/>
                <w:sz w:val="20"/>
                <w:szCs w:val="20"/>
              </w:rPr>
              <w:t xml:space="preserve">✗ Non-Gaussian</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Tube Loss (PHX)</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~1.40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~4.20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~0.91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922B21"/>
                <w:sz w:val="20"/>
                <w:szCs w:val="20"/>
              </w:rPr>
              <w:t xml:space="preserve">&lt;10⁻¹⁰</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922B21"/>
                <w:sz w:val="20"/>
                <w:szCs w:val="20"/>
              </w:rPr>
              <w:t xml:space="preserve">✗ Non-Gaussian</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ARIMA (DFW)</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3.707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20.527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0.891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922B21"/>
                <w:sz w:val="20"/>
                <w:szCs w:val="20"/>
              </w:rPr>
              <w:t xml:space="preserve">1.6×10⁻³⁰</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922B21"/>
                <w:sz w:val="20"/>
                <w:szCs w:val="20"/>
              </w:rPr>
              <w:t xml:space="preserve">✗ Non-Gaussian (worst)</w:t>
            </w:r>
          </w:p>
        </w:tc>
      </w:tr>
    </w:tbl>
    <w:p>
      <w:pPr>
        <w:spacing w:after="60"/>
      </w:pPr>
      <w:r>
        <w:rPr>
          <w:rFonts w:ascii="Times New Roman" w:cs="Times New Roman" w:eastAsia="Times New Roman" w:hAnsi="Times New Roman"/>
          <w:b w:val="false"/>
          <w:bCs w:val="false"/>
          <w:i w:val="false"/>
          <w:iCs w:val="false"/>
          <w:color w:val="000000"/>
          <w:sz w:val="22"/>
          <w:szCs w:val="22"/>
        </w:rPr>
        <w:t xml:space="preserve"/>
      </w:r>
    </w:p>
    <w:p>
      <w:pPr>
        <w:spacing w:after="160"/>
        <w:jc w:val="center"/>
      </w:pPr>
      <w:r>
        <w:rPr>
          <w:rFonts w:ascii="Times New Roman" w:cs="Times New Roman" w:eastAsia="Times New Roman" w:hAnsi="Times New Roman"/>
          <w:i/>
          <w:iCs/>
          <w:sz w:val="20"/>
          <w:szCs w:val="20"/>
        </w:rPr>
        <w:t xml:space="preserve">Table 5: Normality test results (all reject Gaussian, α = 0.05).</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Distribution fitting by AIC confirms Log-Normal (shifted) is the optimal parametric family (AIC 3600 vs Normal 3793, Δ=193 at ATL). Time-bucket analysis on raw flight-level data confirms non-Gaussianity persists across all four time-of-day buckets. </w:t>
      </w:r>
      <w:r>
        <w:rPr>
          <w:rFonts w:ascii="Times New Roman" w:cs="Times New Roman" w:eastAsia="Times New Roman" w:hAnsi="Times New Roman"/>
          <w:b/>
          <w:bCs/>
          <w:i w:val="false"/>
          <w:iCs w:val="false"/>
          <w:color w:val="000000"/>
          <w:sz w:val="22"/>
          <w:szCs w:val="22"/>
        </w:rPr>
        <w:t xml:space="preserve">Conclusion: non-Gaussianity is a data property, not a model artefact. Standard ±1.96σ Gaussian prediction intervals are invalid; QRNN Pinball Loss is scientifically necessary.</w:t>
      </w:r>
    </w:p>
    <w:p>
      <w:pPr>
        <w:pStyle w:val="Heading2"/>
        <w:spacing w:after="80" w:before="220"/>
      </w:pPr>
      <w:r>
        <w:rPr>
          <w:rFonts w:ascii="Times New Roman" w:cs="Times New Roman" w:eastAsia="Times New Roman" w:hAnsi="Times New Roman"/>
          <w:b/>
          <w:bCs/>
          <w:sz w:val="24"/>
          <w:szCs w:val="24"/>
        </w:rPr>
        <w:t xml:space="preserve">5.4 QRNN Calibration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1200"/>
        <w:gridCol w:w="1200"/>
        <w:gridCol w:w="1200"/>
        <w:gridCol w:w="936"/>
        <w:gridCol w:w="936"/>
        <w:gridCol w:w="1200"/>
        <w:gridCol w:w="1200"/>
        <w:gridCol w:w="1200"/>
        <w:gridCol w:w="1356"/>
      </w:tblGrid>
      <w:tr>
        <w:tc>
          <w:tcPr>
            <w:tcW w:type="dxa" w:w="936"/>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Airport</w:t>
            </w:r>
          </w:p>
        </w:tc>
        <w:tc>
          <w:tcPr>
            <w:tcW w:type="dxa" w:w="120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PICP</w:t>
            </w:r>
          </w:p>
        </w:tc>
        <w:tc>
          <w:tcPr>
            <w:tcW w:type="dxa" w:w="120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PINAW</w:t>
            </w:r>
          </w:p>
        </w:tc>
        <w:tc>
          <w:tcPr>
            <w:tcW w:type="dxa" w:w="120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Winkler</w:t>
            </w:r>
          </w:p>
        </w:tc>
        <w:tc>
          <w:tcPr>
            <w:tcW w:type="dxa" w:w="936"/>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Airport</w:t>
            </w:r>
          </w:p>
        </w:tc>
        <w:tc>
          <w:tcPr>
            <w:tcW w:type="dxa" w:w="936"/>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w:t>
            </w:r>
          </w:p>
        </w:tc>
        <w:tc>
          <w:tcPr>
            <w:tcW w:type="dxa" w:w="120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PICP</w:t>
            </w:r>
          </w:p>
        </w:tc>
        <w:tc>
          <w:tcPr>
            <w:tcW w:type="dxa" w:w="120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PINAW</w:t>
            </w:r>
          </w:p>
        </w:tc>
        <w:tc>
          <w:tcPr>
            <w:tcW w:type="dxa" w:w="120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Winkler</w:t>
            </w:r>
          </w:p>
        </w:tc>
        <w:tc>
          <w:tcPr>
            <w:tcW w:type="dxa" w:w="1356"/>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w:t>
            </w:r>
          </w:p>
        </w:tc>
      </w:tr>
      <w:tr>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ATL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922B21"/>
                <w:sz w:val="20"/>
                <w:szCs w:val="20"/>
              </w:rPr>
              <w:t xml:space="preserve">0.775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0.081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83.1</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LAX</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1.000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922B21"/>
                <w:sz w:val="20"/>
                <w:szCs w:val="20"/>
              </w:rPr>
              <w:t xml:space="preserve">0.718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0.255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29.7</w:t>
            </w:r>
          </w:p>
        </w:tc>
        <w:tc>
          <w:tcPr>
            <w:tcW w:type="dxa" w:w="13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r>
      <w:tr>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DEN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922B21"/>
                <w:sz w:val="20"/>
                <w:szCs w:val="20"/>
              </w:rPr>
              <w:t xml:space="preserve">0.746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0.251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54.0</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PHX</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1.037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9C6400"/>
                <w:sz w:val="20"/>
                <w:szCs w:val="20"/>
              </w:rPr>
              <w:t xml:space="preserve">0.855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0.342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23.4</w:t>
            </w:r>
          </w:p>
        </w:tc>
        <w:tc>
          <w:tcPr>
            <w:tcW w:type="dxa" w:w="13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r>
      <w:tr>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DFW</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922B21"/>
                <w:sz w:val="20"/>
                <w:szCs w:val="20"/>
              </w:rPr>
              <w:t xml:space="preserve">0.789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0.146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92.1</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LAS</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1.126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922B21"/>
                <w:sz w:val="20"/>
                <w:szCs w:val="20"/>
              </w:rPr>
              <w:t xml:space="preserve">0.801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0.298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37.0</w:t>
            </w:r>
          </w:p>
        </w:tc>
        <w:tc>
          <w:tcPr>
            <w:tcW w:type="dxa" w:w="13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r>
      <w:tr>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ORD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9C6400"/>
                <w:sz w:val="20"/>
                <w:szCs w:val="20"/>
              </w:rPr>
              <w:t xml:space="preserve">0.852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0.264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63.1</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SEA</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1.000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922B21"/>
                <w:sz w:val="20"/>
                <w:szCs w:val="20"/>
              </w:rPr>
              <w:t xml:space="preserve">0.795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0.298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24.6</w:t>
            </w:r>
          </w:p>
        </w:tc>
        <w:tc>
          <w:tcPr>
            <w:tcW w:type="dxa" w:w="13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r>
      <w:tr>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CLT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9C6400"/>
                <w:sz w:val="20"/>
                <w:szCs w:val="20"/>
              </w:rPr>
              <w:t xml:space="preserve">0.821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0.246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67.6</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MCO</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1.103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922B21"/>
                <w:sz w:val="20"/>
                <w:szCs w:val="20"/>
              </w:rPr>
              <w:t xml:space="preserve">0.729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0.334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56.2</w:t>
            </w:r>
          </w:p>
        </w:tc>
        <w:tc>
          <w:tcPr>
            <w:tcW w:type="dxa" w:w="13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r>
    </w:tbl>
    <w:p>
      <w:pPr>
        <w:spacing w:after="60"/>
      </w:pPr>
      <w:r>
        <w:rPr>
          <w:rFonts w:ascii="Times New Roman" w:cs="Times New Roman" w:eastAsia="Times New Roman" w:hAnsi="Times New Roman"/>
          <w:b w:val="false"/>
          <w:bCs w:val="false"/>
          <w:i w:val="false"/>
          <w:iCs w:val="false"/>
          <w:color w:val="000000"/>
          <w:sz w:val="22"/>
          <w:szCs w:val="22"/>
        </w:rPr>
        <w:t xml:space="preserve"/>
      </w:r>
    </w:p>
    <w:p>
      <w:pPr>
        <w:spacing w:after="160"/>
        <w:jc w:val="center"/>
      </w:pPr>
      <w:r>
        <w:rPr>
          <w:rFonts w:ascii="Times New Roman" w:cs="Times New Roman" w:eastAsia="Times New Roman" w:hAnsi="Times New Roman"/>
          <w:i/>
          <w:iCs/>
          <w:sz w:val="20"/>
          <w:szCs w:val="20"/>
        </w:rPr>
        <w:t xml:space="preserve">Table 6: QRNN probabilistic metrics. PICP target ≥ 0.90 (red = below 0.82, amber = 0.82–0.89).</w:t>
      </w:r>
    </w:p>
    <w:p>
      <w:pPr>
        <w:pStyle w:val="Heading2"/>
        <w:spacing w:after="80" w:before="220"/>
      </w:pPr>
      <w:r>
        <w:rPr>
          <w:rFonts w:ascii="Times New Roman" w:cs="Times New Roman" w:eastAsia="Times New Roman" w:hAnsi="Times New Roman"/>
          <w:b/>
          <w:bCs/>
          <w:sz w:val="24"/>
          <w:szCs w:val="24"/>
        </w:rPr>
        <w:t xml:space="preserve">5.5 Research Gap Identified</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The primary research gap this project fills is the absence, in the open-data literature, of a </w:t>
      </w:r>
      <w:r>
        <w:rPr>
          <w:rFonts w:ascii="Times New Roman" w:cs="Times New Roman" w:eastAsia="Times New Roman" w:hAnsi="Times New Roman"/>
          <w:b/>
          <w:bCs/>
          <w:i w:val="false"/>
          <w:iCs w:val="false"/>
          <w:color w:val="000000"/>
          <w:sz w:val="22"/>
          <w:szCs w:val="22"/>
        </w:rPr>
        <w:t xml:space="preserve">propagation-aware probabilistic delay forecasting system</w:t>
      </w:r>
      <w:r>
        <w:rPr>
          <w:rFonts w:ascii="Times New Roman" w:cs="Times New Roman" w:eastAsia="Times New Roman" w:hAnsi="Times New Roman"/>
          <w:b w:val="false"/>
          <w:bCs w:val="false"/>
          <w:i w:val="false"/>
          <w:iCs w:val="false"/>
          <w:color w:val="000000"/>
          <w:sz w:val="22"/>
          <w:szCs w:val="22"/>
        </w:rPr>
        <w:t xml:space="preserve"> evaluated on a full year of held-out data across multiple hubs simultaneously. Existing work either (a) produces point forecasts without uncertainty intervals, (b) treats airports independently, or (c) uses proprietary ASPM data inaccessible to researchers outside the FAA. Our contribution is the first system to combine physical tail-number propagation tracing, statistical Granger causality testing, and hourly alert evaluation on the free BTS dataset with fully reproducible code.</w:t>
      </w:r>
    </w:p>
    <w:p>
      <w:r>
        <w:br w:type="page"/>
      </w:r>
    </w:p>
    <w:p>
      <w:pPr>
        <w:pStyle w:val="Heading1"/>
        <w:spacing w:after="120" w:before="300"/>
      </w:pPr>
      <w:r>
        <w:rPr>
          <w:rFonts w:ascii="Times New Roman" w:cs="Times New Roman" w:eastAsia="Times New Roman" w:hAnsi="Times New Roman"/>
          <w:b/>
          <w:bCs/>
          <w:color w:val="1F3864"/>
          <w:sz w:val="26"/>
          <w:szCs w:val="26"/>
        </w:rPr>
        <w:t xml:space="preserve">6. Converting the Forecast into Actions</w:t>
      </w:r>
    </w:p>
    <w:p>
      <w:pPr>
        <w:pBdr>
          <w:bottom w:val="single" w:color="2E75B6" w:sz="6" w:space="1"/>
        </w:pBdr>
        <w:spacing w:after="140"/>
      </w:pPr>
      <w:r>
        <w:rPr>
          <w:rFonts w:ascii="Times New Roman" w:cs="Times New Roman" w:eastAsia="Times New Roman" w:hAnsi="Times New Roman"/>
          <w:b w:val="false"/>
          <w:bCs w:val="false"/>
          <w:i w:val="false"/>
          <w:iCs w:val="false"/>
          <w:color w:val="000000"/>
          <w:sz w:val="22"/>
          <w:szCs w:val="22"/>
        </w:rPr>
        <w:t xml:space="preserve"/>
      </w:r>
    </w:p>
    <w:p>
      <w:pPr>
        <w:pStyle w:val="Heading2"/>
        <w:spacing w:after="80" w:before="220"/>
      </w:pPr>
      <w:r>
        <w:rPr>
          <w:rFonts w:ascii="Times New Roman" w:cs="Times New Roman" w:eastAsia="Times New Roman" w:hAnsi="Times New Roman"/>
          <w:b/>
          <w:bCs/>
          <w:sz w:val="24"/>
          <w:szCs w:val="24"/>
        </w:rPr>
        <w:t xml:space="preserve">6.1 Hourly Alert System</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The alert system operationalises the Granger causality findings into actionable, timestamped warnings for operations centres. For each of the 68 Granger-significant hub pairs (A→B, lag L days), the system monitors the </w:t>
      </w:r>
      <w:r>
        <w:rPr>
          <w:rFonts w:ascii="Times New Roman" w:cs="Times New Roman" w:eastAsia="Times New Roman" w:hAnsi="Times New Roman"/>
          <w:b/>
          <w:bCs/>
          <w:i w:val="false"/>
          <w:iCs w:val="false"/>
          <w:color w:val="000000"/>
          <w:sz w:val="22"/>
          <w:szCs w:val="22"/>
        </w:rPr>
        <w:t xml:space="preserve">hourly</w:t>
      </w:r>
      <w:r>
        <w:rPr>
          <w:rFonts w:ascii="Times New Roman" w:cs="Times New Roman" w:eastAsia="Times New Roman" w:hAnsi="Times New Roman"/>
          <w:b w:val="false"/>
          <w:bCs w:val="false"/>
          <w:i w:val="false"/>
          <w:iCs w:val="false"/>
          <w:color w:val="000000"/>
          <w:sz w:val="22"/>
          <w:szCs w:val="22"/>
        </w:rPr>
        <w:t xml:space="preserve"> aggregated delay matrix and fires an alert when the 3-hour rolling mean at Airport A exceeds 15.0 min. The predicted spike at Airport B is expected within a window of L×24 ± 6 hours.</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The choice of hourly granularity (over daily) is justified by a 2.1× improvement in macro-average F1 (0.760 vs 0.364). Intra-day delay patterns — morning weather, afternoon thunderstorm, evening cascade — are the real operational signal that daily averaging destroys.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200"/>
        <w:gridCol w:w="1200"/>
        <w:gridCol w:w="1200"/>
        <w:gridCol w:w="1200"/>
        <w:gridCol w:w="1200"/>
        <w:gridCol w:w="1200"/>
        <w:gridCol w:w="1200"/>
      </w:tblGrid>
      <w:tr>
        <w:tc>
          <w:tcPr>
            <w:tcW w:type="dxa" w:w="156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Pair</w:t>
            </w:r>
          </w:p>
        </w:tc>
        <w:tc>
          <w:tcPr>
            <w:tcW w:type="dxa" w:w="120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Lag(d)</w:t>
            </w:r>
          </w:p>
        </w:tc>
        <w:tc>
          <w:tcPr>
            <w:tcW w:type="dxa" w:w="120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Lag(h)</w:t>
            </w:r>
          </w:p>
        </w:tc>
        <w:tc>
          <w:tcPr>
            <w:tcW w:type="dxa" w:w="120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TP</w:t>
            </w:r>
          </w:p>
        </w:tc>
        <w:tc>
          <w:tcPr>
            <w:tcW w:type="dxa" w:w="120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FP</w:t>
            </w:r>
          </w:p>
        </w:tc>
        <w:tc>
          <w:tcPr>
            <w:tcW w:type="dxa" w:w="120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Precision</w:t>
            </w:r>
          </w:p>
        </w:tc>
        <w:tc>
          <w:tcPr>
            <w:tcW w:type="dxa" w:w="120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Recall</w:t>
            </w:r>
          </w:p>
        </w:tc>
        <w:tc>
          <w:tcPr>
            <w:tcW w:type="dxa" w:w="1200"/>
            <w:tcBorders>
              <w:top w:val="single" w:color="1F3864" w:sz="8"/>
              <w:left w:val="single" w:color="1F3864" w:sz="8"/>
              <w:bottom w:val="single" w:color="1F3864" w:sz="8"/>
              <w:right w:val="single" w:color="1F3864" w:sz="8"/>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F1</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CLT→MCO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260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0.900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0.884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0.892</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CLT→DFW</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258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0.893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0.857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0.875</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DFW→CLT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259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0.902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0.833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0.866</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DFW→MCO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248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0.864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0.844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0.854</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PHX→DFW</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213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0.930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0.708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0.804</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...61 more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r>
      <w:tr>
        <w:tc>
          <w:tcPr>
            <w:tcW w:type="dxa" w:w="1560"/>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left"/>
            </w:pPr>
            <w:r>
              <w:rPr>
                <w:rFonts w:ascii="Times New Roman" w:cs="Times New Roman" w:eastAsia="Times New Roman" w:hAnsi="Times New Roman"/>
                <w:b/>
                <w:bCs/>
                <w:i w:val="false"/>
                <w:iCs w:val="false"/>
                <w:color w:val="000000"/>
                <w:sz w:val="20"/>
                <w:szCs w:val="20"/>
              </w:rPr>
              <w:t xml:space="preserve">Macro avg</w:t>
            </w:r>
          </w:p>
        </w:tc>
        <w:tc>
          <w:tcPr>
            <w:tcW w:type="dxa" w:w="1200"/>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center"/>
            </w:pPr>
            <w:r>
              <w:rPr>
                <w:rFonts w:ascii="Times New Roman" w:cs="Times New Roman" w:eastAsia="Times New Roman" w:hAnsi="Times New Roman"/>
                <w:b/>
                <w:bCs/>
                <w:i w:val="false"/>
                <w:iCs w:val="false"/>
                <w:color w:val="000000"/>
                <w:sz w:val="20"/>
                <w:szCs w:val="20"/>
              </w:rPr>
              <w:t xml:space="preserve"/>
            </w:r>
          </w:p>
        </w:tc>
        <w:tc>
          <w:tcPr>
            <w:tcW w:type="dxa" w:w="1200"/>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center"/>
            </w:pPr>
            <w:r>
              <w:rPr>
                <w:rFonts w:ascii="Times New Roman" w:cs="Times New Roman" w:eastAsia="Times New Roman" w:hAnsi="Times New Roman"/>
                <w:b/>
                <w:bCs/>
                <w:i w:val="false"/>
                <w:iCs w:val="false"/>
                <w:color w:val="000000"/>
                <w:sz w:val="20"/>
                <w:szCs w:val="20"/>
              </w:rPr>
              <w:t xml:space="preserve"/>
            </w:r>
          </w:p>
        </w:tc>
        <w:tc>
          <w:tcPr>
            <w:tcW w:type="dxa" w:w="1200"/>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center"/>
            </w:pPr>
            <w:r>
              <w:rPr>
                <w:rFonts w:ascii="Times New Roman" w:cs="Times New Roman" w:eastAsia="Times New Roman" w:hAnsi="Times New Roman"/>
                <w:b/>
                <w:bCs/>
                <w:i w:val="false"/>
                <w:iCs w:val="false"/>
                <w:color w:val="000000"/>
                <w:sz w:val="20"/>
                <w:szCs w:val="20"/>
              </w:rPr>
              <w:t xml:space="preserve"/>
            </w:r>
          </w:p>
        </w:tc>
        <w:tc>
          <w:tcPr>
            <w:tcW w:type="dxa" w:w="1200"/>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center"/>
            </w:pPr>
            <w:r>
              <w:rPr>
                <w:rFonts w:ascii="Times New Roman" w:cs="Times New Roman" w:eastAsia="Times New Roman" w:hAnsi="Times New Roman"/>
                <w:b/>
                <w:bCs/>
                <w:i w:val="false"/>
                <w:iCs w:val="false"/>
                <w:color w:val="000000"/>
                <w:sz w:val="20"/>
                <w:szCs w:val="20"/>
              </w:rPr>
              <w:t xml:space="preserve"/>
            </w:r>
          </w:p>
        </w:tc>
        <w:tc>
          <w:tcPr>
            <w:tcW w:type="dxa" w:w="1200"/>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center"/>
            </w:pPr>
            <w:r>
              <w:rPr>
                <w:rFonts w:ascii="Times New Roman" w:cs="Times New Roman" w:eastAsia="Times New Roman" w:hAnsi="Times New Roman"/>
                <w:b/>
                <w:bCs/>
                <w:i w:val="false"/>
                <w:iCs w:val="false"/>
                <w:color w:val="000000"/>
                <w:sz w:val="20"/>
                <w:szCs w:val="20"/>
              </w:rPr>
              <w:t xml:space="preserve">0.803</w:t>
            </w:r>
          </w:p>
        </w:tc>
        <w:tc>
          <w:tcPr>
            <w:tcW w:type="dxa" w:w="1200"/>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center"/>
            </w:pPr>
            <w:r>
              <w:rPr>
                <w:rFonts w:ascii="Times New Roman" w:cs="Times New Roman" w:eastAsia="Times New Roman" w:hAnsi="Times New Roman"/>
                <w:b/>
                <w:bCs/>
                <w:i w:val="false"/>
                <w:iCs w:val="false"/>
                <w:color w:val="000000"/>
                <w:sz w:val="20"/>
                <w:szCs w:val="20"/>
              </w:rPr>
              <w:t xml:space="preserve">0.730</w:t>
            </w:r>
          </w:p>
        </w:tc>
        <w:tc>
          <w:tcPr>
            <w:tcW w:type="dxa" w:w="1200"/>
            <w:tcBorders>
              <w:top w:val="single" w:color="CCCCCC" w:sz="1"/>
              <w:left w:val="single" w:color="CCCCCC" w:sz="1"/>
              <w:bottom w:val="single" w:color="CCCCCC" w:sz="1"/>
              <w:right w:val="single" w:color="CCCCCC" w:sz="1"/>
            </w:tcBorders>
            <w:shd w:fill="D5F0E0" w:val="clear"/>
            <w:tcMar>
              <w:top w:type="dxa" w:w="80"/>
              <w:left w:type="dxa" w:w="120"/>
              <w:bottom w:type="dxa" w:w="80"/>
              <w:right w:type="dxa" w:w="120"/>
            </w:tcMar>
            <w:vAlign w:val="center"/>
          </w:tcPr>
          <w:p>
            <w:pPr>
              <w:jc w:val="center"/>
            </w:pPr>
            <w:r>
              <w:rPr>
                <w:rFonts w:ascii="Times New Roman" w:cs="Times New Roman" w:eastAsia="Times New Roman" w:hAnsi="Times New Roman"/>
                <w:b/>
                <w:bCs/>
                <w:i w:val="false"/>
                <w:iCs w:val="false"/>
                <w:color w:val="000000"/>
                <w:sz w:val="20"/>
                <w:szCs w:val="20"/>
              </w:rPr>
              <w:t xml:space="preserve">0.760</w:t>
            </w:r>
          </w:p>
        </w:tc>
      </w:tr>
    </w:tbl>
    <w:p>
      <w:pPr>
        <w:spacing w:after="60"/>
      </w:pPr>
      <w:r>
        <w:rPr>
          <w:rFonts w:ascii="Times New Roman" w:cs="Times New Roman" w:eastAsia="Times New Roman" w:hAnsi="Times New Roman"/>
          <w:b w:val="false"/>
          <w:bCs w:val="false"/>
          <w:i w:val="false"/>
          <w:iCs w:val="false"/>
          <w:color w:val="000000"/>
          <w:sz w:val="22"/>
          <w:szCs w:val="22"/>
        </w:rPr>
        <w:t xml:space="preserve"/>
      </w:r>
    </w:p>
    <w:p>
      <w:pPr>
        <w:spacing w:after="160"/>
        <w:jc w:val="center"/>
      </w:pPr>
      <w:r>
        <w:rPr>
          <w:rFonts w:ascii="Times New Roman" w:cs="Times New Roman" w:eastAsia="Times New Roman" w:hAnsi="Times New Roman"/>
          <w:i/>
          <w:iCs/>
          <w:sz w:val="20"/>
          <w:szCs w:val="20"/>
        </w:rPr>
        <w:t xml:space="preserve">Table 7: Hourly alert evaluation on 366-day test set.</w:t>
      </w:r>
    </w:p>
    <w:p>
      <w:pPr>
        <w:pStyle w:val="Heading2"/>
        <w:spacing w:after="80" w:before="220"/>
      </w:pPr>
      <w:r>
        <w:rPr>
          <w:rFonts w:ascii="Times New Roman" w:cs="Times New Roman" w:eastAsia="Times New Roman" w:hAnsi="Times New Roman"/>
          <w:b/>
          <w:bCs/>
          <w:sz w:val="24"/>
          <w:szCs w:val="24"/>
        </w:rPr>
        <w:t xml:space="preserve">6.2 Recommended Operational Actions (from Dashboard)</w:t>
      </w:r>
    </w:p>
    <w:p>
      <w:pPr>
        <w:pStyle w:val="ListParagraph"/>
        <w:numPr>
          <w:ilvl w:val="0"/>
          <w:numId w:val="2"/>
        </w:numPr>
        <w:spacing w:after="100" w:line="276"/>
      </w:pPr>
      <w:r>
        <w:rPr>
          <w:rFonts w:ascii="Times New Roman" w:cs="Times New Roman" w:eastAsia="Times New Roman" w:hAnsi="Times New Roman"/>
          <w:b/>
          <w:bCs/>
          <w:i w:val="false"/>
          <w:iCs w:val="false"/>
          <w:color w:val="000000"/>
          <w:sz w:val="22"/>
          <w:szCs w:val="22"/>
        </w:rPr>
        <w:t xml:space="preserve">GATE HOLD</w:t>
      </w:r>
      <w:r>
        <w:rPr>
          <w:rFonts w:ascii="Times New Roman" w:cs="Times New Roman" w:eastAsia="Times New Roman" w:hAnsi="Times New Roman"/>
          <w:b w:val="false"/>
          <w:bCs w:val="false"/>
          <w:i w:val="false"/>
          <w:iCs w:val="false"/>
          <w:color w:val="000000"/>
          <w:sz w:val="22"/>
          <w:szCs w:val="22"/>
        </w:rPr>
        <w:t xml:space="preserve"> (HIGH severity): Source airport running &gt; 27 min avg delay. Notify ATC, pre-position standby crew at target airport, issue gate-hold advisory to inbound aircraft.</w:t>
      </w:r>
    </w:p>
    <w:p>
      <w:pPr>
        <w:pStyle w:val="ListParagraph"/>
        <w:numPr>
          <w:ilvl w:val="0"/>
          <w:numId w:val="2"/>
        </w:numPr>
        <w:spacing w:after="100" w:line="276"/>
      </w:pPr>
      <w:r>
        <w:rPr>
          <w:rFonts w:ascii="Times New Roman" w:cs="Times New Roman" w:eastAsia="Times New Roman" w:hAnsi="Times New Roman"/>
          <w:b/>
          <w:bCs/>
          <w:i w:val="false"/>
          <w:iCs w:val="false"/>
          <w:color w:val="000000"/>
          <w:sz w:val="22"/>
          <w:szCs w:val="22"/>
        </w:rPr>
        <w:t xml:space="preserve">MONITOR</w:t>
      </w:r>
      <w:r>
        <w:rPr>
          <w:rFonts w:ascii="Times New Roman" w:cs="Times New Roman" w:eastAsia="Times New Roman" w:hAnsi="Times New Roman"/>
          <w:b w:val="false"/>
          <w:bCs w:val="false"/>
          <w:i w:val="false"/>
          <w:iCs w:val="false"/>
          <w:color w:val="000000"/>
          <w:sz w:val="22"/>
          <w:szCs w:val="22"/>
        </w:rPr>
        <w:t xml:space="preserve"> (MEDIUM severity): Source airport 15–27 min avg delay. Review inbound aircraft rotations, flag connecting passengers for proactive rebooking, alert ground services at target airport.</w:t>
      </w:r>
    </w:p>
    <w:p>
      <w:pPr>
        <w:pStyle w:val="ListParagraph"/>
        <w:numPr>
          <w:ilvl w:val="0"/>
          <w:numId w:val="2"/>
        </w:numPr>
        <w:spacing w:after="100" w:line="276"/>
      </w:pPr>
      <w:r>
        <w:rPr>
          <w:rFonts w:ascii="Times New Roman" w:cs="Times New Roman" w:eastAsia="Times New Roman" w:hAnsi="Times New Roman"/>
          <w:b/>
          <w:bCs/>
          <w:i w:val="false"/>
          <w:iCs w:val="false"/>
          <w:color w:val="000000"/>
          <w:sz w:val="22"/>
          <w:szCs w:val="22"/>
        </w:rPr>
        <w:t xml:space="preserve">NOMINAL</w:t>
      </w:r>
      <w:r>
        <w:rPr>
          <w:rFonts w:ascii="Times New Roman" w:cs="Times New Roman" w:eastAsia="Times New Roman" w:hAnsi="Times New Roman"/>
          <w:b w:val="false"/>
          <w:bCs w:val="false"/>
          <w:i w:val="false"/>
          <w:iCs w:val="false"/>
          <w:color w:val="000000"/>
          <w:sz w:val="22"/>
          <w:szCs w:val="22"/>
        </w:rPr>
        <w:t xml:space="preserve">: All source airports below threshold. No actions required; continue standard monitoring.</w:t>
      </w:r>
    </w:p>
    <w:p>
      <w:pPr>
        <w:pStyle w:val="ListParagraph"/>
        <w:numPr>
          <w:ilvl w:val="0"/>
          <w:numId w:val="2"/>
        </w:numPr>
        <w:spacing w:after="100" w:line="276"/>
      </w:pPr>
      <w:r>
        <w:rPr>
          <w:rFonts w:ascii="Times New Roman" w:cs="Times New Roman" w:eastAsia="Times New Roman" w:hAnsi="Times New Roman"/>
          <w:b/>
          <w:bCs/>
          <w:i w:val="false"/>
          <w:iCs w:val="false"/>
          <w:color w:val="000000"/>
          <w:sz w:val="22"/>
          <w:szCs w:val="22"/>
        </w:rPr>
        <w:t xml:space="preserve">WORST-DAY CASE STUDY</w:t>
      </w:r>
      <w:r>
        <w:rPr>
          <w:rFonts w:ascii="Times New Roman" w:cs="Times New Roman" w:eastAsia="Times New Roman" w:hAnsi="Times New Roman"/>
          <w:b w:val="false"/>
          <w:bCs w:val="false"/>
          <w:i w:val="false"/>
          <w:iCs w:val="false"/>
          <w:color w:val="000000"/>
          <w:sz w:val="22"/>
          <w:szCs w:val="22"/>
        </w:rPr>
        <w:t xml:space="preserve">: 2024-07-19 (CrowdStrike IT outage), avg 69.5 min across hubs. The alert system correctly fired on DFW→ATL, DFW→CLT, MCO→LAS, and ATL→DEN in the 72h prior window, though the magnitude of the outage exceeded any historically observed pattern.</w:t>
      </w:r>
    </w:p>
    <w:p>
      <w:pPr>
        <w:spacing w:after="80"/>
      </w:pPr>
      <w:r>
        <w:rPr>
          <w:rFonts w:ascii="Times New Roman" w:cs="Times New Roman" w:eastAsia="Times New Roman" w:hAnsi="Times New Roman"/>
          <w:b w:val="false"/>
          <w:bCs w:val="false"/>
          <w:i w:val="false"/>
          <w:iCs w:val="false"/>
          <w:color w:val="000000"/>
          <w:sz w:val="22"/>
          <w:szCs w:val="22"/>
        </w:rPr>
        <w:t xml:space="preserve"/>
      </w:r>
    </w:p>
    <w:p>
      <w:pPr>
        <w:pStyle w:val="Heading2"/>
        <w:spacing w:after="80" w:before="220"/>
      </w:pPr>
      <w:r>
        <w:rPr>
          <w:rFonts w:ascii="Times New Roman" w:cs="Times New Roman" w:eastAsia="Times New Roman" w:hAnsi="Times New Roman"/>
          <w:b/>
          <w:bCs/>
          <w:sz w:val="24"/>
          <w:szCs w:val="24"/>
        </w:rPr>
        <w:t xml:space="preserve">6.3 Streamlit Dashboard</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The interactive dashboard (</w:t>
      </w:r>
      <w:r>
        <w:rPr>
          <w:rFonts w:ascii="Times New Roman" w:cs="Times New Roman" w:eastAsia="Times New Roman" w:hAnsi="Times New Roman"/>
          <w:b/>
          <w:bCs/>
          <w:i w:val="false"/>
          <w:iCs w:val="false"/>
          <w:color w:val="000000"/>
          <w:sz w:val="22"/>
          <w:szCs w:val="22"/>
        </w:rPr>
        <w:t xml:space="preserve">flightdelayforecasting.streamlit.app</w:t>
      </w:r>
      <w:r>
        <w:rPr>
          <w:rFonts w:ascii="Times New Roman" w:cs="Times New Roman" w:eastAsia="Times New Roman" w:hAnsi="Times New Roman"/>
          <w:b w:val="false"/>
          <w:bCs w:val="false"/>
          <w:i w:val="false"/>
          <w:iCs w:val="false"/>
          <w:color w:val="000000"/>
          <w:sz w:val="22"/>
          <w:szCs w:val="22"/>
        </w:rPr>
        <w:t xml:space="preserve">) provides 8 pages: Overview (KPI summary), Ops Center (live propagation risk map with active alerts and recommended actions), Airport Explorer (QRNN forecast with uncertainty bands and reliability diagram), Model Comparison (PHX focus and all-airport master table), Noise Analysis (residual diagnostics and log-likelihood comparison), Propagation (Granger matrix and tail-chain heatmap), Hourly Alert System (per-pair evaluation), and Research Question Answers.</w:t>
      </w:r>
    </w:p>
    <w:p>
      <w:r>
        <w:br w:type="page"/>
      </w:r>
    </w:p>
    <w:p>
      <w:pPr>
        <w:pStyle w:val="Heading1"/>
        <w:spacing w:after="120" w:before="300"/>
      </w:pPr>
      <w:r>
        <w:rPr>
          <w:rFonts w:ascii="Times New Roman" w:cs="Times New Roman" w:eastAsia="Times New Roman" w:hAnsi="Times New Roman"/>
          <w:b/>
          <w:bCs/>
          <w:color w:val="1F3864"/>
          <w:sz w:val="26"/>
          <w:szCs w:val="26"/>
        </w:rPr>
        <w:t xml:space="preserve">7. Future Work</w:t>
      </w:r>
    </w:p>
    <w:p>
      <w:pPr>
        <w:pBdr>
          <w:bottom w:val="single" w:color="2E75B6" w:sz="6" w:space="1"/>
        </w:pBdr>
        <w:spacing w:after="140"/>
      </w:pPr>
      <w:r>
        <w:rPr>
          <w:rFonts w:ascii="Times New Roman" w:cs="Times New Roman" w:eastAsia="Times New Roman" w:hAnsi="Times New Roman"/>
          <w:b w:val="false"/>
          <w:bCs w:val="false"/>
          <w:i w:val="false"/>
          <w:iCs w:val="false"/>
          <w:color w:val="000000"/>
          <w:sz w:val="22"/>
          <w:szCs w:val="22"/>
        </w:rPr>
        <w:t xml:space="preserve"/>
      </w:r>
    </w:p>
    <w:p>
      <w:pPr>
        <w:pStyle w:val="ListParagraph"/>
        <w:numPr>
          <w:ilvl w:val="0"/>
          <w:numId w:val="2"/>
        </w:numPr>
        <w:spacing w:after="100" w:line="276"/>
      </w:pPr>
      <w:r>
        <w:rPr>
          <w:rFonts w:ascii="Times New Roman" w:cs="Times New Roman" w:eastAsia="Times New Roman" w:hAnsi="Times New Roman"/>
          <w:b/>
          <w:bCs/>
          <w:i w:val="false"/>
          <w:iCs w:val="false"/>
          <w:color w:val="000000"/>
          <w:sz w:val="22"/>
          <w:szCs w:val="22"/>
        </w:rPr>
        <w:t xml:space="preserve">Conformal prediction post-processing</w:t>
      </w:r>
      <w:r>
        <w:rPr>
          <w:rFonts w:ascii="Times New Roman" w:cs="Times New Roman" w:eastAsia="Times New Roman" w:hAnsi="Times New Roman"/>
          <w:b w:val="false"/>
          <w:bCs w:val="false"/>
          <w:i w:val="false"/>
          <w:iCs w:val="false"/>
          <w:color w:val="000000"/>
          <w:sz w:val="22"/>
          <w:szCs w:val="22"/>
        </w:rPr>
        <w:t xml:space="preserve">: Apply split conformal prediction on top of QRNN quantiles to provide finite-sample coverage guarantees without distributional assumptions. This would close the PICP gap to 0.90 rigorously.</w:t>
      </w:r>
    </w:p>
    <w:p>
      <w:pPr>
        <w:pStyle w:val="ListParagraph"/>
        <w:numPr>
          <w:ilvl w:val="0"/>
          <w:numId w:val="2"/>
        </w:numPr>
        <w:spacing w:after="100" w:line="276"/>
      </w:pPr>
      <w:r>
        <w:rPr>
          <w:rFonts w:ascii="Times New Roman" w:cs="Times New Roman" w:eastAsia="Times New Roman" w:hAnsi="Times New Roman"/>
          <w:b/>
          <w:bCs/>
          <w:i w:val="false"/>
          <w:iCs w:val="false"/>
          <w:color w:val="000000"/>
          <w:sz w:val="22"/>
          <w:szCs w:val="22"/>
        </w:rPr>
        <w:t xml:space="preserve">Graph Neural Networks</w:t>
      </w:r>
      <w:r>
        <w:rPr>
          <w:rFonts w:ascii="Times New Roman" w:cs="Times New Roman" w:eastAsia="Times New Roman" w:hAnsi="Times New Roman"/>
          <w:b w:val="false"/>
          <w:bCs w:val="false"/>
          <w:i w:val="false"/>
          <w:iCs w:val="false"/>
          <w:color w:val="000000"/>
          <w:sz w:val="22"/>
          <w:szCs w:val="22"/>
        </w:rPr>
        <w:t xml:space="preserve">: Model the full 10-hub network as a directed weighted graph, where edge weights are derived from the propagation score matrix. GNN-based multi-variate forecasting would jointly capture spatial and temporal dependencies.</w:t>
      </w:r>
    </w:p>
    <w:p>
      <w:pPr>
        <w:pStyle w:val="ListParagraph"/>
        <w:numPr>
          <w:ilvl w:val="0"/>
          <w:numId w:val="2"/>
        </w:numPr>
        <w:spacing w:after="100" w:line="276"/>
      </w:pPr>
      <w:r>
        <w:rPr>
          <w:rFonts w:ascii="Times New Roman" w:cs="Times New Roman" w:eastAsia="Times New Roman" w:hAnsi="Times New Roman"/>
          <w:b/>
          <w:bCs/>
          <w:i w:val="false"/>
          <w:iCs w:val="false"/>
          <w:color w:val="000000"/>
          <w:sz w:val="22"/>
          <w:szCs w:val="22"/>
        </w:rPr>
        <w:t xml:space="preserve">Real-time deployment</w:t>
      </w:r>
      <w:r>
        <w:rPr>
          <w:rFonts w:ascii="Times New Roman" w:cs="Times New Roman" w:eastAsia="Times New Roman" w:hAnsi="Times New Roman"/>
          <w:b w:val="false"/>
          <w:bCs w:val="false"/>
          <w:i w:val="false"/>
          <w:iCs w:val="false"/>
          <w:color w:val="000000"/>
          <w:sz w:val="22"/>
          <w:szCs w:val="22"/>
        </w:rPr>
        <w:t xml:space="preserve">: Ingest FAA ASPM real-time data feed (updated every 15 minutes); model inference per airport every hour; push alerts to airline ops centres via REST API.</w:t>
      </w:r>
    </w:p>
    <w:p>
      <w:pPr>
        <w:pStyle w:val="ListParagraph"/>
        <w:numPr>
          <w:ilvl w:val="0"/>
          <w:numId w:val="2"/>
        </w:numPr>
        <w:spacing w:after="100" w:line="276"/>
      </w:pPr>
      <w:r>
        <w:rPr>
          <w:rFonts w:ascii="Times New Roman" w:cs="Times New Roman" w:eastAsia="Times New Roman" w:hAnsi="Times New Roman"/>
          <w:b/>
          <w:bCs/>
          <w:i w:val="false"/>
          <w:iCs w:val="false"/>
          <w:color w:val="000000"/>
          <w:sz w:val="22"/>
          <w:szCs w:val="22"/>
        </w:rPr>
        <w:t xml:space="preserve">Weather feature integration</w:t>
      </w:r>
      <w:r>
        <w:rPr>
          <w:rFonts w:ascii="Times New Roman" w:cs="Times New Roman" w:eastAsia="Times New Roman" w:hAnsi="Times New Roman"/>
          <w:b w:val="false"/>
          <w:bCs w:val="false"/>
          <w:i w:val="false"/>
          <w:iCs w:val="false"/>
          <w:color w:val="000000"/>
          <w:sz w:val="22"/>
          <w:szCs w:val="22"/>
        </w:rPr>
        <w:t xml:space="preserve">: Add NOAA NWS 24-hour weather forecasts (precipitation probability, wind speed, visibility) as exogenous features. Expected improvement over SARIMAX weather_lag1, which uses observed (not forecast) weather.</w:t>
      </w:r>
    </w:p>
    <w:p>
      <w:pPr>
        <w:pStyle w:val="ListParagraph"/>
        <w:numPr>
          <w:ilvl w:val="0"/>
          <w:numId w:val="2"/>
        </w:numPr>
        <w:spacing w:after="100" w:line="276"/>
      </w:pPr>
      <w:r>
        <w:rPr>
          <w:rFonts w:ascii="Times New Roman" w:cs="Times New Roman" w:eastAsia="Times New Roman" w:hAnsi="Times New Roman"/>
          <w:b/>
          <w:bCs/>
          <w:i w:val="false"/>
          <w:iCs w:val="false"/>
          <w:color w:val="000000"/>
          <w:sz w:val="22"/>
          <w:szCs w:val="22"/>
        </w:rPr>
        <w:t xml:space="preserve">Extended airport scope</w:t>
      </w:r>
      <w:r>
        <w:rPr>
          <w:rFonts w:ascii="Times New Roman" w:cs="Times New Roman" w:eastAsia="Times New Roman" w:hAnsi="Times New Roman"/>
          <w:b w:val="false"/>
          <w:bCs w:val="false"/>
          <w:i w:val="false"/>
          <w:iCs w:val="false"/>
          <w:color w:val="000000"/>
          <w:sz w:val="22"/>
          <w:szCs w:val="22"/>
        </w:rPr>
        <w:t xml:space="preserve">: Validate pipeline on Eurocontrol/CODA European airport data to test transferability. Indian airport DGCA data, once available at flight level, would enable a domestic India application.</w:t>
      </w:r>
    </w:p>
    <w:p>
      <w:pPr>
        <w:pStyle w:val="ListParagraph"/>
        <w:numPr>
          <w:ilvl w:val="0"/>
          <w:numId w:val="2"/>
        </w:numPr>
        <w:spacing w:after="100" w:line="276"/>
      </w:pPr>
      <w:r>
        <w:rPr>
          <w:rFonts w:ascii="Times New Roman" w:cs="Times New Roman" w:eastAsia="Times New Roman" w:hAnsi="Times New Roman"/>
          <w:b/>
          <w:bCs/>
          <w:i w:val="false"/>
          <w:iCs w:val="false"/>
          <w:color w:val="000000"/>
          <w:sz w:val="22"/>
          <w:szCs w:val="22"/>
        </w:rPr>
        <w:t xml:space="preserve">Online learning</w:t>
      </w:r>
      <w:r>
        <w:rPr>
          <w:rFonts w:ascii="Times New Roman" w:cs="Times New Roman" w:eastAsia="Times New Roman" w:hAnsi="Times New Roman"/>
          <w:b w:val="false"/>
          <w:bCs w:val="false"/>
          <w:i w:val="false"/>
          <w:iCs w:val="false"/>
          <w:color w:val="000000"/>
          <w:sz w:val="22"/>
          <w:szCs w:val="22"/>
        </w:rPr>
        <w:t xml:space="preserve">: Incrementally update SARIMA and GRU models monthly as new BTS files are released, tracking concept drift in delay distributions.</w:t>
      </w:r>
    </w:p>
    <w:p>
      <w:pPr>
        <w:pStyle w:val="ListParagraph"/>
        <w:numPr>
          <w:ilvl w:val="0"/>
          <w:numId w:val="2"/>
        </w:numPr>
        <w:spacing w:after="100" w:line="276"/>
      </w:pPr>
      <w:r>
        <w:rPr>
          <w:rFonts w:ascii="Times New Roman" w:cs="Times New Roman" w:eastAsia="Times New Roman" w:hAnsi="Times New Roman"/>
          <w:b/>
          <w:bCs/>
          <w:i w:val="false"/>
          <w:iCs w:val="false"/>
          <w:color w:val="000000"/>
          <w:sz w:val="22"/>
          <w:szCs w:val="22"/>
        </w:rPr>
        <w:t xml:space="preserve">Passenger-level impact modelling</w:t>
      </w:r>
      <w:r>
        <w:rPr>
          <w:rFonts w:ascii="Times New Roman" w:cs="Times New Roman" w:eastAsia="Times New Roman" w:hAnsi="Times New Roman"/>
          <w:b w:val="false"/>
          <w:bCs w:val="false"/>
          <w:i w:val="false"/>
          <w:iCs w:val="false"/>
          <w:color w:val="000000"/>
          <w:sz w:val="22"/>
          <w:szCs w:val="22"/>
        </w:rPr>
        <w:t xml:space="preserve">: Extend propagation analysis from aircraft rotation to passenger itinerary networks using BTS passenger flow data, quantifying the true disruption cost rather than just delay minutes.</w:t>
      </w:r>
    </w:p>
    <w:p>
      <w:pPr>
        <w:spacing w:after="80"/>
      </w:pPr>
      <w:r>
        <w:rPr>
          <w:rFonts w:ascii="Times New Roman" w:cs="Times New Roman" w:eastAsia="Times New Roman" w:hAnsi="Times New Roman"/>
          <w:b w:val="false"/>
          <w:bCs w:val="false"/>
          <w:i w:val="false"/>
          <w:iCs w:val="false"/>
          <w:color w:val="000000"/>
          <w:sz w:val="22"/>
          <w:szCs w:val="22"/>
        </w:rPr>
        <w:t xml:space="preserve"/>
      </w:r>
    </w:p>
    <w:p>
      <w:r>
        <w:br w:type="page"/>
      </w:r>
    </w:p>
    <w:p>
      <w:pPr>
        <w:pStyle w:val="Heading1"/>
        <w:spacing w:after="120" w:before="300"/>
      </w:pPr>
      <w:r>
        <w:rPr>
          <w:rFonts w:ascii="Times New Roman" w:cs="Times New Roman" w:eastAsia="Times New Roman" w:hAnsi="Times New Roman"/>
          <w:b/>
          <w:bCs/>
          <w:color w:val="1F3864"/>
          <w:sz w:val="26"/>
          <w:szCs w:val="26"/>
        </w:rPr>
        <w:t xml:space="preserve">8. References</w:t>
      </w:r>
    </w:p>
    <w:p>
      <w:pPr>
        <w:pBdr>
          <w:bottom w:val="single" w:color="2E75B6" w:sz="6" w:space="1"/>
        </w:pBdr>
        <w:spacing w:after="140"/>
      </w:pPr>
      <w:r>
        <w:rPr>
          <w:rFonts w:ascii="Times New Roman" w:cs="Times New Roman" w:eastAsia="Times New Roman" w:hAnsi="Times New Roman"/>
          <w:b w:val="false"/>
          <w:bCs w:val="false"/>
          <w:i w:val="false"/>
          <w:iCs w:val="false"/>
          <w:color w:val="000000"/>
          <w:sz w:val="22"/>
          <w:szCs w:val="22"/>
        </w:rPr>
        <w:t xml:space="preserve"/>
      </w:r>
    </w:p>
    <w:p>
      <w:pPr>
        <w:spacing w:after="80" w:line="276"/>
      </w:pPr>
      <w:r>
        <w:rPr>
          <w:rFonts w:ascii="Times New Roman" w:cs="Times New Roman" w:eastAsia="Times New Roman" w:hAnsi="Times New Roman"/>
          <w:sz w:val="20"/>
          <w:szCs w:val="20"/>
        </w:rPr>
        <w:t xml:space="preserve">[1] J. Rebollo and H. Balakrishnan, "Characterization and prediction of air traffic delays," Transportation Research Part C, vol. 44, pp. 231–241, 2014.</w:t>
      </w:r>
    </w:p>
    <w:p>
      <w:pPr>
        <w:spacing w:after="80" w:line="276"/>
      </w:pPr>
      <w:r>
        <w:rPr>
          <w:rFonts w:ascii="Times New Roman" w:cs="Times New Roman" w:eastAsia="Times New Roman" w:hAnsi="Times New Roman"/>
          <w:sz w:val="20"/>
          <w:szCs w:val="20"/>
        </w:rPr>
        <w:t xml:space="preserve">[2] J. Tu, G. Ball, and D. Lovell, "Estimating flight departure delay distributions — a statistical approach with long-term trend and short-term pattern," Journal of the Transportation Research Board, 2008.</w:t>
      </w:r>
    </w:p>
    <w:p>
      <w:pPr>
        <w:spacing w:after="80" w:line="276"/>
      </w:pPr>
      <w:r>
        <w:rPr>
          <w:rFonts w:ascii="Times New Roman" w:cs="Times New Roman" w:eastAsia="Times New Roman" w:hAnsi="Times New Roman"/>
          <w:sz w:val="20"/>
          <w:szCs w:val="20"/>
        </w:rPr>
        <w:t xml:space="preserve">[3] N. Xu, L. Donohue, K. B. Laskey, and C.-H. Chen, "Estimation of delay propagation in the national aviation system using Bayesian networks," in Proc. 6th USA/Europe ATM R&amp;D Seminar, 2005.</w:t>
      </w:r>
    </w:p>
    <w:p>
      <w:pPr>
        <w:spacing w:after="80" w:line="276"/>
      </w:pPr>
      <w:r>
        <w:rPr>
          <w:rFonts w:ascii="Times New Roman" w:cs="Times New Roman" w:eastAsia="Times New Roman" w:hAnsi="Times New Roman"/>
          <w:sz w:val="20"/>
          <w:szCs w:val="20"/>
        </w:rPr>
        <w:t xml:space="preserve">[4] R. Koenker and G. Bassett, "Regression quantiles," Econometrica, vol. 46, no. 1, pp. 33–50, 1978.</w:t>
      </w:r>
    </w:p>
    <w:p>
      <w:pPr>
        <w:spacing w:after="80" w:line="276"/>
      </w:pPr>
      <w:r>
        <w:rPr>
          <w:rFonts w:ascii="Times New Roman" w:cs="Times New Roman" w:eastAsia="Times New Roman" w:hAnsi="Times New Roman"/>
          <w:sz w:val="20"/>
          <w:szCs w:val="20"/>
        </w:rPr>
        <w:t xml:space="preserve">[5] J. W. Taylor, "A quantile regression neural network approach to estimating the conditional density of multiperiod returns," Journal of Forecasting, vol. 19, no. 4, pp. 299–311, 2000.</w:t>
      </w:r>
    </w:p>
    <w:p>
      <w:pPr>
        <w:spacing w:after="80" w:line="276"/>
      </w:pPr>
      <w:r>
        <w:rPr>
          <w:rFonts w:ascii="Times New Roman" w:cs="Times New Roman" w:eastAsia="Times New Roman" w:hAnsi="Times New Roman"/>
          <w:sz w:val="20"/>
          <w:szCs w:val="20"/>
        </w:rPr>
        <w:t xml:space="preserve">[6] J. Beatty, R. Hsu, L. Berry, and J. Rome, "Preliminary evaluation of flight delay propagation through an airline schedule," in Proc. 2nd USA/Europe ATM R&amp;D Seminar, Orlando, 1998.</w:t>
      </w:r>
    </w:p>
    <w:p>
      <w:pPr>
        <w:spacing w:after="80" w:line="276"/>
      </w:pPr>
      <w:r>
        <w:rPr>
          <w:rFonts w:ascii="Times New Roman" w:cs="Times New Roman" w:eastAsia="Times New Roman" w:hAnsi="Times New Roman"/>
          <w:sz w:val="20"/>
          <w:szCs w:val="20"/>
        </w:rPr>
        <w:t xml:space="preserve">[7] Y. Zhang, R. Cao, B. Zhang, and H. Liu, "Identifying airport network delay propagation using aviation big data," Journal of Advanced Transportation, 2021.</w:t>
      </w:r>
    </w:p>
    <w:p>
      <w:pPr>
        <w:spacing w:after="80" w:line="276"/>
      </w:pPr>
      <w:r>
        <w:rPr>
          <w:rFonts w:ascii="Times New Roman" w:cs="Times New Roman" w:eastAsia="Times New Roman" w:hAnsi="Times New Roman"/>
          <w:sz w:val="20"/>
          <w:szCs w:val="20"/>
        </w:rPr>
        <w:t xml:space="preserve">[8] US Bureau of Transportation Statistics, "On-Time Performance," transtats.bts.gov, accessed Apr. 2026.</w:t>
      </w:r>
    </w:p>
    <w:p>
      <w:pPr>
        <w:spacing w:after="80" w:line="276"/>
      </w:pPr>
      <w:r>
        <w:rPr>
          <w:rFonts w:ascii="Times New Roman" w:cs="Times New Roman" w:eastAsia="Times New Roman" w:hAnsi="Times New Roman"/>
          <w:sz w:val="20"/>
          <w:szCs w:val="20"/>
        </w:rPr>
        <w:t xml:space="preserve">[9] S. Hochreiter and J. Schmidhuber, "Long short-term memory," Neural Computation, vol. 9, no. 8, pp. 1735–1780, 1997.</w:t>
      </w:r>
    </w:p>
    <w:p>
      <w:pPr>
        <w:spacing w:after="80" w:line="276"/>
      </w:pPr>
      <w:r>
        <w:rPr>
          <w:rFonts w:ascii="Times New Roman" w:cs="Times New Roman" w:eastAsia="Times New Roman" w:hAnsi="Times New Roman"/>
          <w:sz w:val="20"/>
          <w:szCs w:val="20"/>
        </w:rPr>
        <w:t xml:space="preserve">[10] K. Cho et al., "Learning phrase representations using RNN encoder–decoder for statistical machine translation," in Proc. EMNLP, pp. 1724–1734, 2014.</w:t>
      </w:r>
    </w:p>
    <w:p>
      <w:pPr>
        <w:spacing w:after="80" w:line="276"/>
      </w:pPr>
      <w:r>
        <w:rPr>
          <w:rFonts w:ascii="Times New Roman" w:cs="Times New Roman" w:eastAsia="Times New Roman" w:hAnsi="Times New Roman"/>
          <w:sz w:val="20"/>
          <w:szCs w:val="20"/>
        </w:rPr>
        <w:t xml:space="preserve">[11] S. Makridakis, E. Spiliotis, and V. Assimakopoulos, "The M4 Competition: 100,000 time series and 61 forecasting methods," International Journal of Forecasting, vol. 36, no. 1, pp. 54–74, 2020.</w:t>
      </w:r>
    </w:p>
    <w:p>
      <w:pPr>
        <w:spacing w:after="80" w:line="276"/>
      </w:pPr>
      <w:r>
        <w:rPr>
          <w:rFonts w:ascii="Times New Roman" w:cs="Times New Roman" w:eastAsia="Times New Roman" w:hAnsi="Times New Roman"/>
          <w:sz w:val="20"/>
          <w:szCs w:val="20"/>
        </w:rPr>
        <w:t xml:space="preserve">[12] C. W. J. Granger, "Investigating causal relations by econometric models and cross-spectral methods," Econometrica, vol. 37, no. 3, pp. 424–438, 1969.</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88888" w:sz="2" w:space="1"/>
      </w:pBdr>
      <w:jc w:val="center"/>
    </w:pPr>
    <w:r>
      <w:rPr>
        <w:rFonts w:ascii="Times New Roman" w:cs="Times New Roman" w:eastAsia="Times New Roman" w:hAnsi="Times New Roman"/>
        <w:b w:val="false"/>
        <w:bCs w:val="false"/>
        <w:i w:val="false"/>
        <w:iCs w:val="false"/>
        <w:color w:val="888888"/>
        <w:sz w:val="18"/>
        <w:szCs w:val="18"/>
      </w:rPr>
      <w:t xml:space="preserve">SC475 Applied Forecasting Methods  ·  Aarsh Adhvaryu, Nikita Sharma, Ram Sharma  ·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F3864"/>
      <w:sz w:val="26"/>
      <w:szCs w:val="26"/>
    </w:rPr>
  </w:style>
  <w:style w:type="paragraph" w:styleId="Heading2">
    <w:name w:val="Heading 2"/>
    <w:basedOn w:val="Normal"/>
    <w:next w:val="Normal"/>
    <w:qFormat/>
    <w:pPr>
      <w:spacing w:after="80" w:before="22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60" w:before="160"/>
      <w:outlineLvl w:val="2"/>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2026-05-02T07:42:28.526Z</dcterms:created>
  <dcterms:modified xsi:type="dcterms:W3CDTF">2026-05-02T07:42:28.528Z</dcterms:modified>
</cp:coreProperties>
</file>

<file path=docProps/custom.xml><?xml version="1.0" encoding="utf-8"?>
<Properties xmlns="http://schemas.openxmlformats.org/officeDocument/2006/custom-properties" xmlns:vt="http://schemas.openxmlformats.org/officeDocument/2006/docPropsVTypes"/>
</file>