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d41ea92ccea4736" /><Relationship Type="http://schemas.openxmlformats.org/package/2006/relationships/metadata/core-properties" Target="/docProps/core.xml" Id="Re40d2fb9f7b14857" /><Relationship Type="http://schemas.openxmlformats.org/officeDocument/2006/relationships/extended-properties" Target="/docProps/app.xml" Id="Rfb6d8894726141a5" /><Relationship Type="http://schemas.openxmlformats.org/officeDocument/2006/relationships/custom-properties" Target="/docProps/custom.xml" Id="Rdfeec2b5215a4f2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00"/>
        <w:jc w:val="center"/>
      </w:pPr>
      <w:r>
        <w:rPr>
          <w:b/>
          <w:sz w:val="56"/>
        </w:rPr>
        <w:t xml:space="preserve">E-Commerce Sales Performance &amp; Smart Pricing Insights</w:t>
      </w:r>
    </w:p>
    <w:p w14:paraId="00100002" w14:textId="00100003">
      <w:pPr>
        <w:pStyle w:val="Normal"/>
        <w:spacing w:after="80"/>
        <w:jc w:val="center"/>
      </w:pPr>
      <w:r>
        <w:rPr>
          <w:b/>
          <w:sz w:val="26"/>
        </w:rPr>
        <w:t xml:space="preserve">IBM SkillsBuild Data Analytics with AI — Virtual Internship</w:t>
      </w:r>
    </w:p>
    <w:p w14:paraId="00100004" w14:textId="00100005">
      <w:pPr>
        <w:pStyle w:val="Normal"/>
        <w:spacing w:after="320"/>
        <w:jc w:val="center"/>
      </w:pPr>
      <w:r>
        <w:rPr>
          <w:sz w:val="24"/>
        </w:rPr>
        <w:t xml:space="preserve">CSRBOX / BharatCares &amp; AICTE</w:t>
      </w:r>
    </w:p>
    <w:p w14:paraId="00100006" w14:textId="00100007">
      <w:pPr>
        <w:pStyle w:val="Heading2"/>
        <w:spacing w:before="200" w:after="120"/>
        <w:jc w:val="center"/>
      </w:pPr>
      <w:r>
        <w:rPr>
          <w:b/>
          <w:sz w:val="26"/>
        </w:rPr>
        <w:t xml:space="preserve">Author Details</w:t>
      </w:r>
    </w:p>
    <w:tbl>
      <w:tblPr>
        <w:tblW w:w="3500" w:type="pct"/>
        <w:tblBorders>
          <w:top w:val="single" w:sz="4"/>
          <w:left w:val="single" w:sz="4"/>
          <w:bottom w:val="single" w:sz="4"/>
          <w:right w:val="single" w:sz="4"/>
          <w:insideH w:val="single" w:sz="4"/>
          <w:insideV w:val="single" w:sz="4"/>
        </w:tblBorders>
      </w:tblPr>
      <w:tblGrid>
        <w:gridCol w:w="4153"/>
        <w:gridCol w:w="4153"/>
      </w:tblGrid>
      <w:tr>
        <w:trPr/>
        <w:tc>
          <w:p w14:paraId="00100008" w14:textId="00100009">
            <w:r>
              <w:t xml:space="preserve">Author Name</w:t>
            </w:r>
          </w:p>
        </w:tc>
        <w:tc>
          <w:p w14:paraId="0010000A" w14:textId="0010000B">
            <w:r>
              <w:t xml:space="preserve">Nikita Thakur</w:t>
            </w:r>
          </w:p>
        </w:tc>
      </w:tr>
      <w:tr>
        <w:trPr/>
        <w:tc>
          <w:p w14:paraId="0010000C" w14:textId="0010000D">
            <w:r>
              <w:t xml:space="preserve">Programme</w:t>
            </w:r>
          </w:p>
        </w:tc>
        <w:tc>
          <w:p w14:paraId="0010000E" w14:textId="0010000F">
            <w:r>
              <w:t xml:space="preserve">IBM SkillsBuild Data Analytics with AI — Virtual Internship</w:t>
            </w:r>
          </w:p>
        </w:tc>
      </w:tr>
      <w:tr>
        <w:trPr/>
        <w:tc>
          <w:p w14:paraId="00100010" w14:textId="00100011">
            <w:r>
              <w:t xml:space="preserve">Association</w:t>
            </w:r>
          </w:p>
        </w:tc>
        <w:tc>
          <w:p w14:paraId="00100012" w14:textId="00100013">
            <w:r>
              <w:t xml:space="preserve">CSRBOX / BharatCares &amp; AICTE</w:t>
            </w:r>
          </w:p>
        </w:tc>
      </w:tr>
      <w:tr>
        <w:trPr/>
        <w:tc>
          <w:p w14:paraId="00100014" w14:textId="00100015">
            <w:r>
              <w:t xml:space="preserve">Project Title</w:t>
            </w:r>
          </w:p>
        </w:tc>
        <w:tc>
          <w:p w14:paraId="00100016" w14:textId="00100017">
            <w:r>
              <w:t xml:space="preserve">E-Commerce Sales Performance &amp; Smart Pricing Insights</w:t>
            </w:r>
          </w:p>
        </w:tc>
      </w:tr>
      <w:tr>
        <w:trPr/>
        <w:tc>
          <w:p w14:paraId="00100018" w14:textId="00100019">
            <w:r>
              <w:t xml:space="preserve">Date</w:t>
            </w:r>
          </w:p>
        </w:tc>
        <w:tc>
          <w:p w14:paraId="0010001A" w14:textId="0010001B">
            <w:r>
              <w:t xml:space="preserve">October 2026</w:t>
            </w:r>
          </w:p>
        </w:tc>
      </w:tr>
    </w:tbl>
    <w:p w14:paraId="0010001C" w14:textId="0010001D">
      <w:pPr>
        <w:pStyle w:val="Normal"/>
        <w:spacing w:before="280" w:after="720"/>
        <w:jc w:val="center"/>
      </w:pPr>
      <w:r>
        <w:rPr>
          <w:sz w:val="22"/>
        </w:rPr>
        <w:t xml:space="preserve">Dataset: E-Commerce Sales Analytics Dataset — Kaggle (Unlock Profits with E-Commerce Sales Data)</w:t>
      </w:r>
    </w:p>
    <w:p w14:paraId="0010001E" w14:textId="0010001F">
      <w:pPr>
        <w:pStyle w:val="Heading1"/>
        <w:spacing w:before="280" w:after="160"/>
      </w:pPr>
      <w:r>
        <w:rPr>
          <w:b/>
          <w:sz w:val="36"/>
        </w:rPr>
        <w:t xml:space="preserve">Section 1: Executive Summary &amp; Problem Formulation</w:t>
      </w:r>
    </w:p>
    <w:p w14:paraId="00100020" w14:textId="00100021">
      <w:pPr>
        <w:pStyle w:val="Heading2"/>
        <w:spacing w:before="200" w:after="120"/>
      </w:pPr>
      <w:r>
        <w:rPr>
          <w:b/>
          <w:sz w:val="28"/>
        </w:rPr>
        <w:t xml:space="preserve">1.1 Core Challenge</w:t>
      </w:r>
    </w:p>
    <w:p w14:paraId="00100022" w14:textId="00100023">
      <w:pPr>
        <w:pStyle w:val="Normal"/>
        <w:spacing w:after="160"/>
      </w:pPr>
      <w:r>
        <w:rPr>
          <w:sz w:val="22"/>
        </w:rPr>
        <w:t xml:space="preserve">The e-commerce sector in India is characterised by intense price competition, SKU proliferation, and thin operating margins. Sellers operating across platforms such as Amazon, Flipkart, and Meesho routinely apply blanket discount strategies — offering uniform reductions across categories irrespective of price elasticity, category margin structure, or regional demand patterns. This practice systematically erodes revenue efficiency: discounting inflates gross units sold while simultaneously shrinking revenue per unit, leading to a situation where higher sales volumes paradoxically yield lower profitability. The core challenge addressed by this project is: How can an e-commerce business identify the optimal discount depth per product category to maximise gross revenue and revenue efficiency simultaneously, and which product and pricing attributes are the strongest predictors of revenue performance?</w:t>
      </w:r>
    </w:p>
    <w:p w14:paraId="00100024" w14:textId="00100025">
      <w:pPr>
        <w:pStyle w:val="Heading2"/>
        <w:spacing w:before="200" w:after="120"/>
      </w:pPr>
      <w:r>
        <w:rPr>
          <w:b/>
          <w:sz w:val="28"/>
        </w:rPr>
        <w:t xml:space="preserve">1.2 Problem Statement</w:t>
      </w:r>
    </w:p>
    <w:p w14:paraId="00100026" w14:textId="00100027">
      <w:pPr>
        <w:pStyle w:val="Normal"/>
        <w:spacing w:after="160"/>
      </w:pPr>
      <w:r>
        <w:rPr>
          <w:sz w:val="22"/>
        </w:rPr>
        <w:t xml:space="preserve">Given a multi-category e-commerce sales dataset containing actual price, selling price, discount percentage, units sold, product rating, and regional metadata, build a data-driven analytics pipeline that: (1) quantifies the revenue and efficiency impact of discounting across categories and price bands; (2) trains and compares machine learning regression models to predict gross revenue with high accuracy; and (3) produces an interactive pricing simulator enabling category managers to evaluate pricing scenarios in real time without writing code.</w:t>
      </w:r>
    </w:p>
    <w:p w14:paraId="00100028" w14:textId="00100029">
      <w:pPr>
        <w:pStyle w:val="Heading2"/>
        <w:spacing w:before="200" w:after="120"/>
      </w:pPr>
      <w:r>
        <w:rPr>
          <w:b/>
          <w:sz w:val="28"/>
        </w:rPr>
        <w:t xml:space="preserve">1.3 Objectives</w:t>
      </w:r>
    </w:p>
    <w:p w14:paraId="0010002A" w14:textId="0010002B">
      <w:pPr>
        <w:pStyle w:val="Normal"/>
        <w:spacing w:after="160"/>
      </w:pPr>
      <w:r>
        <w:rPr>
          <w:sz w:val="22"/>
        </w:rPr>
        <w:t xml:space="preserve">O1. Ingest, clean, and validate a raw e-commerce transactions dataset, resolving nulls, type inconsistencies, and outliers.</w:t>
      </w:r>
    </w:p>
    <w:p w14:paraId="0010002C" w14:textId="0010002D">
      <w:pPr>
        <w:pStyle w:val="Normal"/>
        <w:spacing w:after="160"/>
      </w:pPr>
      <w:r>
        <w:rPr>
          <w:sz w:val="22"/>
        </w:rPr>
        <w:t xml:space="preserve">O2. Engineer five revenue-centric features — gross_revenue, discount_loss, revenue_efficiency, price_band, discount_band — to enrich the modelling and analytical surface.</w:t>
      </w:r>
    </w:p>
    <w:p w14:paraId="0010002E" w14:textId="0010002F">
      <w:pPr>
        <w:pStyle w:val="Normal"/>
        <w:spacing w:after="160"/>
      </w:pPr>
      <w:r>
        <w:rPr>
          <w:sz w:val="22"/>
        </w:rPr>
        <w:t xml:space="preserve">O3. Conduct structured EDA across seven analytical dimensions: category revenue, discount distribution, price band efficiency, regional heatmap, sub-category ranking, units vs. discount scatter, and correlation matrix.</w:t>
      </w:r>
    </w:p>
    <w:p w14:paraId="00100030" w14:textId="00100031">
      <w:pPr>
        <w:pStyle w:val="Normal"/>
        <w:spacing w:after="160"/>
      </w:pPr>
      <w:r>
        <w:rPr>
          <w:sz w:val="22"/>
        </w:rPr>
        <w:t xml:space="preserve">O4. Train a Linear Regression baseline and a Random Forest Regressor; compare on MAE, RMSE, and R-squared using an 80/20 train-test split.</w:t>
      </w:r>
    </w:p>
    <w:p w14:paraId="00100032" w14:textId="00100033">
      <w:pPr>
        <w:pStyle w:val="Normal"/>
        <w:spacing w:after="160"/>
      </w:pPr>
      <w:r>
        <w:rPr>
          <w:sz w:val="22"/>
        </w:rPr>
        <w:t xml:space="preserve">O5. Derive evidence-based smart pricing recommendations capping category discounts at their efficiency-maximising thresholds.</w:t>
      </w:r>
    </w:p>
    <w:p w14:paraId="00100034" w14:textId="00100035">
      <w:pPr>
        <w:pStyle w:val="Normal"/>
        <w:spacing w:after="160"/>
      </w:pPr>
      <w:r>
        <w:rPr>
          <w:sz w:val="22"/>
        </w:rPr>
        <w:t xml:space="preserve">O6. Deploy a Streamlit web dashboard featuring live KPI cards, interactive sidebar filters, and a real-time revenue-loss simulator.</w:t>
      </w:r>
    </w:p>
    <w:p w14:paraId="00100036" w14:textId="00100037">
      <w:pPr>
        <w:pStyle w:val="Heading2"/>
        <w:spacing w:before="200" w:after="120"/>
      </w:pPr>
      <w:r>
        <w:rPr>
          <w:b/>
          <w:sz w:val="28"/>
        </w:rPr>
        <w:t xml:space="preserve">1.4 Scope &amp; Boundaries</w:t>
      </w:r>
    </w:p>
    <w:p w14:paraId="00100038" w14:textId="00100039">
      <w:pPr>
        <w:pStyle w:val="Normal"/>
        <w:spacing w:after="160"/>
      </w:pPr>
      <w:r>
        <w:rPr>
          <w:sz w:val="22"/>
        </w:rPr>
        <w:t xml:space="preserve">The analysis covers five product categories (Electronics, Fashion, Home &amp; Kitchen, Sports, Books) across four geographic regions (North, South, East, West) with 2,000 transaction records. The analysis is cross-sectional; time-series forecasting and causal inference from A/B tests are explicitly outside scope and identified as future enhancement opportunities.</w:t>
      </w:r>
    </w:p>
    <w:p w14:paraId="0010003A" w14:textId="0010003B">
      <w:pPr>
        <w:pStyle w:val="Heading1"/>
        <w:spacing w:before="280" w:after="160"/>
      </w:pPr>
      <w:r>
        <w:rPr>
          <w:b/>
          <w:sz w:val="36"/>
        </w:rPr>
        <w:t xml:space="preserve">Section 2: Data Pipeline &amp; Feature Engineering</w:t>
      </w:r>
    </w:p>
    <w:p w14:paraId="0010003C" w14:textId="0010003D">
      <w:pPr>
        <w:pStyle w:val="Heading2"/>
        <w:spacing w:before="200" w:after="120"/>
      </w:pPr>
      <w:r>
        <w:rPr>
          <w:b/>
          <w:sz w:val="28"/>
        </w:rPr>
        <w:t xml:space="preserve">2.1 Dataset Source</w:t>
      </w:r>
    </w:p>
    <w:p w14:paraId="0010003E" w14:textId="0010003F">
      <w:pPr>
        <w:pStyle w:val="Normal"/>
        <w:spacing w:after="160"/>
      </w:pPr>
      <w:r>
        <w:rPr>
          <w:sz w:val="22"/>
        </w:rPr>
        <w:t xml:space="preserve">The dataset is sourced from the Kaggle competition 'Unlock Profits with E-Commerce Sales Data' (https://www.kaggle.com/datasets/thedevastator/unlock-profits-with-e-commerce-sales-data). Raw schema: category (string), sub_category (string), region (string), actual_price (float, MRP), selling_price (float, post-discount price), discount_pct (float, percentage off MRP), units_sold (int), rating (float 1–5), rating_count (int). The dataset reflects a realistic multi-category Indian e-commerce operation with sufficient variance across discount depths, price tiers, and geographic regions for robust analytical and predictive modelling.</w:t>
      </w:r>
    </w:p>
    <w:p w14:paraId="00100040" w14:textId="00100041">
      <w:pPr>
        <w:pStyle w:val="Heading2"/>
        <w:spacing w:before="200" w:after="120"/>
      </w:pPr>
      <w:r>
        <w:rPr>
          <w:b/>
          <w:sz w:val="28"/>
        </w:rPr>
        <w:t xml:space="preserve">2.2 Preprocessing Steps</w:t>
      </w:r>
    </w:p>
    <w:p w14:paraId="00100042" w14:textId="00100043">
      <w:pPr>
        <w:pStyle w:val="Normal"/>
        <w:spacing w:after="160"/>
      </w:pPr>
      <w:r>
        <w:rPr>
          <w:sz w:val="22"/>
        </w:rPr>
        <w:t xml:space="preserve">Step 1 — Type Coercion: selling_price and units_sold were cast from object dtype to numeric using pd.to_numeric(errors='coerce'), converting non-numeric entries to NaN for explicit imputation.</w:t>
      </w:r>
    </w:p>
    <w:p w14:paraId="00100044" w14:textId="00100045">
      <w:pPr>
        <w:pStyle w:val="Normal"/>
        <w:spacing w:after="160"/>
      </w:pPr>
      <w:r>
        <w:rPr>
          <w:sz w:val="22"/>
        </w:rPr>
        <w:t xml:space="preserve">Step 2 — Null Imputation: Missing selling_price values (~1.5% of rows) were imputed using the per-category median (groupby transform), preserving category-level price distribution. Missing units_sold values (~0.5%) used the global median.</w:t>
      </w:r>
    </w:p>
    <w:p w14:paraId="00100046" w14:textId="00100047">
      <w:pPr>
        <w:pStyle w:val="Normal"/>
        <w:spacing w:after="160"/>
      </w:pPr>
      <w:r>
        <w:rPr>
          <w:sz w:val="22"/>
        </w:rPr>
        <w:t xml:space="preserve">Step 3 — Outlier Capping: discount_pct values above 70% were clipped to 70. Values above this threshold are operationally implausible and disproportionately distort linear model coefficients.</w:t>
      </w:r>
    </w:p>
    <w:p w14:paraId="00100048" w14:textId="00100049">
      <w:pPr>
        <w:pStyle w:val="Normal"/>
        <w:spacing w:after="160"/>
      </w:pPr>
      <w:r>
        <w:rPr>
          <w:sz w:val="22"/>
        </w:rPr>
        <w:t xml:space="preserve">Step 4 — Invalid Record Removal: Rows where actual_price or selling_price was zero or negative were dropped (less than 0.1% of data). These represent data entry errors.</w:t>
      </w:r>
    </w:p>
    <w:p w14:paraId="0010004A" w14:textId="0010004B">
      <w:pPr>
        <w:pStyle w:val="Normal"/>
        <w:spacing w:after="160"/>
      </w:pPr>
      <w:r>
        <w:rPr>
          <w:sz w:val="22"/>
        </w:rPr>
        <w:t xml:space="preserve">Step 5 — Index Reset: After filtering, the index was reset to maintain sequential integer indexing throughout the downstream pipeline.</w:t>
      </w:r>
    </w:p>
    <w:p w14:paraId="0010004C" w14:textId="0010004D">
      <w:pPr>
        <w:pStyle w:val="Heading2"/>
        <w:spacing w:before="200" w:after="120"/>
      </w:pPr>
      <w:r>
        <w:rPr>
          <w:b/>
          <w:sz w:val="28"/>
        </w:rPr>
        <w:t xml:space="preserve">2.3 Engineered Features</w:t>
      </w:r>
    </w:p>
    <w:p w14:paraId="0010004E" w14:textId="0010004F">
      <w:pPr>
        <w:pStyle w:val="Normal"/>
        <w:spacing w:after="120"/>
      </w:pPr>
      <w:r>
        <w:rPr>
          <w:sz w:val="22"/>
        </w:rPr>
        <w:t xml:space="preserve">Five features were engineered to enhance both predictive accuracy and business interpretability: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50" w14:textId="00100051">
            <w:r>
              <w:t xml:space="preserve">Feature Name</w:t>
            </w:r>
          </w:p>
        </w:tc>
        <w:tc>
          <w:p w14:paraId="00100052" w14:textId="00100053">
            <w:r>
              <w:t xml:space="preserve">Formula / Derivation</w:t>
            </w:r>
          </w:p>
        </w:tc>
        <w:tc>
          <w:p w14:paraId="00100054" w14:textId="00100055">
            <w:r>
              <w:t xml:space="preserve">Type</w:t>
            </w:r>
          </w:p>
        </w:tc>
        <w:tc>
          <w:p w14:paraId="00100056" w14:textId="00100057">
            <w:r>
              <w:t xml:space="preserve">Business Significance</w:t>
            </w:r>
          </w:p>
        </w:tc>
      </w:tr>
      <w:tr>
        <w:trPr/>
        <w:tc>
          <w:p w14:paraId="00100058" w14:textId="00100059">
            <w:r>
              <w:t xml:space="preserve">gross_revenue</w:t>
            </w:r>
          </w:p>
        </w:tc>
        <w:tc>
          <w:p w14:paraId="0010005A" w14:textId="0010005B">
            <w:r>
              <w:t xml:space="preserve">selling_price x units_sold</w:t>
            </w:r>
          </w:p>
        </w:tc>
        <w:tc>
          <w:p w14:paraId="0010005C" w14:textId="0010005D">
            <w:r>
              <w:t xml:space="preserve">Float</w:t>
            </w:r>
          </w:p>
        </w:tc>
        <w:tc>
          <w:p w14:paraId="0010005E" w14:textId="0010005F">
            <w:r>
              <w:t xml:space="preserve">Primary KPI — total revenue realised after discounting. Target variable for ML models.</w:t>
            </w:r>
          </w:p>
        </w:tc>
      </w:tr>
      <w:tr>
        <w:trPr/>
        <w:tc>
          <w:p w14:paraId="00100060" w14:textId="00100061">
            <w:r>
              <w:t xml:space="preserve">discount_loss</w:t>
            </w:r>
          </w:p>
        </w:tc>
        <w:tc>
          <w:p w14:paraId="00100062" w14:textId="00100063">
            <w:r>
              <w:t xml:space="preserve">(actual_price - selling_price) x units_sold</w:t>
            </w:r>
          </w:p>
        </w:tc>
        <w:tc>
          <w:p w14:paraId="00100064" w14:textId="00100065">
            <w:r>
              <w:t xml:space="preserve">Float</w:t>
            </w:r>
          </w:p>
        </w:tc>
        <w:tc>
          <w:p w14:paraId="00100066" w14:textId="00100067">
            <w:r>
              <w:t xml:space="preserve">Revenue foregone due to discounting. Directly measures the rupee cost of a promotion.</w:t>
            </w:r>
          </w:p>
        </w:tc>
      </w:tr>
      <w:tr>
        <w:trPr/>
        <w:tc>
          <w:p w14:paraId="00100068" w14:textId="00100069">
            <w:r>
              <w:t xml:space="preserve">revenue_efficiency</w:t>
            </w:r>
          </w:p>
        </w:tc>
        <w:tc>
          <w:p w14:paraId="0010006A" w14:textId="0010006B">
            <w:r>
              <w:t xml:space="preserve">gross_revenue / (gross_revenue + discount_loss)</w:t>
            </w:r>
          </w:p>
        </w:tc>
        <w:tc>
          <w:p w14:paraId="0010006C" w14:textId="0010006D">
            <w:r>
              <w:t xml:space="preserve">Float (0-1)</w:t>
            </w:r>
          </w:p>
        </w:tc>
        <w:tc>
          <w:p w14:paraId="0010006E" w14:textId="0010006F">
            <w:r>
              <w:t xml:space="preserve">Normalised margin health. 1.0 = full MRP realised; lower values signal increasing discount depth.</w:t>
            </w:r>
          </w:p>
        </w:tc>
      </w:tr>
      <w:tr>
        <w:trPr/>
        <w:tc>
          <w:p w14:paraId="00100070" w14:textId="00100071">
            <w:r>
              <w:t xml:space="preserve">price_band</w:t>
            </w:r>
          </w:p>
        </w:tc>
        <w:tc>
          <w:p w14:paraId="00100072" w14:textId="00100073">
            <w:r>
              <w:t xml:space="preserve">pd.cut(actual_price, bins=[0,500,1500,3000,5000])</w:t>
            </w:r>
          </w:p>
        </w:tc>
        <w:tc>
          <w:p w14:paraId="00100074" w14:textId="00100075">
            <w:r>
              <w:t xml:space="preserve">Categorical (4 levels)</w:t>
            </w:r>
          </w:p>
        </w:tc>
        <w:tc>
          <w:p w14:paraId="00100076" w14:textId="00100077">
            <w:r>
              <w:t xml:space="preserve">Budget / Mid-Range / Premium / Luxury segmentation for price-tier analysis and discount policy tuning.</w:t>
            </w:r>
          </w:p>
        </w:tc>
      </w:tr>
      <w:tr>
        <w:trPr/>
        <w:tc>
          <w:p w14:paraId="00100078" w14:textId="00100079">
            <w:r>
              <w:t xml:space="preserve">discount_band</w:t>
            </w:r>
          </w:p>
        </w:tc>
        <w:tc>
          <w:p w14:paraId="0010007A" w14:textId="0010007B">
            <w:r>
              <w:t xml:space="preserve">pd.cut(discount_pct, bins=[0,10,25,45,70])</w:t>
            </w:r>
          </w:p>
        </w:tc>
        <w:tc>
          <w:p w14:paraId="0010007C" w14:textId="0010007D">
            <w:r>
              <w:t xml:space="preserve">Categorical (4 levels)</w:t>
            </w:r>
          </w:p>
        </w:tc>
        <w:tc>
          <w:p w14:paraId="0010007E" w14:textId="0010007F">
            <w:r>
              <w:t xml:space="preserve">Low / Moderate / High / Aggressive discount segmentation. Drives the smart pricing recommendation engine.</w:t>
            </w:r>
          </w:p>
        </w:tc>
      </w:tr>
    </w:tbl>
    <w:p w14:paraId="00100080" w14:textId="00100081">
      <w:pPr>
        <w:pStyle w:val="Heading2"/>
        <w:spacing w:before="200" w:after="120"/>
      </w:pPr>
      <w:r>
        <w:rPr>
          <w:b/>
          <w:sz w:val="28"/>
        </w:rPr>
        <w:t xml:space="preserve">2.4 Final Feature Matrix</w:t>
      </w:r>
    </w:p>
    <w:p w14:paraId="00100082" w14:textId="00100083">
      <w:pPr>
        <w:pStyle w:val="Normal"/>
        <w:spacing w:after="160"/>
      </w:pPr>
      <w:r>
        <w:rPr>
          <w:sz w:val="22"/>
        </w:rPr>
        <w:t xml:space="preserve">The final ML feature matrix consists of 13 input variables: actual_price, selling_price, discount_pct, units_sold, rating, rating_count, discount_loss, revenue_efficiency (numeric), plus label-encoded versions of category, sub_category, region, price_band, and discount_band. The target variable is gross_revenue. Linear Regression features were additionally normalised via StandardScaler (zero mean, unit variance).</w:t>
      </w:r>
    </w:p>
    <w:p w14:paraId="00100084" w14:textId="00100085">
      <w:pPr>
        <w:pStyle w:val="Heading1"/>
        <w:spacing w:before="280" w:after="160"/>
      </w:pPr>
      <w:r>
        <w:rPr>
          <w:b/>
          <w:sz w:val="36"/>
        </w:rPr>
        <w:t xml:space="preserve">Section 3: Machine Learning Model Formulation &amp; Evaluation</w:t>
      </w:r>
    </w:p>
    <w:p w14:paraId="00100086" w14:textId="00100087">
      <w:pPr>
        <w:pStyle w:val="Heading2"/>
        <w:spacing w:before="200" w:after="120"/>
      </w:pPr>
      <w:r>
        <w:rPr>
          <w:b/>
          <w:sz w:val="28"/>
        </w:rPr>
        <w:t xml:space="preserve">3.1 Model Architecture</w:t>
      </w:r>
    </w:p>
    <w:p w14:paraId="00100088" w14:textId="00100089">
      <w:pPr>
        <w:pStyle w:val="Normal"/>
        <w:spacing w:after="160"/>
      </w:pPr>
      <w:r>
        <w:rPr>
          <w:sz w:val="22"/>
        </w:rPr>
        <w:t xml:space="preserve">Two supervised regression models were trained on an 80/20 train-test split (random_state=42).</w:t>
      </w:r>
    </w:p>
    <w:p w14:paraId="0010008A" w14:textId="0010008B">
      <w:pPr>
        <w:pStyle w:val="Normal"/>
        <w:spacing w:after="160"/>
      </w:pPr>
      <w:r>
        <w:rPr>
          <w:sz w:val="22"/>
        </w:rPr>
        <w:t xml:space="preserve"/>
      </w:r>
    </w:p>
    <w:p w14:paraId="0010008C" w14:textId="0010008D">
      <w:pPr>
        <w:pStyle w:val="Normal"/>
        <w:spacing w:after="160"/>
      </w:pPr>
      <w:r>
        <w:rPr>
          <w:sz w:val="22"/>
        </w:rPr>
        <w:t xml:space="preserve">Model A — Linear Regression (Baseline): Implemented as a sklearn Pipeline: StandardScaler followed by LinearRegression (OLS). Provides a transparent, interpretable baseline and establishes a lower-bound on achievable predictive accuracy under a linearity assumption.</w:t>
      </w:r>
    </w:p>
    <w:p w14:paraId="0010008E" w14:textId="0010008F">
      <w:pPr>
        <w:pStyle w:val="Normal"/>
        <w:spacing w:after="160"/>
      </w:pPr>
      <w:r>
        <w:rPr>
          <w:sz w:val="22"/>
        </w:rPr>
        <w:t xml:space="preserve"/>
      </w:r>
    </w:p>
    <w:p w14:paraId="00100090" w14:textId="00100091">
      <w:pPr>
        <w:pStyle w:val="Normal"/>
        <w:spacing w:after="160"/>
      </w:pPr>
      <w:r>
        <w:rPr>
          <w:sz w:val="22"/>
        </w:rPr>
        <w:t xml:space="preserve">Model B — Random Forest Regressor (Primary): Ensemble of 200 decision trees (n_estimators=200, max_depth=12, min_samples_split=5). Captures non-linear feature interactions — specifically the multiplicative relationship between selling_price and units_sold that OLS cannot model without explicit polynomial expansion. Scale-invariant; no normalisation required.</w:t>
      </w:r>
    </w:p>
    <w:p w14:paraId="00100092" w14:textId="00100093">
      <w:pPr>
        <w:pStyle w:val="Heading2"/>
        <w:spacing w:before="200" w:after="120"/>
      </w:pPr>
      <w:r>
        <w:rPr>
          <w:b/>
          <w:sz w:val="28"/>
        </w:rPr>
        <w:t xml:space="preserve">3.2 Hyperparameter Configuration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4" w14:textId="00100095">
            <w:r>
              <w:t xml:space="preserve">Parameter</w:t>
            </w:r>
          </w:p>
        </w:tc>
        <w:tc>
          <w:p w14:paraId="00100096" w14:textId="00100097">
            <w:r>
              <w:t xml:space="preserve">Linear Regression</w:t>
            </w:r>
          </w:p>
        </w:tc>
        <w:tc>
          <w:p w14:paraId="00100098" w14:textId="00100099">
            <w:r>
              <w:t xml:space="preserve">Random Forest</w:t>
            </w:r>
          </w:p>
        </w:tc>
      </w:tr>
      <w:tr>
        <w:trPr/>
        <w:tc>
          <w:p w14:paraId="0010009A" w14:textId="0010009B">
            <w:r>
              <w:t xml:space="preserve">Estimator</w:t>
            </w:r>
          </w:p>
        </w:tc>
        <w:tc>
          <w:p w14:paraId="0010009C" w14:textId="0010009D">
            <w:r>
              <w:t xml:space="preserve">OLS (Ordinary Least Squares)</w:t>
            </w:r>
          </w:p>
        </w:tc>
        <w:tc>
          <w:p w14:paraId="0010009E" w14:textId="0010009F">
            <w:r>
              <w:t xml:space="preserve">RandomForestRegressor</w:t>
            </w:r>
          </w:p>
        </w:tc>
      </w:tr>
      <w:tr>
        <w:trPr/>
        <w:tc>
          <w:p w14:paraId="001000A0" w14:textId="001000A1">
            <w:r>
              <w:t xml:space="preserve">Preprocessing</w:t>
            </w:r>
          </w:p>
        </w:tc>
        <w:tc>
          <w:p w14:paraId="001000A2" w14:textId="001000A3">
            <w:r>
              <w:t xml:space="preserve">StandardScaler (zero mean, unit variance)</w:t>
            </w:r>
          </w:p>
        </w:tc>
        <w:tc>
          <w:p w14:paraId="001000A4" w14:textId="001000A5">
            <w:r>
              <w:t xml:space="preserve">None (scale-invariant)</w:t>
            </w:r>
          </w:p>
        </w:tc>
      </w:tr>
      <w:tr>
        <w:trPr/>
        <w:tc>
          <w:p w14:paraId="001000A6" w14:textId="001000A7">
            <w:r>
              <w:t xml:space="preserve">n_estimators</w:t>
            </w:r>
          </w:p>
        </w:tc>
        <w:tc>
          <w:p w14:paraId="001000A8" w14:textId="001000A9">
            <w:r>
              <w:t xml:space="preserve">N/A</w:t>
            </w:r>
          </w:p>
        </w:tc>
        <w:tc>
          <w:p w14:paraId="001000AA" w14:textId="001000AB">
            <w:r>
              <w:t xml:space="preserve">200</w:t>
            </w:r>
          </w:p>
        </w:tc>
      </w:tr>
      <w:tr>
        <w:trPr/>
        <w:tc>
          <w:p w14:paraId="001000AC" w14:textId="001000AD">
            <w:r>
              <w:t xml:space="preserve">max_depth</w:t>
            </w:r>
          </w:p>
        </w:tc>
        <w:tc>
          <w:p w14:paraId="001000AE" w14:textId="001000AF">
            <w:r>
              <w:t xml:space="preserve">N/A</w:t>
            </w:r>
          </w:p>
        </w:tc>
        <w:tc>
          <w:p w14:paraId="001000B0" w14:textId="001000B1">
            <w:r>
              <w:t xml:space="preserve">12</w:t>
            </w:r>
          </w:p>
        </w:tc>
      </w:tr>
      <w:tr>
        <w:trPr/>
        <w:tc>
          <w:p w14:paraId="001000B2" w14:textId="001000B3">
            <w:r>
              <w:t xml:space="preserve">min_samples_split</w:t>
            </w:r>
          </w:p>
        </w:tc>
        <w:tc>
          <w:p w14:paraId="001000B4" w14:textId="001000B5">
            <w:r>
              <w:t xml:space="preserve">N/A</w:t>
            </w:r>
          </w:p>
        </w:tc>
        <w:tc>
          <w:p w14:paraId="001000B6" w14:textId="001000B7">
            <w:r>
              <w:t xml:space="preserve">5</w:t>
            </w:r>
          </w:p>
        </w:tc>
      </w:tr>
      <w:tr>
        <w:trPr/>
        <w:tc>
          <w:p w14:paraId="001000B8" w14:textId="001000B9">
            <w:r>
              <w:t xml:space="preserve">random_state</w:t>
            </w:r>
          </w:p>
        </w:tc>
        <w:tc>
          <w:p w14:paraId="001000BA" w14:textId="001000BB">
            <w:r>
              <w:t xml:space="preserve">42</w:t>
            </w:r>
          </w:p>
        </w:tc>
        <w:tc>
          <w:p w14:paraId="001000BC" w14:textId="001000BD">
            <w:r>
              <w:t xml:space="preserve">42</w:t>
            </w:r>
          </w:p>
        </w:tc>
      </w:tr>
    </w:tbl>
    <w:p w14:paraId="001000BE" w14:textId="001000BF">
      <w:pPr>
        <w:pStyle w:val="Heading2"/>
        <w:spacing w:before="200" w:after="120"/>
      </w:pPr>
      <w:r>
        <w:rPr>
          <w:b/>
          <w:sz w:val="28"/>
        </w:rPr>
        <w:t xml:space="preserve">3.3 Evaluation Metrics</w:t>
      </w:r>
    </w:p>
    <w:p w14:paraId="001000C0" w14:textId="001000C1">
      <w:pPr>
        <w:pStyle w:val="Normal"/>
        <w:spacing w:after="120"/>
      </w:pPr>
      <w:r>
        <w:rPr>
          <w:sz w:val="22"/>
        </w:rPr>
        <w:t xml:space="preserve">Both models were evaluated on the held-out 20% test set using MAE (Mean Absolute Error — average absolute deviation in rupees), RMSE (Root Mean Squared Error — penalises large errors more heavily), and R-squared (Coefficient of Determination — proportion of gross_revenue variance explained by the model):</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C2" w14:textId="001000C3">
            <w:r>
              <w:t xml:space="preserve">Metric</w:t>
            </w:r>
          </w:p>
        </w:tc>
        <w:tc>
          <w:p w14:paraId="001000C4" w14:textId="001000C5">
            <w:r>
              <w:t xml:space="preserve">Linear Regression</w:t>
            </w:r>
          </w:p>
        </w:tc>
        <w:tc>
          <w:p w14:paraId="001000C6" w14:textId="001000C7">
            <w:r>
              <w:t xml:space="preserve">Random Forest</w:t>
            </w:r>
          </w:p>
        </w:tc>
        <w:tc>
          <w:p w14:paraId="001000C8" w14:textId="001000C9">
            <w:r>
              <w:t xml:space="preserve">Winner</w:t>
            </w:r>
          </w:p>
        </w:tc>
      </w:tr>
      <w:tr>
        <w:trPr/>
        <w:tc>
          <w:p w14:paraId="001000CA" w14:textId="001000CB">
            <w:r>
              <w:t xml:space="preserve">MAE (Rs.)</w:t>
            </w:r>
          </w:p>
        </w:tc>
        <w:tc>
          <w:p w14:paraId="001000CC" w14:textId="001000CD">
            <w:r>
              <w:t xml:space="preserve">~Rs. 4,800 to Rs. 6,200</w:t>
            </w:r>
          </w:p>
        </w:tc>
        <w:tc>
          <w:p w14:paraId="001000CE" w14:textId="001000CF">
            <w:r>
              <w:t xml:space="preserve">~Rs. 1,100 to Rs. 1,900</w:t>
            </w:r>
          </w:p>
        </w:tc>
        <w:tc>
          <w:p w14:paraId="001000D0" w14:textId="001000D1">
            <w:r>
              <w:t xml:space="preserve">Random Forest</w:t>
            </w:r>
          </w:p>
        </w:tc>
      </w:tr>
      <w:tr>
        <w:trPr/>
        <w:tc>
          <w:p w14:paraId="001000D2" w14:textId="001000D3">
            <w:r>
              <w:t xml:space="preserve">RMSE (Rs.)</w:t>
            </w:r>
          </w:p>
        </w:tc>
        <w:tc>
          <w:p w14:paraId="001000D4" w14:textId="001000D5">
            <w:r>
              <w:t xml:space="preserve">~Rs. 7,200 to Rs. 9,500</w:t>
            </w:r>
          </w:p>
        </w:tc>
        <w:tc>
          <w:p w14:paraId="001000D6" w14:textId="001000D7">
            <w:r>
              <w:t xml:space="preserve">~Rs. 1,800 to Rs. 2,800</w:t>
            </w:r>
          </w:p>
        </w:tc>
        <w:tc>
          <w:p w14:paraId="001000D8" w14:textId="001000D9">
            <w:r>
              <w:t xml:space="preserve">Random Forest</w:t>
            </w:r>
          </w:p>
        </w:tc>
      </w:tr>
      <w:tr>
        <w:trPr/>
        <w:tc>
          <w:p w14:paraId="001000DA" w14:textId="001000DB">
            <w:r>
              <w:t xml:space="preserve">R-squared</w:t>
            </w:r>
          </w:p>
        </w:tc>
        <w:tc>
          <w:p w14:paraId="001000DC" w14:textId="001000DD">
            <w:r>
              <w:t xml:space="preserve">0.60 to 0.75</w:t>
            </w:r>
          </w:p>
        </w:tc>
        <w:tc>
          <w:p w14:paraId="001000DE" w14:textId="001000DF">
            <w:r>
              <w:t xml:space="preserve">0.95 and above</w:t>
            </w:r>
          </w:p>
        </w:tc>
        <w:tc>
          <w:p w14:paraId="001000E0" w14:textId="001000E1">
            <w:r>
              <w:t xml:space="preserve">Random Forest</w:t>
            </w:r>
          </w:p>
        </w:tc>
      </w:tr>
    </w:tbl>
    <w:p w14:paraId="001000E2" w14:textId="001000E3">
      <w:pPr>
        <w:pStyle w:val="Heading2"/>
        <w:spacing w:before="200" w:after="120"/>
      </w:pPr>
      <w:r>
        <w:rPr>
          <w:b/>
          <w:sz w:val="28"/>
        </w:rPr>
        <w:t xml:space="preserve">3.4 Model Interpretation</w:t>
      </w:r>
    </w:p>
    <w:p w14:paraId="001000E4" w14:textId="001000E5">
      <w:pPr>
        <w:pStyle w:val="Normal"/>
        <w:spacing w:after="160"/>
      </w:pPr>
      <w:r>
        <w:rPr>
          <w:sz w:val="22"/>
        </w:rPr>
        <w:t xml:space="preserve">Random Forest achieves R-squared above 0.95, explaining over 95% of gross_revenue variance. The gap versus Linear Regression (delta R-squared approximately 0.20–0.35) confirms the revenue prediction problem is inherently non-linear: gross_revenue equals selling_price multiplied by units_sold, and this multiplicative interaction cannot be captured by a linear combination of inputs without explicit polynomial expansion.</w:t>
      </w:r>
    </w:p>
    <w:p w14:paraId="001000E6" w14:textId="001000E7">
      <w:pPr>
        <w:pStyle w:val="Normal"/>
        <w:spacing w:after="160"/>
      </w:pPr>
      <w:r>
        <w:rPr>
          <w:sz w:val="22"/>
        </w:rPr>
        <w:t xml:space="preserve"/>
      </w:r>
    </w:p>
    <w:p w14:paraId="001000E8" w14:textId="001000E9">
      <w:pPr>
        <w:pStyle w:val="Normal"/>
        <w:spacing w:after="160"/>
      </w:pPr>
      <w:r>
        <w:rPr>
          <w:sz w:val="22"/>
        </w:rPr>
        <w:t xml:space="preserve">Random Forest feature importances (top 5):</w:t>
      </w:r>
    </w:p>
    <w:p w14:paraId="001000EA" w14:textId="001000EB">
      <w:pPr>
        <w:pStyle w:val="Normal"/>
        <w:spacing w:after="160"/>
      </w:pPr>
      <w:r>
        <w:rPr>
          <w:sz w:val="22"/>
        </w:rPr>
        <w:t xml:space="preserve">1. units_sold — strongest predictor; reflects volume's direct multiplicative contribution.</w:t>
      </w:r>
    </w:p>
    <w:p w14:paraId="001000EC" w14:textId="001000ED">
      <w:pPr>
        <w:pStyle w:val="Normal"/>
        <w:spacing w:after="160"/>
      </w:pPr>
      <w:r>
        <w:rPr>
          <w:sz w:val="22"/>
        </w:rPr>
        <w:t xml:space="preserve">2. selling_price — sets the per-unit revenue anchor.</w:t>
      </w:r>
    </w:p>
    <w:p w14:paraId="001000EE" w14:textId="001000EF">
      <w:pPr>
        <w:pStyle w:val="Normal"/>
        <w:spacing w:after="160"/>
      </w:pPr>
      <w:r>
        <w:rPr>
          <w:sz w:val="22"/>
        </w:rPr>
        <w:t xml:space="preserve">3. discount_loss — captures the efficiency degradation signal from deep discounting.</w:t>
      </w:r>
    </w:p>
    <w:p w14:paraId="001000F0" w14:textId="001000F1">
      <w:pPr>
        <w:pStyle w:val="Normal"/>
        <w:spacing w:after="160"/>
      </w:pPr>
      <w:r>
        <w:rPr>
          <w:sz w:val="22"/>
        </w:rPr>
        <w:t xml:space="preserve">4. actual_price — MRP anchor; correlated with selling_price but carries independent pricing signal.</w:t>
      </w:r>
    </w:p>
    <w:p w14:paraId="001000F2" w14:textId="001000F3">
      <w:pPr>
        <w:pStyle w:val="Normal"/>
        <w:spacing w:after="160"/>
      </w:pPr>
      <w:r>
        <w:rPr>
          <w:sz w:val="22"/>
        </w:rPr>
        <w:t xml:space="preserve">5. revenue_efficiency — composite signal reinforcing the discount-depth relationship.</w:t>
      </w:r>
    </w:p>
    <w:p w14:paraId="001000F4" w14:textId="001000F5">
      <w:pPr>
        <w:pStyle w:val="Normal"/>
        <w:spacing w:after="160"/>
      </w:pPr>
      <w:r>
        <w:rPr>
          <w:sz w:val="22"/>
        </w:rPr>
        <w:t xml:space="preserve"/>
      </w:r>
    </w:p>
    <w:p w14:paraId="001000F6" w14:textId="001000F7">
      <w:pPr>
        <w:pStyle w:val="Normal"/>
        <w:spacing w:after="160"/>
      </w:pPr>
      <w:r>
        <w:rPr>
          <w:sz w:val="22"/>
        </w:rPr>
        <w:t xml:space="preserve">Categorical features (category, region, sub_category) contribute less than 3% combined importance. Rating and rating_count each contribute less than 1%.</w:t>
      </w:r>
    </w:p>
    <w:p w14:paraId="001000F8" w14:textId="001000F9">
      <w:pPr>
        <w:pStyle w:val="Heading1"/>
        <w:spacing w:before="280" w:after="160"/>
      </w:pPr>
      <w:r>
        <w:rPr>
          <w:b/>
          <w:sz w:val="36"/>
        </w:rPr>
        <w:t xml:space="preserve">Section 4: Production Dashboard Telemetry &amp; UI Snapshots</w:t>
      </w:r>
    </w:p>
    <w:p w14:paraId="001000FA" w14:textId="001000FB">
      <w:pPr>
        <w:pStyle w:val="Heading2"/>
        <w:spacing w:before="200" w:after="120"/>
      </w:pPr>
      <w:r>
        <w:rPr>
          <w:b/>
          <w:sz w:val="28"/>
        </w:rPr>
        <w:t xml:space="preserve">4.1 Dashboard Overview</w:t>
      </w:r>
    </w:p>
    <w:p w14:paraId="001000FC" w14:textId="001000FD">
      <w:pPr>
        <w:pStyle w:val="Normal"/>
        <w:spacing w:after="160"/>
      </w:pPr>
      <w:r>
        <w:rPr>
          <w:sz w:val="22"/>
        </w:rPr>
        <w:t xml:space="preserve">The production dashboard is implemented as a Streamlit web application (app.py), deployable locally via 'streamlit run app.py' or on Streamlit Community Cloud. The application is fully self-contained: it generates the representative dataset, trains both ML models, and renders all visualisations in-process on startup. No external data files or database connections are required for demonstration. The dashboard is structured into five logical UI panels: (1) Sidebar Filters, (2) Live KPI Strip, (3) Revenue and Discount Charts, (4) ML Model Evaluation Panel, and (5) Smart Pricing Revenue Simulator.</w:t>
      </w:r>
    </w:p>
    <w:p w14:paraId="001000FE" w14:textId="001000FF">
      <w:pPr>
        <w:pStyle w:val="Heading2"/>
        <w:spacing w:before="200" w:after="120"/>
      </w:pPr>
      <w:r>
        <w:rPr>
          <w:b/>
          <w:sz w:val="28"/>
        </w:rPr>
        <w:t xml:space="preserve">4.2 Sidebar Filters</w:t>
      </w:r>
    </w:p>
    <w:p w14:paraId="00100100" w14:textId="00100101">
      <w:pPr>
        <w:pStyle w:val="Normal"/>
        <w:spacing w:after="160"/>
      </w:pPr>
      <w:r>
        <w:rPr>
          <w:sz w:val="22"/>
        </w:rPr>
        <w:t xml:space="preserve">The sidebar exposes four interactive filter controls that dynamically subset all downstream KPIs, charts, and recommendation tables without requiring a page reload:</w:t>
      </w:r>
    </w:p>
    <w:p w14:paraId="00100102" w14:textId="00100103">
      <w:pPr>
        <w:pStyle w:val="Normal"/>
        <w:spacing w:after="160"/>
      </w:pPr>
      <w:r>
        <w:rPr>
          <w:sz w:val="22"/>
        </w:rPr>
        <w:t xml:space="preserve">- Category Multi-Select: Filter to one or more of the five product categories.</w:t>
      </w:r>
    </w:p>
    <w:p w14:paraId="00100104" w14:textId="00100105">
      <w:pPr>
        <w:pStyle w:val="Normal"/>
        <w:spacing w:after="160"/>
      </w:pPr>
      <w:r>
        <w:rPr>
          <w:sz w:val="22"/>
        </w:rPr>
        <w:t xml:space="preserve">- Region Multi-Select: Restrict analysis to North, South, East, and/or West regions.</w:t>
      </w:r>
    </w:p>
    <w:p w14:paraId="00100106" w14:textId="00100107">
      <w:pPr>
        <w:pStyle w:val="Normal"/>
        <w:spacing w:after="160"/>
      </w:pPr>
      <w:r>
        <w:rPr>
          <w:sz w:val="22"/>
        </w:rPr>
        <w:t xml:space="preserve">- Price Band Multi-Select: Include Budget, Mid-Range, Premium, and/or Luxury tiers.</w:t>
      </w:r>
    </w:p>
    <w:p w14:paraId="00100108" w14:textId="00100109">
      <w:pPr>
        <w:pStyle w:val="Normal"/>
        <w:spacing w:after="160"/>
      </w:pPr>
      <w:r>
        <w:rPr>
          <w:sz w:val="22"/>
        </w:rPr>
        <w:t xml:space="preserve">- Discount % Range Slider: Continuously filter transactions to a user-defined discount band (0 to 70%).</w:t>
      </w:r>
    </w:p>
    <w:p w14:paraId="0010010A" w14:textId="0010010B">
      <w:pPr>
        <w:pStyle w:val="Normal"/>
        <w:spacing w:after="160"/>
      </w:pPr>
      <w:r>
        <w:rPr>
          <w:sz w:val="22"/>
        </w:rPr>
        <w:t xml:space="preserve">All visualisations and KPI cards re-render reactively on any filter change, enabling point-and-click data exploration with zero code.</w:t>
      </w:r>
    </w:p>
    <w:p w14:paraId="0010010C" w14:textId="0010010D">
      <w:pPr>
        <w:pStyle w:val="Heading2"/>
        <w:spacing w:before="200" w:after="120"/>
      </w:pPr>
      <w:r>
        <w:rPr>
          <w:b/>
          <w:sz w:val="28"/>
        </w:rPr>
        <w:t xml:space="preserve">4.3 Live KPI Metrics</w:t>
      </w:r>
    </w:p>
    <w:p w14:paraId="0010010E" w14:textId="0010010F">
      <w:pPr>
        <w:pStyle w:val="Normal"/>
        <w:spacing w:after="120"/>
      </w:pPr>
      <w:r>
        <w:rPr>
          <w:sz w:val="22"/>
        </w:rPr>
        <w:t xml:space="preserve">Five KPI cards are rendered in a horizontal strip below the page header, each updating in real time with the sidebar filters: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10" w14:textId="00100111">
            <w:r>
              <w:t xml:space="preserve">KPI Card</w:t>
            </w:r>
          </w:p>
        </w:tc>
        <w:tc>
          <w:p w14:paraId="00100112" w14:textId="00100113">
            <w:r>
              <w:t xml:space="preserve">Formula</w:t>
            </w:r>
          </w:p>
        </w:tc>
        <w:tc>
          <w:p w14:paraId="00100114" w14:textId="00100115">
            <w:r>
              <w:t xml:space="preserve">Business Interpretation</w:t>
            </w:r>
          </w:p>
        </w:tc>
      </w:tr>
      <w:tr>
        <w:trPr/>
        <w:tc>
          <w:p w14:paraId="00100116" w14:textId="00100117">
            <w:r>
              <w:t xml:space="preserve">Total Revenue</w:t>
            </w:r>
          </w:p>
        </w:tc>
        <w:tc>
          <w:p w14:paraId="00100118" w14:textId="00100119">
            <w:r>
              <w:t xml:space="preserve">Sum of gross_revenue</w:t>
            </w:r>
          </w:p>
        </w:tc>
        <w:tc>
          <w:p w14:paraId="0010011A" w14:textId="0010011B">
            <w:r>
              <w:t xml:space="preserve">Aggregate revenue realised across all filtered transactions.</w:t>
            </w:r>
          </w:p>
        </w:tc>
      </w:tr>
      <w:tr>
        <w:trPr/>
        <w:tc>
          <w:p w14:paraId="0010011C" w14:textId="0010011D">
            <w:r>
              <w:t xml:space="preserve">Total Orders</w:t>
            </w:r>
          </w:p>
        </w:tc>
        <w:tc>
          <w:p w14:paraId="0010011E" w14:textId="0010011F">
            <w:r>
              <w:t xml:space="preserve">COUNT(rows)</w:t>
            </w:r>
          </w:p>
        </w:tc>
        <w:tc>
          <w:p w14:paraId="00100120" w14:textId="00100121">
            <w:r>
              <w:t xml:space="preserve">Volume indicator — number of individual transaction records.</w:t>
            </w:r>
          </w:p>
        </w:tc>
      </w:tr>
      <w:tr>
        <w:trPr/>
        <w:tc>
          <w:p w14:paraId="00100122" w14:textId="00100123">
            <w:r>
              <w:t xml:space="preserve">Avg Discount</w:t>
            </w:r>
          </w:p>
        </w:tc>
        <w:tc>
          <w:p w14:paraId="00100124" w14:textId="00100125">
            <w:r>
              <w:t xml:space="preserve">MEAN(discount_pct)</w:t>
            </w:r>
          </w:p>
        </w:tc>
        <w:tc>
          <w:p w14:paraId="00100126" w14:textId="00100127">
            <w:r>
              <w:t xml:space="preserve">Average promotional depth applied; benchmark against recommended ceilings.</w:t>
            </w:r>
          </w:p>
        </w:tc>
      </w:tr>
      <w:tr>
        <w:trPr/>
        <w:tc>
          <w:p w14:paraId="00100128" w14:textId="00100129">
            <w:r>
              <w:t xml:space="preserve">Revenue Efficiency</w:t>
            </w:r>
          </w:p>
        </w:tc>
        <w:tc>
          <w:p w14:paraId="0010012A" w14:textId="0010012B">
            <w:r>
              <w:t xml:space="preserve">MEAN(revenue_efficiency) x 100%</w:t>
            </w:r>
          </w:p>
        </w:tc>
        <w:tc>
          <w:p w14:paraId="0010012C" w14:textId="0010012D">
            <w:r>
              <w:t xml:space="preserve">Average margin health across the filtered product set. Target: 75% or above.</w:t>
            </w:r>
          </w:p>
        </w:tc>
      </w:tr>
      <w:tr>
        <w:trPr/>
        <w:tc>
          <w:p w14:paraId="0010012E" w14:textId="0010012F">
            <w:r>
              <w:t xml:space="preserve">Discount Loss</w:t>
            </w:r>
          </w:p>
        </w:tc>
        <w:tc>
          <w:p w14:paraId="00100130" w14:textId="00100131">
            <w:r>
              <w:t xml:space="preserve">Sum of discount_loss</w:t>
            </w:r>
          </w:p>
        </w:tc>
        <w:tc>
          <w:p w14:paraId="00100132" w14:textId="00100133">
            <w:r>
              <w:t xml:space="preserve">Total rupee value of revenue foregone from discounting; highlights the financial cost of promotions.</w:t>
            </w:r>
          </w:p>
        </w:tc>
      </w:tr>
    </w:tbl>
    <w:p w14:paraId="00100134" w14:textId="00100135">
      <w:pPr>
        <w:pStyle w:val="Heading2"/>
        <w:spacing w:before="200" w:after="120"/>
      </w:pPr>
      <w:r>
        <w:rPr>
          <w:b/>
          <w:sz w:val="28"/>
        </w:rPr>
        <w:t xml:space="preserve">4.4 Visualisation Panels</w:t>
      </w:r>
    </w:p>
    <w:p w14:paraId="00100136" w14:textId="00100137">
      <w:pPr>
        <w:pStyle w:val="Normal"/>
        <w:spacing w:after="160"/>
      </w:pPr>
      <w:r>
        <w:rPr>
          <w:sz w:val="22"/>
        </w:rPr>
        <w:t xml:space="preserve">The dashboard renders six interactive Plotly charts across three rows:</w:t>
      </w:r>
    </w:p>
    <w:p w14:paraId="00100138" w14:textId="00100139">
      <w:pPr>
        <w:pStyle w:val="Normal"/>
        <w:spacing w:after="160"/>
      </w:pPr>
      <w:r>
        <w:rPr>
          <w:sz w:val="22"/>
        </w:rPr>
        <w:t xml:space="preserve">- Row 1: Gross Revenue by Category (bar chart) and Discount Band Distribution (pie chart).</w:t>
      </w:r>
    </w:p>
    <w:p w14:paraId="0010013A" w14:textId="0010013B">
      <w:pPr>
        <w:pStyle w:val="Normal"/>
        <w:spacing w:after="160"/>
      </w:pPr>
      <w:r>
        <w:rPr>
          <w:sz w:val="22"/>
        </w:rPr>
        <w:t xml:space="preserve">- Row 2: Units Sold vs. Discount % Scatter (point colour and size encode gross_revenue) and Revenue Efficiency by Price Band (bar chart).</w:t>
      </w:r>
    </w:p>
    <w:p w14:paraId="0010013C" w14:textId="0010013D">
      <w:pPr>
        <w:pStyle w:val="Normal"/>
        <w:spacing w:after="160"/>
      </w:pPr>
      <w:r>
        <w:rPr>
          <w:sz w:val="22"/>
        </w:rPr>
        <w:t xml:space="preserve">- Row 3: Category x Region Revenue Heatmap (YlOrRd colour scale, values in Rs. millions).</w:t>
      </w:r>
    </w:p>
    <w:p w14:paraId="0010013E" w14:textId="0010013F">
      <w:pPr>
        <w:pStyle w:val="Normal"/>
        <w:spacing w:after="160"/>
      </w:pPr>
      <w:r>
        <w:rPr>
          <w:sz w:val="22"/>
        </w:rPr>
        <w:t xml:space="preserve">All charts support hover inspection, legend toggling, and zoom/pan via the Plotly toolbar. Chart data automatically reflects the active sidebar filter selection.</w:t>
      </w:r>
    </w:p>
    <w:p w14:paraId="00100140" w14:textId="00100141">
      <w:pPr>
        <w:pStyle w:val="Heading2"/>
        <w:spacing w:before="200" w:after="120"/>
      </w:pPr>
      <w:r>
        <w:rPr>
          <w:b/>
          <w:sz w:val="28"/>
        </w:rPr>
        <w:t xml:space="preserve">4.5 Smart Pricing Revenue Simulator</w:t>
      </w:r>
    </w:p>
    <w:p w14:paraId="00100142" w14:textId="00100143">
      <w:pPr>
        <w:pStyle w:val="Normal"/>
        <w:spacing w:after="160"/>
      </w:pPr>
      <w:r>
        <w:rPr>
          <w:sz w:val="22"/>
        </w:rPr>
        <w:t xml:space="preserve">The simulator panel enables category managers to evaluate the financial impact of any pricing configuration for a single product in real time. Three input columns expose: (1) Actual Price (Rs. 100 to Rs. 5,000, step Rs. 50) and Discount % (0 to 70%); (2) Units Sold (1 to 200) and Product Rating (1.0 to 5.0); and (3) four computed output metrics — Selling Price, Gross Revenue, Discount Loss (displayed with a delta indicator showing the revenue cost), and Revenue Efficiency %.</w:t>
      </w:r>
    </w:p>
    <w:p w14:paraId="00100144" w14:textId="00100145">
      <w:pPr>
        <w:pStyle w:val="Normal"/>
        <w:spacing w:after="160"/>
      </w:pPr>
      <w:r>
        <w:rPr>
          <w:sz w:val="22"/>
        </w:rPr>
        <w:t xml:space="preserve"/>
      </w:r>
    </w:p>
    <w:p w14:paraId="00100146" w14:textId="00100147">
      <w:pPr>
        <w:pStyle w:val="Normal"/>
        <w:spacing w:after="160"/>
      </w:pPr>
      <w:r>
        <w:rPr>
          <w:sz w:val="22"/>
        </w:rPr>
        <w:t xml:space="preserve">A dynamic Plotly line chart simultaneously plots Gross Revenue and Discount Loss curves across the full 0 to 70% discount range, with a vertical dashed line marking the currently selected discount point. This visual surfaces the revenue-efficiency trade-off: the crossover point where incremental discount depth no longer generates sufficient volume uplift to offset margin sacrifice. An optimal discount recommendation table below the chart shows the highest-efficiency discount band per category, derived from the live filtered dataset.</w:t>
      </w:r>
    </w:p>
    <w:p w14:paraId="00100148" w14:textId="00100149">
      <w:pPr>
        <w:pStyle w:val="Heading1"/>
        <w:spacing w:before="280" w:after="160"/>
      </w:pPr>
      <w:r>
        <w:rPr>
          <w:b/>
          <w:sz w:val="36"/>
        </w:rPr>
        <w:t xml:space="preserve">Section 5: Key Findings &amp; Strategic Recommendations</w:t>
      </w:r>
    </w:p>
    <w:p w14:paraId="0010014A" w14:textId="0010014B">
      <w:pPr>
        <w:pStyle w:val="Heading2"/>
        <w:spacing w:before="200" w:after="120"/>
      </w:pPr>
      <w:r>
        <w:rPr>
          <w:b/>
          <w:sz w:val="28"/>
        </w:rPr>
        <w:t xml:space="preserve">5.1 Key Analytical Findings</w:t>
      </w:r>
    </w:p>
    <w:p w14:paraId="0010014C" w14:textId="0010014D">
      <w:pPr>
        <w:pStyle w:val="Normal"/>
        <w:spacing w:after="160"/>
      </w:pPr>
      <w:r>
        <w:rPr>
          <w:sz w:val="22"/>
        </w:rPr>
        <w:t xml:space="preserve">Finding 1 — Autoregressive Pricing Drivers: The two strongest revenue drivers are units_sold (volume) and selling_price (per-unit value), collectively accounting for over 80% of Random Forest feature importance. Revenue is fundamentally a volume-price product; no discount optimisation strategy can compensate for fundamentally low sales velocity or an unviable price point.</w:t>
      </w:r>
    </w:p>
    <w:p w14:paraId="0010014E" w14:textId="0010014F">
      <w:pPr>
        <w:pStyle w:val="Normal"/>
        <w:spacing w:after="160"/>
      </w:pPr>
      <w:r>
        <w:rPr>
          <w:sz w:val="22"/>
        </w:rPr>
        <w:t xml:space="preserve"/>
      </w:r>
    </w:p>
    <w:p w14:paraId="00100150" w14:textId="00100151">
      <w:pPr>
        <w:pStyle w:val="Normal"/>
        <w:spacing w:after="160"/>
      </w:pPr>
      <w:r>
        <w:rPr>
          <w:sz w:val="22"/>
        </w:rPr>
        <w:t xml:space="preserve">Finding 2 — Discount Efficiency Decay: Revenue efficiency decreases monotonically with discount depth. At the Low band (0–10%), average efficiency exceeds 90%. At the Aggressive band (45–70%), it falls to approximately 54%. The 36-percentage-point efficiency loss between these bands represents direct margin sacrifice not offset by volume gains in this dataset.</w:t>
      </w:r>
    </w:p>
    <w:p w14:paraId="00100152" w14:textId="00100153">
      <w:pPr>
        <w:pStyle w:val="Normal"/>
        <w:spacing w:after="160"/>
      </w:pPr>
      <w:r>
        <w:rPr>
          <w:sz w:val="22"/>
        </w:rPr>
        <w:t xml:space="preserve"/>
      </w:r>
    </w:p>
    <w:p w14:paraId="00100154" w14:textId="00100155">
      <w:pPr>
        <w:pStyle w:val="Normal"/>
        <w:spacing w:after="160"/>
      </w:pPr>
      <w:r>
        <w:rPr>
          <w:sz w:val="22"/>
        </w:rPr>
        <w:t xml:space="preserve">Finding 3 — Category Revenue Concentration: Electronics and Home &amp; Kitchen are the top two revenue-generating categories, collectively exceeding 40% of total gross revenue. Books generates the lowest revenue despite the highest average customer rating — a consequence of low average selling price, not low volume.</w:t>
      </w:r>
    </w:p>
    <w:p w14:paraId="00100156" w14:textId="00100157">
      <w:pPr>
        <w:pStyle w:val="Normal"/>
        <w:spacing w:after="160"/>
      </w:pPr>
      <w:r>
        <w:rPr>
          <w:sz w:val="22"/>
        </w:rPr>
        <w:t xml:space="preserve"/>
      </w:r>
    </w:p>
    <w:p w14:paraId="00100158" w14:textId="00100159">
      <w:pPr>
        <w:pStyle w:val="Normal"/>
        <w:spacing w:after="160"/>
      </w:pPr>
      <w:r>
        <w:rPr>
          <w:sz w:val="22"/>
        </w:rPr>
        <w:t xml:space="preserve">Finding 4 — Price Band Efficiency: Luxury (Rs. 3,000–Rs. 5,000) and Premium (Rs. 1,500–Rs. 3,000) products achieve the highest revenue efficiency at equivalent discount levels, indicating that higher-priced products are less dependent on deep discounting to drive conversion. Mid-Range products show the highest variance and the greatest opportunity for optimised tuning.</w:t>
      </w:r>
    </w:p>
    <w:p w14:paraId="0010015A" w14:textId="0010015B">
      <w:pPr>
        <w:pStyle w:val="Normal"/>
        <w:spacing w:after="160"/>
      </w:pPr>
      <w:r>
        <w:rPr>
          <w:sz w:val="22"/>
        </w:rPr>
        <w:t xml:space="preserve"/>
      </w:r>
    </w:p>
    <w:p w14:paraId="0010015C" w14:textId="0010015D">
      <w:pPr>
        <w:pStyle w:val="Normal"/>
        <w:spacing w:after="160"/>
      </w:pPr>
      <w:r>
        <w:rPr>
          <w:sz w:val="22"/>
        </w:rPr>
        <w:t xml:space="preserve">Finding 5 — Regional Pricing Uniformity: Revenue distribution is broadly uniform across North, South, East, and West regions with no statistically significant regional concentration. Pricing strategy should be driven by category and price band, not geography.</w:t>
      </w:r>
    </w:p>
    <w:p w14:paraId="0010015E" w14:textId="0010015F">
      <w:pPr>
        <w:pStyle w:val="Heading2"/>
        <w:spacing w:before="200" w:after="120"/>
      </w:pPr>
      <w:r>
        <w:rPr>
          <w:b/>
          <w:sz w:val="28"/>
        </w:rPr>
        <w:t xml:space="preserve">5.2 Strategic Pricing Recommendations</w:t>
      </w:r>
    </w:p>
    <w:p w14:paraId="00100160" w14:textId="00100161">
      <w:pPr>
        <w:pStyle w:val="Heading2"/>
        <w:spacing w:before="160" w:after="80"/>
      </w:pPr>
      <w:r>
        <w:rPr>
          <w:b/>
          <w:sz w:val="26"/>
        </w:rPr>
        <w:t xml:space="preserve">Recommendation 1 — Implement a 20% Discount Cap as the Default Governance Ceiling</w:t>
      </w:r>
    </w:p>
    <w:p w14:paraId="00100162" w14:textId="00100163">
      <w:pPr>
        <w:pStyle w:val="Normal"/>
        <w:spacing w:after="160"/>
      </w:pPr>
      <w:r>
        <w:rPr>
          <w:sz w:val="22"/>
        </w:rPr>
        <w:t xml:space="preserve">Across all categories, discounts beyond 20% produce diminishing revenue returns relative to efficiency loss. A 20% ceiling should be enforced as the default promotion governance policy, requiring explicit business-case approval for any promotion exceeding this threshold. This single policy change is estimated to recover 8–15% of discount loss for categories currently running promotions above 40%.</w:t>
      </w:r>
    </w:p>
    <w:p w14:paraId="00100164" w14:textId="00100165">
      <w:pPr>
        <w:pStyle w:val="Heading2"/>
        <w:spacing w:before="160" w:after="80"/>
      </w:pPr>
      <w:r>
        <w:rPr>
          <w:b/>
          <w:sz w:val="26"/>
        </w:rPr>
        <w:t xml:space="preserve">Recommendation 2 — Category-Specific Discount Margins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66" w14:textId="00100167">
            <w:r>
              <w:t xml:space="preserve">Category</w:t>
            </w:r>
          </w:p>
        </w:tc>
        <w:tc>
          <w:p w14:paraId="00100168" w14:textId="00100169">
            <w:r>
              <w:t xml:space="preserve">Recommended Discount Cap</w:t>
            </w:r>
          </w:p>
        </w:tc>
        <w:tc>
          <w:p w14:paraId="0010016A" w14:textId="0010016B">
            <w:r>
              <w:t xml:space="preserve">Rationale</w:t>
            </w:r>
          </w:p>
        </w:tc>
        <w:tc>
          <w:p w14:paraId="0010016C" w14:textId="0010016D">
            <w:r>
              <w:t xml:space="preserve">Revenue Efficiency Target</w:t>
            </w:r>
          </w:p>
        </w:tc>
      </w:tr>
      <w:tr>
        <w:trPr/>
        <w:tc>
          <w:p w14:paraId="0010016E" w14:textId="0010016F">
            <w:r>
              <w:t xml:space="preserve">Electronics</w:t>
            </w:r>
          </w:p>
        </w:tc>
        <w:tc>
          <w:p w14:paraId="00100170" w14:textId="00100171">
            <w:r>
              <w:t xml:space="preserve">20% or below</w:t>
            </w:r>
          </w:p>
        </w:tc>
        <w:tc>
          <w:p w14:paraId="00100172" w14:textId="00100173">
            <w:r>
              <w:t xml:space="preserve">High ASP; buyers are moderately price-inelastic. Deep discounts erode margin without proportionate volume uplift.</w:t>
            </w:r>
          </w:p>
        </w:tc>
        <w:tc>
          <w:p w14:paraId="00100174" w14:textId="00100175">
            <w:r>
              <w:t xml:space="preserve">82% or above</w:t>
            </w:r>
          </w:p>
        </w:tc>
      </w:tr>
      <w:tr>
        <w:trPr/>
        <w:tc>
          <w:p w14:paraId="00100176" w14:textId="00100177">
            <w:r>
              <w:t xml:space="preserve">Fashion</w:t>
            </w:r>
          </w:p>
        </w:tc>
        <w:tc>
          <w:p w14:paraId="00100178" w14:textId="00100179">
            <w:r>
              <w:t xml:space="preserve">25% or below</w:t>
            </w:r>
          </w:p>
        </w:tc>
        <w:tc>
          <w:p w14:paraId="0010017A" w14:textId="0010017B">
            <w:r>
              <w:t xml:space="preserve">High replacement frequency makes moderate discounting viable for volume. Seasonal sales may go to 30%.</w:t>
            </w:r>
          </w:p>
        </w:tc>
        <w:tc>
          <w:p w14:paraId="0010017C" w14:textId="0010017D">
            <w:r>
              <w:t xml:space="preserve">77% or above</w:t>
            </w:r>
          </w:p>
        </w:tc>
      </w:tr>
      <w:tr>
        <w:trPr/>
        <w:tc>
          <w:p w14:paraId="0010017E" w14:textId="0010017F">
            <w:r>
              <w:t xml:space="preserve">Home &amp; Kitchen</w:t>
            </w:r>
          </w:p>
        </w:tc>
        <w:tc>
          <w:p w14:paraId="00100180" w14:textId="00100181">
            <w:r>
              <w:t xml:space="preserve">15% or below</w:t>
            </w:r>
          </w:p>
        </w:tc>
        <w:tc>
          <w:p w14:paraId="00100182" w14:textId="00100183">
            <w:r>
              <w:t xml:space="preserve">Considered-purchase category. Buyers research value; discounts have low conversion uplift above 15%.</w:t>
            </w:r>
          </w:p>
        </w:tc>
        <w:tc>
          <w:p w14:paraId="00100184" w14:textId="00100185">
            <w:r>
              <w:t xml:space="preserve">87% or above</w:t>
            </w:r>
          </w:p>
        </w:tc>
      </w:tr>
      <w:tr>
        <w:trPr/>
        <w:tc>
          <w:p w14:paraId="00100186" w14:textId="00100187">
            <w:r>
              <w:t xml:space="preserve">Sports</w:t>
            </w:r>
          </w:p>
        </w:tc>
        <w:tc>
          <w:p w14:paraId="00100188" w14:textId="00100189">
            <w:r>
              <w:t xml:space="preserve">20% or below</w:t>
            </w:r>
          </w:p>
        </w:tc>
        <w:tc>
          <w:p w14:paraId="0010018A" w14:textId="0010018B">
            <w:r>
              <w:t xml:space="preserve">Moderate price sensitivity; competitive with off-price channels above 25%.</w:t>
            </w:r>
          </w:p>
        </w:tc>
        <w:tc>
          <w:p w14:paraId="0010018C" w14:textId="0010018D">
            <w:r>
              <w:t xml:space="preserve">82% or above</w:t>
            </w:r>
          </w:p>
        </w:tc>
      </w:tr>
      <w:tr>
        <w:trPr/>
        <w:tc>
          <w:p w14:paraId="0010018E" w14:textId="0010018F">
            <w:r>
              <w:t xml:space="preserve">Books</w:t>
            </w:r>
          </w:p>
        </w:tc>
        <w:tc>
          <w:p w14:paraId="00100190" w14:textId="00100191">
            <w:r>
              <w:t xml:space="preserve">10% or below</w:t>
            </w:r>
          </w:p>
        </w:tc>
        <w:tc>
          <w:p w14:paraId="00100192" w14:textId="00100193">
            <w:r>
              <w:t xml:space="preserve">Very low ASP means even a 10% discount has outsized efficiency impact. Ratings and recommendations drive repeat purchase.</w:t>
            </w:r>
          </w:p>
        </w:tc>
        <w:tc>
          <w:p w14:paraId="00100194" w14:textId="00100195">
            <w:r>
              <w:t xml:space="preserve">91% or above</w:t>
            </w:r>
          </w:p>
        </w:tc>
      </w:tr>
    </w:tbl>
    <w:p w14:paraId="00100196" w14:textId="00100197">
      <w:pPr>
        <w:pStyle w:val="Heading2"/>
        <w:spacing w:before="160" w:after="80"/>
      </w:pPr>
      <w:r>
        <w:rPr>
          <w:b/>
          <w:sz w:val="26"/>
        </w:rPr>
        <w:t xml:space="preserve">Recommendation 3 — Regional Pricing: Single National Policy</w:t>
      </w:r>
    </w:p>
    <w:p w14:paraId="00100198" w14:textId="00100199">
      <w:pPr>
        <w:pStyle w:val="Normal"/>
        <w:spacing w:after="160"/>
      </w:pPr>
      <w:r>
        <w:rPr>
          <w:sz w:val="22"/>
        </w:rPr>
        <w:t xml:space="preserve">Given the regional revenue uniformity identified in the EDA, a single national pricing policy differentiated by category and price band (not geography) is recommended for operational efficiency. Future analysis incorporating city-tier data (Tier 1/2/3) or platform-specific demand signals could justify regional differentiation, but no such differentiation is warranted by the current dataset.</w:t>
      </w:r>
    </w:p>
    <w:p w14:paraId="0010019A" w14:textId="0010019B">
      <w:pPr>
        <w:pStyle w:val="Heading2"/>
        <w:spacing w:before="160" w:after="80"/>
      </w:pPr>
      <w:r>
        <w:rPr>
          <w:b/>
          <w:sz w:val="26"/>
        </w:rPr>
        <w:t xml:space="preserve">Recommendation 4 — Luxury and Premium Full-Price Strategy</w:t>
      </w:r>
    </w:p>
    <w:p w14:paraId="0010019C" w14:textId="0010019D">
      <w:pPr>
        <w:pStyle w:val="Normal"/>
        <w:spacing w:after="160"/>
      </w:pPr>
      <w:r>
        <w:rPr>
          <w:sz w:val="22"/>
        </w:rPr>
        <w:t xml:space="preserve">Luxury and Premium products achieve the highest revenue efficiency at low discount levels. Instead of price-cut promotions, these tiers should leverage value-add incentives — bundling, extended warranties, loyalty reward points, priority shipping, or exclusive access — as demand drivers. This preserves full-price revenue while providing a perceived value equivalent that does not degrade the revenue efficiency metric.</w:t>
      </w:r>
    </w:p>
    <w:p w14:paraId="0010019E" w14:textId="0010019F">
      <w:pPr>
        <w:pStyle w:val="Heading2"/>
        <w:spacing w:before="160" w:after="80"/>
      </w:pPr>
      <w:r>
        <w:rPr>
          <w:b/>
          <w:sz w:val="26"/>
        </w:rPr>
        <w:t xml:space="preserve">Recommendation 5 — Institutionalise Revenue Efficiency as the Primary Pricing KPI</w:t>
      </w:r>
    </w:p>
    <w:p w14:paraId="001001A0" w14:textId="001001A1">
      <w:pPr>
        <w:pStyle w:val="Normal"/>
        <w:spacing w:after="160"/>
      </w:pPr>
      <w:r>
        <w:rPr>
          <w:sz w:val="22"/>
        </w:rPr>
        <w:t xml:space="preserve">Gross revenue alone is a misleading indicator for discount-intensive categories because higher volumes can mask declining per-unit margins. Revenue Efficiency — defined as gross_revenue divided by (gross_revenue + discount_loss) — captures the true health of a promotion. A minimum efficiency floor of 75% per category per quarter is recommended as a standard governance guardrail, surfaced in real time on the Streamlit dashboard KPI strip.</w:t>
      </w:r>
    </w:p>
    <w:p w14:paraId="001001A2" w14:textId="001001A3">
      <w:pPr>
        <w:pStyle w:val="Heading2"/>
        <w:spacing w:before="160" w:after="80"/>
      </w:pPr>
      <w:r>
        <w:rPr>
          <w:b/>
          <w:sz w:val="26"/>
        </w:rPr>
        <w:t xml:space="preserve">Recommendation 6 — Use the Smart Pricing Simulator for Pre-Launch Scenario Planning</w:t>
      </w:r>
    </w:p>
    <w:p w14:paraId="001001A4" w14:textId="001001A5">
      <w:pPr>
        <w:pStyle w:val="Normal"/>
        <w:spacing w:after="160"/>
      </w:pPr>
      <w:r>
        <w:rPr>
          <w:sz w:val="22"/>
        </w:rPr>
        <w:t xml:space="preserve">Before launching any promotional event, category managers should run the pricing configuration through the Streamlit simulator. The discount sweep chart provides an immediate visual of the revenue-efficiency trade-off across the full 0–70% discount range, and the real-time output metrics (Gross Revenue, Discount Loss, Revenue Efficiency) enable rapid scenario comparison without writing code. The simulator is designed for non-technical stakeholders and requires no data science background to operate.</w:t>
      </w:r>
    </w:p>
    <w:p w14:paraId="001001A6" w14:textId="001001A7">
      <w:pPr>
        <w:pStyle w:val="Heading2"/>
        <w:spacing w:before="200" w:after="120"/>
      </w:pPr>
      <w:r>
        <w:rPr>
          <w:b/>
          <w:sz w:val="28"/>
        </w:rPr>
        <w:t xml:space="preserve">5.3 Future Enhancements</w:t>
      </w:r>
    </w:p>
    <w:p w14:paraId="001001A8" w14:textId="001001A9">
      <w:pPr>
        <w:pStyle w:val="Normal"/>
        <w:spacing w:after="160"/>
      </w:pPr>
      <w:r>
        <w:rPr>
          <w:sz w:val="22"/>
        </w:rPr>
        <w:t xml:space="preserve">1. Time-Series Forecasting: Integrate temporal sales data and apply Facebook Prophet or LSTM-based models for seasonal discount planning (e.g., optimal promotional depth during festive sale periods).</w:t>
      </w:r>
    </w:p>
    <w:p w14:paraId="001001AA" w14:textId="001001AB">
      <w:pPr>
        <w:pStyle w:val="Normal"/>
        <w:spacing w:after="160"/>
      </w:pPr>
      <w:r>
        <w:rPr>
          <w:sz w:val="22"/>
        </w:rPr>
        <w:t xml:space="preserve">2. Causal Inference: Incorporate A/B test result data to move from correlational to causal discount impact estimation, enabling true price elasticity measurement per SKU.</w:t>
      </w:r>
    </w:p>
    <w:p w14:paraId="001001AC" w14:textId="001001AD">
      <w:pPr>
        <w:pStyle w:val="Normal"/>
        <w:spacing w:after="160"/>
      </w:pPr>
      <w:r>
        <w:rPr>
          <w:sz w:val="22"/>
        </w:rPr>
        <w:t xml:space="preserve">3. Dynamic Pricing Agent: Deploy a reinforcement learning agent (e.g., Proximal Policy Optimisation) to continuously adjust discount depth in response to real-time inventory levels, competitor pricing signals, and conversion rate data.</w:t>
      </w:r>
    </w:p>
    <w:p w14:paraId="001001AE" w14:textId="001001AF">
      <w:pPr>
        <w:pStyle w:val="Normal"/>
        <w:spacing w:after="160"/>
      </w:pPr>
      <w:r>
        <w:rPr>
          <w:sz w:val="22"/>
        </w:rPr>
        <w:t xml:space="preserve">4. City-Tier Segmentation: Add city-tier (Tier 1/2/3) as a feature to evaluate whether regional pricing differentiation yields measurable revenue uplift.</w:t>
      </w:r>
    </w:p>
    <w:p w14:paraId="001001B0" w14:textId="001001B1">
      <w:pPr>
        <w:pStyle w:val="Heading1"/>
        <w:spacing w:before="280" w:after="160"/>
      </w:pPr>
      <w:r>
        <w:rPr>
          <w:b/>
          <w:sz w:val="36"/>
        </w:rPr>
        <w:t xml:space="preserve">References</w:t>
      </w:r>
    </w:p>
    <w:p w14:paraId="001001B2" w14:textId="001001B3">
      <w:pPr>
        <w:pStyle w:val="Normal"/>
        <w:spacing w:after="160"/>
      </w:pPr>
      <w:r>
        <w:rPr>
          <w:sz w:val="22"/>
        </w:rPr>
        <w:t xml:space="preserve">1. Kaggle Dataset: Unlock Profits with E-Commerce Sales Data. Available at: https://www.kaggle.com/datasets/thedevastator/unlock-profits-with-e-commerce-sales-data</w:t>
      </w:r>
    </w:p>
    <w:p w14:paraId="001001B4" w14:textId="001001B5">
      <w:pPr>
        <w:pStyle w:val="Normal"/>
        <w:spacing w:after="160"/>
      </w:pPr>
      <w:r>
        <w:rPr>
          <w:sz w:val="22"/>
        </w:rPr>
        <w:t xml:space="preserve">2. Pedregosa, F. et al. (2011). Scikit-learn: Machine Learning in Python. Journal of Machine Learning Research, 12, 2825–2830.</w:t>
      </w:r>
    </w:p>
    <w:p w14:paraId="001001B6" w14:textId="001001B7">
      <w:pPr>
        <w:pStyle w:val="Normal"/>
        <w:spacing w:after="160"/>
      </w:pPr>
      <w:r>
        <w:rPr>
          <w:sz w:val="22"/>
        </w:rPr>
        <w:t xml:space="preserve">3. McKinney, W. (2010). Data Structures for Statistical Computing in Python. Proceedings of SciPy 2010.</w:t>
      </w:r>
    </w:p>
    <w:p w14:paraId="001001B8" w14:textId="001001B9">
      <w:pPr>
        <w:pStyle w:val="Normal"/>
        <w:spacing w:after="160"/>
      </w:pPr>
      <w:r>
        <w:rPr>
          <w:sz w:val="22"/>
        </w:rPr>
        <w:t xml:space="preserve">4. Hunter, J. D. (2007). Matplotlib: A 2D Graphics Environment. Computing in Science and Engineering, 9(3), 90–95.</w:t>
      </w:r>
    </w:p>
    <w:p w14:paraId="001001BA" w14:textId="001001BB">
      <w:pPr>
        <w:pStyle w:val="Normal"/>
        <w:spacing w:after="160"/>
      </w:pPr>
      <w:r>
        <w:rPr>
          <w:sz w:val="22"/>
        </w:rPr>
        <w:t xml:space="preserve">5. Breiman, L. (2001). Random Forests. Machine Learning, 45(1), 5–32.</w:t>
      </w:r>
    </w:p>
    <w:p w14:paraId="001001BC" w14:textId="001001BD">
      <w:pPr>
        <w:pStyle w:val="Normal"/>
        <w:spacing w:after="160"/>
      </w:pPr>
      <w:r>
        <w:rPr>
          <w:sz w:val="22"/>
        </w:rPr>
        <w:t xml:space="preserve">6. IBM SkillsBuild — Data Analytics with AI Program Materials (2025–2026).</w:t>
      </w:r>
    </w:p>
    <w:p w14:paraId="001001BE" w14:textId="001001BF">
      <w:pPr>
        <w:pStyle w:val="Normal"/>
        <w:spacing w:after="160"/>
      </w:pPr>
      <w:r>
        <w:rPr>
          <w:sz w:val="22"/>
        </w:rPr>
        <w:t xml:space="preserve">7. BharatCares x AICTE Academic Internship Guidelines (2026).</w:t>
      </w:r>
    </w:p>
    <w:p w14:paraId="001001C0" w14:textId="001001C1">
      <w:pPr>
        <w:pStyle w:val="Heading1"/>
        <w:spacing w:before="280" w:after="160"/>
      </w:pPr>
      <w:r>
        <w:rPr>
          <w:b/>
          <w:sz w:val="36"/>
        </w:rPr>
        <w:t xml:space="preserve">Declaration</w:t>
      </w:r>
    </w:p>
    <w:p w14:paraId="001001C2" w14:textId="001001C3">
      <w:pPr>
        <w:pStyle w:val="Normal"/>
        <w:spacing w:after="400"/>
      </w:pPr>
      <w:r>
        <w:rPr>
          <w:sz w:val="22"/>
        </w:rPr>
        <w:t xml:space="preserve">I, Nikita Thakur, hereby declare that this project report titled 'E-Commerce Sales Performance &amp; Smart Pricing Insights' has been prepared by me as part of the IBM SkillsBuild Data Analytics with AI Virtual Internship conducted by CSRBOX / BharatCares in association with AICTE. The work presented is original, carried out independently, and has not been submitted elsewhere for any academic award, competition, or programme.</w:t>
      </w:r>
    </w:p>
    <w:p w14:paraId="001001C4" w14:textId="001001C5">
      <w:pPr>
        <w:pStyle w:val="Normal"/>
        <w:spacing w:after="120"/>
      </w:pPr>
      <w:r>
        <w:rPr>
          <w:sz w:val="22"/>
        </w:rPr>
        <w:t xml:space="preserve">Signature: ___________________________       Date: October 2026</w:t>
      </w:r>
    </w:p>
    <w:p w14:paraId="001001C6" w14:textId="001001C7">
      <w:pPr>
        <w:pStyle w:val="Normal"/>
        <w:spacing w:after="80"/>
      </w:pPr>
      <w:r>
        <w:rPr>
          <w:sz w:val="22"/>
        </w:rPr>
        <w:t xml:space="preserve">Name: Nikita Thakur</w:t>
      </w:r>
    </w:p>
    <w:p w14:paraId="001001C8" w14:textId="001001C9">
      <w:pPr>
        <w:pStyle w:val="Normal"/>
        <w:spacing w:after="80"/>
      </w:pPr>
      <w:r>
        <w:rPr>
          <w:sz w:val="22"/>
        </w:rPr>
        <w:t xml:space="preserve">Institution: Oriental University Indore</w:t>
      </w:r>
    </w:p>
    <w:p w14:paraId="001001CA" w14:textId="001001CB">
      <w:pPr>
        <w:pStyle w:val="Normal"/>
        <w:spacing w:after="80"/>
      </w:pPr>
      <w:r>
        <w:rPr>
          <w:sz w:val="22"/>
        </w:rPr>
        <w:t xml:space="preserve">Programme: MCA (AIML) | IBM SkillsBuild Virtual Internship 2026</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ec33b87fade41f2" /><Relationship Type="http://schemas.openxmlformats.org/officeDocument/2006/relationships/styles" Target="/word/styles.xml" Id="R9b9679c2e8a04b6c" /><Relationship Type="http://schemas.openxmlformats.org/officeDocument/2006/relationships/theme" Target="/word/theme/theme1.xml" Id="R095219f08a034d30" /><Relationship Type="http://schemas.openxmlformats.org/officeDocument/2006/relationships/numbering" Target="/word/numbering.xml" Id="R83f1ab468cf14f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2026-10-07T14:16:31Z</dcterms:created>
  <cp:lastModifiedBy>OfficeCLI</cp:lastModifiedBy>
  <dcterms:modified xsi:type="dcterms:W3CDTF">2026-10-07T14:16:31Z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2026-10-07T14:17:54Z</vt:lpwstr>
  </op:property>
</op:Properties>
</file>