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9CF7F" w14:textId="77777777" w:rsidR="00BF0135" w:rsidRDefault="00BF0135"/>
    <w:p w14:paraId="494A2E60" w14:textId="77777777" w:rsidR="00BF0135" w:rsidRDefault="008B7A75">
      <w:pPr>
        <w:jc w:val="center"/>
      </w:pPr>
      <w:r>
        <w:rPr>
          <w:rFonts w:ascii="Arial" w:hAnsi="Arial"/>
          <w:b/>
          <w:color w:val="0D47A1"/>
          <w:sz w:val="44"/>
        </w:rPr>
        <w:t>GLOBAL PRECIPITATION MEASUREMENT (GPM)</w:t>
      </w:r>
      <w:r>
        <w:rPr>
          <w:rFonts w:ascii="Arial" w:hAnsi="Arial"/>
          <w:b/>
          <w:color w:val="0D47A1"/>
          <w:sz w:val="44"/>
        </w:rPr>
        <w:br/>
        <w:t>RAINFALL ENGINE</w:t>
      </w:r>
    </w:p>
    <w:p w14:paraId="3DE200CD" w14:textId="77777777" w:rsidR="00BF0135" w:rsidRDefault="00BF0135"/>
    <w:p w14:paraId="22458FD7" w14:textId="77777777" w:rsidR="00BF0135" w:rsidRDefault="008B7A75">
      <w:pPr>
        <w:jc w:val="center"/>
      </w:pPr>
      <w:r>
        <w:rPr>
          <w:rFonts w:ascii="Calibri" w:hAnsi="Calibri"/>
          <w:i/>
          <w:color w:val="1E88E5"/>
          <w:sz w:val="28"/>
        </w:rPr>
        <w:t>AI-Powered Planetary Hydro-Climatic Intelligence</w:t>
      </w:r>
      <w:r>
        <w:rPr>
          <w:rFonts w:ascii="Calibri" w:hAnsi="Calibri"/>
          <w:i/>
          <w:color w:val="1E88E5"/>
          <w:sz w:val="28"/>
        </w:rPr>
        <w:br/>
        <w:t>&amp; Risk Simulation Dashboard</w:t>
      </w:r>
    </w:p>
    <w:p w14:paraId="61ABFD00" w14:textId="77777777" w:rsidR="00BF0135" w:rsidRDefault="00BF0135"/>
    <w:p w14:paraId="1E15D74C" w14:textId="77777777" w:rsidR="00BF0135" w:rsidRDefault="00BF0135">
      <w:pPr>
        <w:pBdr>
          <w:bottom w:val="single" w:sz="6" w:space="1" w:color="1A3A5C"/>
        </w:pBdr>
        <w:spacing w:before="40" w:after="160"/>
      </w:pPr>
    </w:p>
    <w:p w14:paraId="46F14079" w14:textId="77777777" w:rsidR="00BF0135" w:rsidRDefault="00BF0135"/>
    <w:tbl>
      <w:tblPr>
        <w:tblStyle w:val="TableGrid"/>
        <w:tblW w:w="0" w:type="auto"/>
        <w:jc w:val="center"/>
        <w:tblLook w:val="04A0" w:firstRow="1" w:lastRow="0" w:firstColumn="1" w:lastColumn="0" w:noHBand="0" w:noVBand="1"/>
      </w:tblPr>
      <w:tblGrid>
        <w:gridCol w:w="4675"/>
        <w:gridCol w:w="4675"/>
      </w:tblGrid>
      <w:tr w:rsidR="00BF0135" w14:paraId="71628CF5" w14:textId="77777777">
        <w:trPr>
          <w:jc w:val="center"/>
        </w:trPr>
        <w:tc>
          <w:tcPr>
            <w:tcW w:w="4680" w:type="dxa"/>
            <w:shd w:val="clear" w:color="auto" w:fill="1A3A5C"/>
          </w:tcPr>
          <w:p w14:paraId="30432ED6" w14:textId="77777777" w:rsidR="00BF0135" w:rsidRDefault="008B7A75">
            <w:r>
              <w:rPr>
                <w:rFonts w:ascii="Arial" w:hAnsi="Arial"/>
                <w:b/>
                <w:color w:val="FFFFFF"/>
                <w:sz w:val="20"/>
              </w:rPr>
              <w:t>Author</w:t>
            </w:r>
          </w:p>
        </w:tc>
        <w:tc>
          <w:tcPr>
            <w:tcW w:w="4680" w:type="dxa"/>
          </w:tcPr>
          <w:p w14:paraId="1C688928" w14:textId="29F0EBED" w:rsidR="00BF0135" w:rsidRDefault="00FC6715">
            <w:r>
              <w:t>Nikita Thakur</w:t>
            </w:r>
          </w:p>
        </w:tc>
      </w:tr>
      <w:tr w:rsidR="00BF0135" w14:paraId="6F13C9FE" w14:textId="77777777">
        <w:trPr>
          <w:jc w:val="center"/>
        </w:trPr>
        <w:tc>
          <w:tcPr>
            <w:tcW w:w="4680" w:type="dxa"/>
            <w:shd w:val="clear" w:color="auto" w:fill="1A3A5C"/>
          </w:tcPr>
          <w:p w14:paraId="6CC69381" w14:textId="77777777" w:rsidR="00BF0135" w:rsidRDefault="008B7A75">
            <w:r>
              <w:rPr>
                <w:rFonts w:ascii="Arial" w:hAnsi="Arial"/>
                <w:b/>
                <w:color w:val="FFFFFF"/>
                <w:sz w:val="20"/>
              </w:rPr>
              <w:t>Programme</w:t>
            </w:r>
          </w:p>
        </w:tc>
        <w:tc>
          <w:tcPr>
            <w:tcW w:w="4680" w:type="dxa"/>
          </w:tcPr>
          <w:p w14:paraId="1915A97C" w14:textId="77777777" w:rsidR="00BF0135" w:rsidRDefault="008B7A75">
            <w:r>
              <w:rPr>
                <w:rFonts w:ascii="Calibri" w:hAnsi="Calibri"/>
                <w:color w:val="212121"/>
              </w:rPr>
              <w:t>IBM SkillsBuild Data Analytics with AI — Virtual Internship</w:t>
            </w:r>
          </w:p>
        </w:tc>
      </w:tr>
      <w:tr w:rsidR="00BF0135" w14:paraId="13DF1C03" w14:textId="77777777">
        <w:trPr>
          <w:jc w:val="center"/>
        </w:trPr>
        <w:tc>
          <w:tcPr>
            <w:tcW w:w="4680" w:type="dxa"/>
            <w:shd w:val="clear" w:color="auto" w:fill="1A3A5C"/>
          </w:tcPr>
          <w:p w14:paraId="65390E35" w14:textId="77777777" w:rsidR="00BF0135" w:rsidRDefault="008B7A75">
            <w:r>
              <w:rPr>
                <w:rFonts w:ascii="Arial" w:hAnsi="Arial"/>
                <w:b/>
                <w:color w:val="FFFFFF"/>
                <w:sz w:val="20"/>
              </w:rPr>
              <w:t>In Association</w:t>
            </w:r>
          </w:p>
        </w:tc>
        <w:tc>
          <w:tcPr>
            <w:tcW w:w="4680" w:type="dxa"/>
          </w:tcPr>
          <w:p w14:paraId="58E2E7AF" w14:textId="77777777" w:rsidR="00BF0135" w:rsidRDefault="008B7A75">
            <w:r>
              <w:rPr>
                <w:rFonts w:ascii="Calibri" w:hAnsi="Calibri"/>
                <w:color w:val="212121"/>
              </w:rPr>
              <w:t>CSRBOX / BharatCares &amp; AICTE</w:t>
            </w:r>
          </w:p>
        </w:tc>
      </w:tr>
      <w:tr w:rsidR="00BF0135" w14:paraId="3068C3C4" w14:textId="77777777">
        <w:trPr>
          <w:jc w:val="center"/>
        </w:trPr>
        <w:tc>
          <w:tcPr>
            <w:tcW w:w="4680" w:type="dxa"/>
            <w:shd w:val="clear" w:color="auto" w:fill="1A3A5C"/>
          </w:tcPr>
          <w:p w14:paraId="71426718" w14:textId="77777777" w:rsidR="00BF0135" w:rsidRDefault="008B7A75">
            <w:r>
              <w:rPr>
                <w:rFonts w:ascii="Arial" w:hAnsi="Arial"/>
                <w:b/>
                <w:color w:val="FFFFFF"/>
                <w:sz w:val="20"/>
              </w:rPr>
              <w:t>Date</w:t>
            </w:r>
          </w:p>
        </w:tc>
        <w:tc>
          <w:tcPr>
            <w:tcW w:w="4680" w:type="dxa"/>
          </w:tcPr>
          <w:p w14:paraId="1B79F2EA" w14:textId="77777777" w:rsidR="00BF0135" w:rsidRDefault="008B7A75">
            <w:r>
              <w:rPr>
                <w:rFonts w:ascii="Calibri" w:hAnsi="Calibri"/>
                <w:color w:val="212121"/>
              </w:rPr>
              <w:t>September 2026</w:t>
            </w:r>
          </w:p>
        </w:tc>
      </w:tr>
    </w:tbl>
    <w:p w14:paraId="3E2AF7FE" w14:textId="77777777" w:rsidR="00BF0135" w:rsidRDefault="008B7A75">
      <w:r>
        <w:br w:type="page"/>
      </w:r>
    </w:p>
    <w:p w14:paraId="1178912F" w14:textId="77777777" w:rsidR="00BF0135" w:rsidRDefault="008B7A75">
      <w:pPr>
        <w:spacing w:before="320" w:after="120"/>
      </w:pPr>
      <w:r>
        <w:rPr>
          <w:rFonts w:ascii="Arial" w:hAnsi="Arial"/>
          <w:b/>
          <w:color w:val="0D47A1"/>
          <w:sz w:val="32"/>
        </w:rPr>
        <w:lastRenderedPageBreak/>
        <w:t>1. Executive Summary &amp; Problem Formulation</w:t>
      </w:r>
    </w:p>
    <w:p w14:paraId="59667D9B" w14:textId="77777777" w:rsidR="00BF0135" w:rsidRDefault="00BF0135">
      <w:pPr>
        <w:pBdr>
          <w:bottom w:val="single" w:sz="6" w:space="1" w:color="1A3A5C"/>
        </w:pBdr>
        <w:spacing w:before="40" w:after="160"/>
      </w:pPr>
    </w:p>
    <w:p w14:paraId="4BED92BA" w14:textId="77777777" w:rsidR="00BF0135" w:rsidRDefault="008B7A75">
      <w:pPr>
        <w:spacing w:after="80"/>
      </w:pPr>
      <w:r>
        <w:rPr>
          <w:rFonts w:ascii="Calibri" w:hAnsi="Calibri"/>
          <w:color w:val="212121"/>
        </w:rPr>
        <w:t>The global hydrological cycle is undergoing rapid and accelerating disruption. Rising atmospheric temperatures, compounded by anthropogenic CO₂ emissions, are shifting precipitation regimes, intensifying drought frequency in arid zones, and increasing flood risk in traditionally temperate regions. For policy makers, municipal water authorities, and agricultural planners, the ability to forecast national-level rainfall with granular accuracy is no longer optional — it is a foundational pillar of climate resi</w:t>
      </w:r>
      <w:r>
        <w:rPr>
          <w:rFonts w:ascii="Calibri" w:hAnsi="Calibri"/>
          <w:color w:val="212121"/>
        </w:rPr>
        <w:t>lience.</w:t>
      </w:r>
    </w:p>
    <w:p w14:paraId="7422C73A" w14:textId="77777777" w:rsidR="00BF0135" w:rsidRDefault="008B7A75">
      <w:pPr>
        <w:spacing w:after="80"/>
      </w:pPr>
      <w:r>
        <w:rPr>
          <w:rFonts w:ascii="Calibri" w:hAnsi="Calibri"/>
          <w:color w:val="212121"/>
        </w:rPr>
        <w:t>This project addresses the following core challenge: given multi-decade sovereign climate records, can a machine learning system reliably forecast annual national rainfall and classify hydrological vulnerability in near-real-time?</w:t>
      </w:r>
    </w:p>
    <w:p w14:paraId="7541FE38" w14:textId="77777777" w:rsidR="00BF0135" w:rsidRDefault="008B7A75">
      <w:pPr>
        <w:spacing w:before="200" w:after="120"/>
      </w:pPr>
      <w:r>
        <w:rPr>
          <w:rFonts w:ascii="Arial" w:hAnsi="Arial"/>
          <w:b/>
          <w:color w:val="0D47A1"/>
          <w:sz w:val="26"/>
        </w:rPr>
        <w:t>Objectives</w:t>
      </w:r>
    </w:p>
    <w:p w14:paraId="7FC297CF" w14:textId="77777777" w:rsidR="00BF0135" w:rsidRDefault="008B7A75">
      <w:pPr>
        <w:pStyle w:val="ListBullet"/>
      </w:pPr>
      <w:r>
        <w:rPr>
          <w:rFonts w:ascii="Calibri" w:hAnsi="Calibri"/>
          <w:color w:val="212121"/>
        </w:rPr>
        <w:t>Ingest and preprocess the Kaggle Climate Change Indicators dataset (2000–2023) across 15 nations.</w:t>
      </w:r>
    </w:p>
    <w:p w14:paraId="6746EEEF" w14:textId="77777777" w:rsidR="00BF0135" w:rsidRDefault="008B7A75">
      <w:pPr>
        <w:pStyle w:val="ListBullet"/>
      </w:pPr>
      <w:r>
        <w:rPr>
          <w:rFonts w:ascii="Calibri" w:hAnsi="Calibri"/>
          <w:color w:val="212121"/>
        </w:rPr>
        <w:t>Engineer temporal lag and rolling-average features to capture autocorrelative precipitation dynamics.</w:t>
      </w:r>
    </w:p>
    <w:p w14:paraId="27494814" w14:textId="77777777" w:rsidR="00BF0135" w:rsidRDefault="008B7A75">
      <w:pPr>
        <w:pStyle w:val="ListBullet"/>
      </w:pPr>
      <w:r>
        <w:rPr>
          <w:rFonts w:ascii="Calibri" w:hAnsi="Calibri"/>
          <w:color w:val="212121"/>
        </w:rPr>
        <w:t>Train a Gradient Boosting Regressor to forecast annual rainfall at sovereign level.</w:t>
      </w:r>
    </w:p>
    <w:p w14:paraId="415EE768" w14:textId="77777777" w:rsidR="00BF0135" w:rsidRDefault="008B7A75">
      <w:pPr>
        <w:pStyle w:val="ListBullet"/>
      </w:pPr>
      <w:r>
        <w:rPr>
          <w:rFonts w:ascii="Calibri" w:hAnsi="Calibri"/>
          <w:color w:val="212121"/>
        </w:rPr>
        <w:t>Classify each nation-year as Low (Water Difficulty), Decent (Normal), or Heavy (Surplus) using Z-score normalisation against country-specific baselines.</w:t>
      </w:r>
    </w:p>
    <w:p w14:paraId="70E046D6" w14:textId="77777777" w:rsidR="00BF0135" w:rsidRDefault="008B7A75">
      <w:pPr>
        <w:pStyle w:val="ListBullet"/>
      </w:pPr>
      <w:r>
        <w:rPr>
          <w:rFonts w:ascii="Calibri" w:hAnsi="Calibri"/>
          <w:color w:val="212121"/>
        </w:rPr>
        <w:t>Deploy an interactive Streamlit telemetry dashboard with global choropleth mapping, sovereign dossier panels, and a live What-If climate shock simulator.</w:t>
      </w:r>
    </w:p>
    <w:p w14:paraId="670A7993" w14:textId="77777777" w:rsidR="00BF0135" w:rsidRDefault="008B7A75">
      <w:pPr>
        <w:pStyle w:val="ListBullet"/>
      </w:pPr>
      <w:r>
        <w:rPr>
          <w:rFonts w:ascii="Calibri" w:hAnsi="Calibri"/>
          <w:color w:val="212121"/>
        </w:rPr>
        <w:t>Provide forward projections to the year 2030 using extrapolated climate drivers.</w:t>
      </w:r>
    </w:p>
    <w:p w14:paraId="17E6E3BB" w14:textId="77777777" w:rsidR="00BF0135" w:rsidRDefault="00BF0135"/>
    <w:p w14:paraId="0FBB42EB" w14:textId="77777777" w:rsidR="00BF0135" w:rsidRDefault="008B7A75">
      <w:pPr>
        <w:spacing w:before="320" w:after="120"/>
      </w:pPr>
      <w:r>
        <w:rPr>
          <w:rFonts w:ascii="Arial" w:hAnsi="Arial"/>
          <w:b/>
          <w:color w:val="0D47A1"/>
          <w:sz w:val="32"/>
        </w:rPr>
        <w:t>2. Data Pipeline &amp; Feature Engineering</w:t>
      </w:r>
    </w:p>
    <w:p w14:paraId="1E02FDE0" w14:textId="77777777" w:rsidR="00BF0135" w:rsidRDefault="00BF0135">
      <w:pPr>
        <w:pBdr>
          <w:bottom w:val="single" w:sz="6" w:space="1" w:color="1A3A5C"/>
        </w:pBdr>
        <w:spacing w:before="40" w:after="160"/>
      </w:pPr>
    </w:p>
    <w:p w14:paraId="73D23F4E" w14:textId="77777777" w:rsidR="00BF0135" w:rsidRDefault="008B7A75">
      <w:pPr>
        <w:spacing w:before="200" w:after="120"/>
      </w:pPr>
      <w:r>
        <w:rPr>
          <w:rFonts w:ascii="Arial" w:hAnsi="Arial"/>
          <w:b/>
          <w:color w:val="0D47A1"/>
          <w:sz w:val="26"/>
        </w:rPr>
        <w:t>2.1 Dataset</w:t>
      </w:r>
    </w:p>
    <w:p w14:paraId="63D397BB" w14:textId="77777777" w:rsidR="00BF0135" w:rsidRDefault="008B7A75">
      <w:pPr>
        <w:spacing w:after="80"/>
      </w:pPr>
      <w:r>
        <w:rPr>
          <w:rFonts w:ascii="Calibri" w:hAnsi="Calibri"/>
          <w:color w:val="212121"/>
        </w:rPr>
        <w:t>The primary data source is the Kaggle Climate Change Indicators Dataset (https://www.kaggle.com/datasets/bhadramohit/climate-change-dataset), containing annual climate observations for 15 countries from 2000 to 2023. Key columns include Year, Country, Avg Temperature (°C), CO2 Emissions (Tons/Capita), Sea Level Rise (mm), Rainfall (mm), Population, Renewable Energy (%), Extreme Weather Events, and Forest Area (%).</w:t>
      </w:r>
    </w:p>
    <w:p w14:paraId="4770DFA3" w14:textId="77777777" w:rsidR="00BF0135" w:rsidRDefault="008B7A75">
      <w:pPr>
        <w:spacing w:before="200" w:after="120"/>
      </w:pPr>
      <w:r>
        <w:rPr>
          <w:rFonts w:ascii="Arial" w:hAnsi="Arial"/>
          <w:b/>
          <w:color w:val="0D47A1"/>
          <w:sz w:val="26"/>
        </w:rPr>
        <w:t>2.2 Preprocessing</w:t>
      </w:r>
    </w:p>
    <w:p w14:paraId="50404FF9" w14:textId="77777777" w:rsidR="00BF0135" w:rsidRDefault="008B7A75">
      <w:pPr>
        <w:pStyle w:val="ListBullet"/>
      </w:pPr>
      <w:r>
        <w:rPr>
          <w:rFonts w:ascii="Calibri" w:hAnsi="Calibri"/>
          <w:color w:val="212121"/>
        </w:rPr>
        <w:t>All numeric columns coerced with pd.to_numeric(..., errors='coerce').</w:t>
      </w:r>
    </w:p>
    <w:p w14:paraId="4E48E28A" w14:textId="77777777" w:rsidR="00BF0135" w:rsidRDefault="008B7A75">
      <w:pPr>
        <w:pStyle w:val="ListBullet"/>
      </w:pPr>
      <w:r>
        <w:rPr>
          <w:rFonts w:ascii="Calibri" w:hAnsi="Calibri"/>
          <w:color w:val="212121"/>
        </w:rPr>
        <w:t>Rows missing any of the six essential fields (Year, Country, Rainfall, Temperature, CO₂, Extreme Events) are dropped.</w:t>
      </w:r>
    </w:p>
    <w:p w14:paraId="5D27B53A" w14:textId="77777777" w:rsidR="00BF0135" w:rsidRDefault="008B7A75">
      <w:pPr>
        <w:pStyle w:val="ListBullet"/>
      </w:pPr>
      <w:r>
        <w:rPr>
          <w:rFonts w:ascii="Calibri" w:hAnsi="Calibri"/>
          <w:color w:val="212121"/>
        </w:rPr>
        <w:lastRenderedPageBreak/>
        <w:t>Year column cast to integer to ensure deterministic sorting.</w:t>
      </w:r>
    </w:p>
    <w:p w14:paraId="57605DE4" w14:textId="77777777" w:rsidR="00BF0135" w:rsidRDefault="008B7A75">
      <w:pPr>
        <w:spacing w:before="200" w:after="120"/>
      </w:pPr>
      <w:r>
        <w:rPr>
          <w:rFonts w:ascii="Arial" w:hAnsi="Arial"/>
          <w:b/>
          <w:color w:val="0D47A1"/>
          <w:sz w:val="26"/>
        </w:rPr>
        <w:t>2.3 Z-Score Water Status Classification</w:t>
      </w:r>
    </w:p>
    <w:p w14:paraId="26FEDC48" w14:textId="77777777" w:rsidR="00BF0135" w:rsidRDefault="008B7A75">
      <w:pPr>
        <w:spacing w:after="80"/>
      </w:pPr>
      <w:r>
        <w:rPr>
          <w:rFonts w:ascii="Calibri" w:hAnsi="Calibri"/>
          <w:color w:val="212121"/>
        </w:rPr>
        <w:t>Rather than applying global absolute thresholds — which would systematically misclassify high-altitude or desert nations — each row's rainfall is normalised against its own country's historical mean (μ) and standard deviation (σ):</w:t>
      </w:r>
    </w:p>
    <w:p w14:paraId="1A557194" w14:textId="77777777" w:rsidR="00BF0135" w:rsidRDefault="008B7A75">
      <w:pPr>
        <w:spacing w:after="80"/>
      </w:pPr>
      <w:r>
        <w:rPr>
          <w:rFonts w:ascii="Calibri" w:hAnsi="Calibri"/>
          <w:b/>
          <w:color w:val="212121"/>
        </w:rPr>
        <w:t xml:space="preserve">        z = (Rainfall_t − μ_country) / σ_country</w:t>
      </w:r>
    </w:p>
    <w:p w14:paraId="5AF2EFD0" w14:textId="77777777" w:rsidR="00BF0135" w:rsidRDefault="008B7A75">
      <w:pPr>
        <w:spacing w:after="80"/>
      </w:pPr>
      <w:r>
        <w:rPr>
          <w:rFonts w:ascii="Calibri" w:hAnsi="Calibri"/>
          <w:color w:val="212121"/>
        </w:rPr>
        <w:t>Rows with z &lt; −0.60 are labelled Low (Water Difficulty); z &gt; +0.60 are labelled Heavy (Surplus); all others are Decent (Normal). Countries with only one observation receive σ = 1.0 to prevent division-by-zero.</w:t>
      </w:r>
    </w:p>
    <w:p w14:paraId="34E6EF7B" w14:textId="77777777" w:rsidR="00BF0135" w:rsidRDefault="008B7A75">
      <w:pPr>
        <w:spacing w:before="200" w:after="120"/>
      </w:pPr>
      <w:r>
        <w:rPr>
          <w:rFonts w:ascii="Arial" w:hAnsi="Arial"/>
          <w:b/>
          <w:color w:val="0D47A1"/>
          <w:sz w:val="26"/>
        </w:rPr>
        <w:t>2.4 Temporal Feature Engineering</w:t>
      </w:r>
    </w:p>
    <w:tbl>
      <w:tblPr>
        <w:tblStyle w:val="TableGrid"/>
        <w:tblW w:w="0" w:type="auto"/>
        <w:jc w:val="center"/>
        <w:tblLook w:val="04A0" w:firstRow="1" w:lastRow="0" w:firstColumn="1" w:lastColumn="0" w:noHBand="0" w:noVBand="1"/>
      </w:tblPr>
      <w:tblGrid>
        <w:gridCol w:w="3117"/>
        <w:gridCol w:w="3116"/>
        <w:gridCol w:w="3117"/>
      </w:tblGrid>
      <w:tr w:rsidR="00BF0135" w14:paraId="13BF8971" w14:textId="77777777">
        <w:trPr>
          <w:jc w:val="center"/>
        </w:trPr>
        <w:tc>
          <w:tcPr>
            <w:tcW w:w="3120" w:type="dxa"/>
            <w:shd w:val="clear" w:color="auto" w:fill="1A3A5C"/>
          </w:tcPr>
          <w:p w14:paraId="1A7E1143" w14:textId="77777777" w:rsidR="00BF0135" w:rsidRDefault="008B7A75">
            <w:pPr>
              <w:jc w:val="center"/>
            </w:pPr>
            <w:r>
              <w:rPr>
                <w:rFonts w:ascii="Arial" w:hAnsi="Arial"/>
                <w:b/>
                <w:color w:val="FFFFFF"/>
                <w:sz w:val="20"/>
              </w:rPr>
              <w:t>Feature</w:t>
            </w:r>
          </w:p>
        </w:tc>
        <w:tc>
          <w:tcPr>
            <w:tcW w:w="3120" w:type="dxa"/>
            <w:shd w:val="clear" w:color="auto" w:fill="1A3A5C"/>
          </w:tcPr>
          <w:p w14:paraId="7168E711" w14:textId="77777777" w:rsidR="00BF0135" w:rsidRDefault="008B7A75">
            <w:pPr>
              <w:jc w:val="center"/>
            </w:pPr>
            <w:r>
              <w:rPr>
                <w:rFonts w:ascii="Arial" w:hAnsi="Arial"/>
                <w:b/>
                <w:color w:val="FFFFFF"/>
                <w:sz w:val="20"/>
              </w:rPr>
              <w:t>Formula</w:t>
            </w:r>
          </w:p>
        </w:tc>
        <w:tc>
          <w:tcPr>
            <w:tcW w:w="3120" w:type="dxa"/>
            <w:shd w:val="clear" w:color="auto" w:fill="1A3A5C"/>
          </w:tcPr>
          <w:p w14:paraId="60756C10" w14:textId="77777777" w:rsidR="00BF0135" w:rsidRDefault="008B7A75">
            <w:pPr>
              <w:jc w:val="center"/>
            </w:pPr>
            <w:r>
              <w:rPr>
                <w:rFonts w:ascii="Arial" w:hAnsi="Arial"/>
                <w:b/>
                <w:color w:val="FFFFFF"/>
                <w:sz w:val="20"/>
              </w:rPr>
              <w:t>Rationale</w:t>
            </w:r>
          </w:p>
        </w:tc>
      </w:tr>
      <w:tr w:rsidR="00BF0135" w14:paraId="7E633EEE" w14:textId="77777777">
        <w:trPr>
          <w:jc w:val="center"/>
        </w:trPr>
        <w:tc>
          <w:tcPr>
            <w:tcW w:w="3120" w:type="dxa"/>
          </w:tcPr>
          <w:p w14:paraId="36086F8B" w14:textId="77777777" w:rsidR="00BF0135" w:rsidRDefault="008B7A75">
            <w:r>
              <w:rPr>
                <w:rFonts w:ascii="Calibri" w:hAnsi="Calibri"/>
                <w:color w:val="212121"/>
                <w:sz w:val="20"/>
              </w:rPr>
              <w:t>Rainfall_lag1</w:t>
            </w:r>
          </w:p>
        </w:tc>
        <w:tc>
          <w:tcPr>
            <w:tcW w:w="3120" w:type="dxa"/>
          </w:tcPr>
          <w:p w14:paraId="7CAC09E0" w14:textId="77777777" w:rsidR="00BF0135" w:rsidRDefault="008B7A75">
            <w:r>
              <w:rPr>
                <w:rFonts w:ascii="Calibri" w:hAnsi="Calibri"/>
                <w:color w:val="212121"/>
                <w:sz w:val="20"/>
              </w:rPr>
              <w:t>Rainfall shifted 1 year per country</w:t>
            </w:r>
          </w:p>
        </w:tc>
        <w:tc>
          <w:tcPr>
            <w:tcW w:w="3120" w:type="dxa"/>
          </w:tcPr>
          <w:p w14:paraId="6F03C32B" w14:textId="77777777" w:rsidR="00BF0135" w:rsidRDefault="008B7A75">
            <w:r>
              <w:rPr>
                <w:rFonts w:ascii="Calibri" w:hAnsi="Calibri"/>
                <w:color w:val="212121"/>
                <w:sz w:val="20"/>
              </w:rPr>
              <w:t>Autoregressive signal t−1</w:t>
            </w:r>
          </w:p>
        </w:tc>
      </w:tr>
      <w:tr w:rsidR="00BF0135" w14:paraId="14335580" w14:textId="77777777">
        <w:trPr>
          <w:jc w:val="center"/>
        </w:trPr>
        <w:tc>
          <w:tcPr>
            <w:tcW w:w="3120" w:type="dxa"/>
          </w:tcPr>
          <w:p w14:paraId="40722978" w14:textId="77777777" w:rsidR="00BF0135" w:rsidRDefault="008B7A75">
            <w:r>
              <w:rPr>
                <w:rFonts w:ascii="Calibri" w:hAnsi="Calibri"/>
                <w:color w:val="212121"/>
                <w:sz w:val="20"/>
              </w:rPr>
              <w:t>Rainfall_lag2</w:t>
            </w:r>
          </w:p>
        </w:tc>
        <w:tc>
          <w:tcPr>
            <w:tcW w:w="3120" w:type="dxa"/>
          </w:tcPr>
          <w:p w14:paraId="76ADC7EB" w14:textId="77777777" w:rsidR="00BF0135" w:rsidRDefault="008B7A75">
            <w:r>
              <w:rPr>
                <w:rFonts w:ascii="Calibri" w:hAnsi="Calibri"/>
                <w:color w:val="212121"/>
                <w:sz w:val="20"/>
              </w:rPr>
              <w:t>Rainfall shifted 2 years per country</w:t>
            </w:r>
          </w:p>
        </w:tc>
        <w:tc>
          <w:tcPr>
            <w:tcW w:w="3120" w:type="dxa"/>
          </w:tcPr>
          <w:p w14:paraId="03DB6EB9" w14:textId="77777777" w:rsidR="00BF0135" w:rsidRDefault="008B7A75">
            <w:r>
              <w:rPr>
                <w:rFonts w:ascii="Calibri" w:hAnsi="Calibri"/>
                <w:color w:val="212121"/>
                <w:sz w:val="20"/>
              </w:rPr>
              <w:t>Autoregressive signal t−2</w:t>
            </w:r>
          </w:p>
        </w:tc>
      </w:tr>
      <w:tr w:rsidR="00BF0135" w14:paraId="51C837A0" w14:textId="77777777">
        <w:trPr>
          <w:jc w:val="center"/>
        </w:trPr>
        <w:tc>
          <w:tcPr>
            <w:tcW w:w="3120" w:type="dxa"/>
          </w:tcPr>
          <w:p w14:paraId="1063BC03" w14:textId="77777777" w:rsidR="00BF0135" w:rsidRDefault="008B7A75">
            <w:r>
              <w:rPr>
                <w:rFonts w:ascii="Calibri" w:hAnsi="Calibri"/>
                <w:color w:val="212121"/>
                <w:sz w:val="20"/>
              </w:rPr>
              <w:t>Rainfall_roll3</w:t>
            </w:r>
          </w:p>
        </w:tc>
        <w:tc>
          <w:tcPr>
            <w:tcW w:w="3120" w:type="dxa"/>
          </w:tcPr>
          <w:p w14:paraId="5D306E85" w14:textId="77777777" w:rsidR="00BF0135" w:rsidRDefault="008B7A75">
            <w:r>
              <w:rPr>
                <w:rFonts w:ascii="Calibri" w:hAnsi="Calibri"/>
                <w:color w:val="212121"/>
                <w:sz w:val="20"/>
              </w:rPr>
              <w:t>3-yr rolling mean of lag-1 per country</w:t>
            </w:r>
          </w:p>
        </w:tc>
        <w:tc>
          <w:tcPr>
            <w:tcW w:w="3120" w:type="dxa"/>
          </w:tcPr>
          <w:p w14:paraId="260CBD55" w14:textId="77777777" w:rsidR="00BF0135" w:rsidRDefault="008B7A75">
            <w:r>
              <w:rPr>
                <w:rFonts w:ascii="Calibri" w:hAnsi="Calibri"/>
                <w:color w:val="212121"/>
                <w:sz w:val="20"/>
              </w:rPr>
              <w:t>Smooth multi-year trend</w:t>
            </w:r>
          </w:p>
        </w:tc>
      </w:tr>
    </w:tbl>
    <w:p w14:paraId="090AD57D" w14:textId="77777777" w:rsidR="00BF0135" w:rsidRDefault="00BF0135"/>
    <w:p w14:paraId="7FACC026" w14:textId="77777777" w:rsidR="00BF0135" w:rsidRDefault="008B7A75">
      <w:pPr>
        <w:spacing w:before="320" w:after="120"/>
      </w:pPr>
      <w:r>
        <w:rPr>
          <w:rFonts w:ascii="Arial" w:hAnsi="Arial"/>
          <w:b/>
          <w:color w:val="0D47A1"/>
          <w:sz w:val="32"/>
        </w:rPr>
        <w:t>3. Machine Learning Model Formulation &amp; Evaluation</w:t>
      </w:r>
    </w:p>
    <w:p w14:paraId="2154644C" w14:textId="77777777" w:rsidR="00BF0135" w:rsidRDefault="00BF0135">
      <w:pPr>
        <w:pBdr>
          <w:bottom w:val="single" w:sz="6" w:space="1" w:color="1A3A5C"/>
        </w:pBdr>
        <w:spacing w:before="40" w:after="160"/>
      </w:pPr>
    </w:p>
    <w:p w14:paraId="3D988011" w14:textId="77777777" w:rsidR="00BF0135" w:rsidRDefault="008B7A75">
      <w:pPr>
        <w:spacing w:before="200" w:after="120"/>
      </w:pPr>
      <w:r>
        <w:rPr>
          <w:rFonts w:ascii="Arial" w:hAnsi="Arial"/>
          <w:b/>
          <w:color w:val="0D47A1"/>
          <w:sz w:val="26"/>
        </w:rPr>
        <w:t>3.1 Architecture</w:t>
      </w:r>
    </w:p>
    <w:p w14:paraId="1E75D875" w14:textId="77777777" w:rsidR="00BF0135" w:rsidRDefault="008B7A75">
      <w:pPr>
        <w:spacing w:after="80"/>
      </w:pPr>
      <w:r>
        <w:rPr>
          <w:rFonts w:ascii="Calibri" w:hAnsi="Calibri"/>
          <w:color w:val="212121"/>
        </w:rPr>
        <w:t>The predictive engine is a scikit-learn Pipeline comprising a StandardScaler preprocessing step followed by a Gradient Boosting Regressor (sklearn.ensemble). The scaler prevents the boosting algorithm from being dominated by features with high absolute magnitudes.</w:t>
      </w:r>
    </w:p>
    <w:p w14:paraId="29FDB089" w14:textId="77777777" w:rsidR="00BF0135" w:rsidRDefault="008B7A75">
      <w:pPr>
        <w:spacing w:before="200" w:after="120"/>
      </w:pPr>
      <w:r>
        <w:rPr>
          <w:rFonts w:ascii="Arial" w:hAnsi="Arial"/>
          <w:b/>
          <w:color w:val="0D47A1"/>
          <w:sz w:val="26"/>
        </w:rPr>
        <w:t>3.2 Hyperparameter Configuration</w:t>
      </w:r>
    </w:p>
    <w:tbl>
      <w:tblPr>
        <w:tblStyle w:val="TableGrid"/>
        <w:tblW w:w="0" w:type="auto"/>
        <w:jc w:val="center"/>
        <w:tblLook w:val="04A0" w:firstRow="1" w:lastRow="0" w:firstColumn="1" w:lastColumn="0" w:noHBand="0" w:noVBand="1"/>
      </w:tblPr>
      <w:tblGrid>
        <w:gridCol w:w="4676"/>
        <w:gridCol w:w="4674"/>
      </w:tblGrid>
      <w:tr w:rsidR="00BF0135" w14:paraId="60E86E2C" w14:textId="77777777">
        <w:trPr>
          <w:jc w:val="center"/>
        </w:trPr>
        <w:tc>
          <w:tcPr>
            <w:tcW w:w="4680" w:type="dxa"/>
            <w:shd w:val="clear" w:color="auto" w:fill="1A3A5C"/>
          </w:tcPr>
          <w:p w14:paraId="046A3BCF" w14:textId="77777777" w:rsidR="00BF0135" w:rsidRDefault="008B7A75">
            <w:pPr>
              <w:jc w:val="center"/>
            </w:pPr>
            <w:r>
              <w:rPr>
                <w:rFonts w:ascii="Arial" w:hAnsi="Arial"/>
                <w:b/>
                <w:color w:val="FFFFFF"/>
                <w:sz w:val="20"/>
              </w:rPr>
              <w:t>Parameter</w:t>
            </w:r>
          </w:p>
        </w:tc>
        <w:tc>
          <w:tcPr>
            <w:tcW w:w="4680" w:type="dxa"/>
            <w:shd w:val="clear" w:color="auto" w:fill="1A3A5C"/>
          </w:tcPr>
          <w:p w14:paraId="7A8524F9" w14:textId="77777777" w:rsidR="00BF0135" w:rsidRDefault="008B7A75">
            <w:pPr>
              <w:jc w:val="center"/>
            </w:pPr>
            <w:r>
              <w:rPr>
                <w:rFonts w:ascii="Arial" w:hAnsi="Arial"/>
                <w:b/>
                <w:color w:val="FFFFFF"/>
                <w:sz w:val="20"/>
              </w:rPr>
              <w:t>Value</w:t>
            </w:r>
          </w:p>
        </w:tc>
      </w:tr>
      <w:tr w:rsidR="00BF0135" w14:paraId="2C0ED86F" w14:textId="77777777">
        <w:trPr>
          <w:jc w:val="center"/>
        </w:trPr>
        <w:tc>
          <w:tcPr>
            <w:tcW w:w="4680" w:type="dxa"/>
          </w:tcPr>
          <w:p w14:paraId="4FD788CB" w14:textId="77777777" w:rsidR="00BF0135" w:rsidRDefault="008B7A75">
            <w:r>
              <w:rPr>
                <w:rFonts w:ascii="Calibri" w:hAnsi="Calibri"/>
                <w:color w:val="212121"/>
                <w:sz w:val="20"/>
              </w:rPr>
              <w:t>n_estimators</w:t>
            </w:r>
          </w:p>
        </w:tc>
        <w:tc>
          <w:tcPr>
            <w:tcW w:w="4680" w:type="dxa"/>
          </w:tcPr>
          <w:p w14:paraId="1AA7A26C" w14:textId="77777777" w:rsidR="00BF0135" w:rsidRDefault="008B7A75">
            <w:r>
              <w:rPr>
                <w:rFonts w:ascii="Calibri" w:hAnsi="Calibri"/>
                <w:color w:val="212121"/>
                <w:sz w:val="20"/>
              </w:rPr>
              <w:t>300</w:t>
            </w:r>
          </w:p>
        </w:tc>
      </w:tr>
      <w:tr w:rsidR="00BF0135" w14:paraId="0C33062F" w14:textId="77777777">
        <w:trPr>
          <w:jc w:val="center"/>
        </w:trPr>
        <w:tc>
          <w:tcPr>
            <w:tcW w:w="4680" w:type="dxa"/>
          </w:tcPr>
          <w:p w14:paraId="5091F3F0" w14:textId="77777777" w:rsidR="00BF0135" w:rsidRDefault="008B7A75">
            <w:r>
              <w:rPr>
                <w:rFonts w:ascii="Calibri" w:hAnsi="Calibri"/>
                <w:color w:val="212121"/>
                <w:sz w:val="20"/>
              </w:rPr>
              <w:t>learning_rate</w:t>
            </w:r>
          </w:p>
        </w:tc>
        <w:tc>
          <w:tcPr>
            <w:tcW w:w="4680" w:type="dxa"/>
          </w:tcPr>
          <w:p w14:paraId="0A482152" w14:textId="77777777" w:rsidR="00BF0135" w:rsidRDefault="008B7A75">
            <w:r>
              <w:rPr>
                <w:rFonts w:ascii="Calibri" w:hAnsi="Calibri"/>
                <w:color w:val="212121"/>
                <w:sz w:val="20"/>
              </w:rPr>
              <w:t>0.05</w:t>
            </w:r>
          </w:p>
        </w:tc>
      </w:tr>
      <w:tr w:rsidR="00BF0135" w14:paraId="69230F2A" w14:textId="77777777">
        <w:trPr>
          <w:jc w:val="center"/>
        </w:trPr>
        <w:tc>
          <w:tcPr>
            <w:tcW w:w="4680" w:type="dxa"/>
          </w:tcPr>
          <w:p w14:paraId="1C80DFD1" w14:textId="77777777" w:rsidR="00BF0135" w:rsidRDefault="008B7A75">
            <w:r>
              <w:rPr>
                <w:rFonts w:ascii="Calibri" w:hAnsi="Calibri"/>
                <w:color w:val="212121"/>
                <w:sz w:val="20"/>
              </w:rPr>
              <w:t>max_depth</w:t>
            </w:r>
          </w:p>
        </w:tc>
        <w:tc>
          <w:tcPr>
            <w:tcW w:w="4680" w:type="dxa"/>
          </w:tcPr>
          <w:p w14:paraId="171704E2" w14:textId="77777777" w:rsidR="00BF0135" w:rsidRDefault="008B7A75">
            <w:r>
              <w:rPr>
                <w:rFonts w:ascii="Calibri" w:hAnsi="Calibri"/>
                <w:color w:val="212121"/>
                <w:sz w:val="20"/>
              </w:rPr>
              <w:t>5</w:t>
            </w:r>
          </w:p>
        </w:tc>
      </w:tr>
      <w:tr w:rsidR="00BF0135" w14:paraId="6F5C1172" w14:textId="77777777">
        <w:trPr>
          <w:jc w:val="center"/>
        </w:trPr>
        <w:tc>
          <w:tcPr>
            <w:tcW w:w="4680" w:type="dxa"/>
          </w:tcPr>
          <w:p w14:paraId="0109BFE3" w14:textId="77777777" w:rsidR="00BF0135" w:rsidRDefault="008B7A75">
            <w:r>
              <w:rPr>
                <w:rFonts w:ascii="Calibri" w:hAnsi="Calibri"/>
                <w:color w:val="212121"/>
                <w:sz w:val="20"/>
              </w:rPr>
              <w:t>subsample</w:t>
            </w:r>
          </w:p>
        </w:tc>
        <w:tc>
          <w:tcPr>
            <w:tcW w:w="4680" w:type="dxa"/>
          </w:tcPr>
          <w:p w14:paraId="6E132414" w14:textId="77777777" w:rsidR="00BF0135" w:rsidRDefault="008B7A75">
            <w:r>
              <w:rPr>
                <w:rFonts w:ascii="Calibri" w:hAnsi="Calibri"/>
                <w:color w:val="212121"/>
                <w:sz w:val="20"/>
              </w:rPr>
              <w:t>0.85</w:t>
            </w:r>
          </w:p>
        </w:tc>
      </w:tr>
      <w:tr w:rsidR="00BF0135" w14:paraId="1B697A81" w14:textId="77777777">
        <w:trPr>
          <w:jc w:val="center"/>
        </w:trPr>
        <w:tc>
          <w:tcPr>
            <w:tcW w:w="4680" w:type="dxa"/>
          </w:tcPr>
          <w:p w14:paraId="3A16234C" w14:textId="77777777" w:rsidR="00BF0135" w:rsidRDefault="008B7A75">
            <w:r>
              <w:rPr>
                <w:rFonts w:ascii="Calibri" w:hAnsi="Calibri"/>
                <w:color w:val="212121"/>
                <w:sz w:val="20"/>
              </w:rPr>
              <w:t>min_samples_leaf</w:t>
            </w:r>
          </w:p>
        </w:tc>
        <w:tc>
          <w:tcPr>
            <w:tcW w:w="4680" w:type="dxa"/>
          </w:tcPr>
          <w:p w14:paraId="7E54EF33" w14:textId="77777777" w:rsidR="00BF0135" w:rsidRDefault="008B7A75">
            <w:r>
              <w:rPr>
                <w:rFonts w:ascii="Calibri" w:hAnsi="Calibri"/>
                <w:color w:val="212121"/>
                <w:sz w:val="20"/>
              </w:rPr>
              <w:t>5</w:t>
            </w:r>
          </w:p>
        </w:tc>
      </w:tr>
      <w:tr w:rsidR="00BF0135" w14:paraId="31EF41C2" w14:textId="77777777">
        <w:trPr>
          <w:jc w:val="center"/>
        </w:trPr>
        <w:tc>
          <w:tcPr>
            <w:tcW w:w="4680" w:type="dxa"/>
          </w:tcPr>
          <w:p w14:paraId="388D6DD2" w14:textId="77777777" w:rsidR="00BF0135" w:rsidRDefault="008B7A75">
            <w:r>
              <w:rPr>
                <w:rFonts w:ascii="Calibri" w:hAnsi="Calibri"/>
                <w:color w:val="212121"/>
                <w:sz w:val="20"/>
              </w:rPr>
              <w:t>random_state</w:t>
            </w:r>
          </w:p>
        </w:tc>
        <w:tc>
          <w:tcPr>
            <w:tcW w:w="4680" w:type="dxa"/>
          </w:tcPr>
          <w:p w14:paraId="24BAEBA8" w14:textId="77777777" w:rsidR="00BF0135" w:rsidRDefault="008B7A75">
            <w:r>
              <w:rPr>
                <w:rFonts w:ascii="Calibri" w:hAnsi="Calibri"/>
                <w:color w:val="212121"/>
                <w:sz w:val="20"/>
              </w:rPr>
              <w:t>42</w:t>
            </w:r>
          </w:p>
        </w:tc>
      </w:tr>
      <w:tr w:rsidR="00BF0135" w14:paraId="0C8E6F3A" w14:textId="77777777">
        <w:trPr>
          <w:jc w:val="center"/>
        </w:trPr>
        <w:tc>
          <w:tcPr>
            <w:tcW w:w="4680" w:type="dxa"/>
          </w:tcPr>
          <w:p w14:paraId="42BA6C05" w14:textId="77777777" w:rsidR="00BF0135" w:rsidRDefault="008B7A75">
            <w:r>
              <w:rPr>
                <w:rFonts w:ascii="Calibri" w:hAnsi="Calibri"/>
                <w:color w:val="212121"/>
                <w:sz w:val="20"/>
              </w:rPr>
              <w:t>Train / Test split</w:t>
            </w:r>
          </w:p>
        </w:tc>
        <w:tc>
          <w:tcPr>
            <w:tcW w:w="4680" w:type="dxa"/>
          </w:tcPr>
          <w:p w14:paraId="04CECCAB" w14:textId="77777777" w:rsidR="00BF0135" w:rsidRDefault="008B7A75">
            <w:r>
              <w:rPr>
                <w:rFonts w:ascii="Calibri" w:hAnsi="Calibri"/>
                <w:color w:val="212121"/>
                <w:sz w:val="20"/>
              </w:rPr>
              <w:t>80% / 20%</w:t>
            </w:r>
          </w:p>
        </w:tc>
      </w:tr>
    </w:tbl>
    <w:p w14:paraId="4F4DB2E6" w14:textId="77777777" w:rsidR="00BF0135" w:rsidRDefault="00BF0135"/>
    <w:p w14:paraId="72D50F8C" w14:textId="77777777" w:rsidR="00BF0135" w:rsidRDefault="008B7A75">
      <w:pPr>
        <w:spacing w:before="200" w:after="120"/>
      </w:pPr>
      <w:r>
        <w:rPr>
          <w:rFonts w:ascii="Arial" w:hAnsi="Arial"/>
          <w:b/>
          <w:color w:val="0D47A1"/>
          <w:sz w:val="26"/>
        </w:rPr>
        <w:t>3.3 Evaluation Metrics</w:t>
      </w:r>
    </w:p>
    <w:p w14:paraId="72C26092" w14:textId="77777777" w:rsidR="00BF0135" w:rsidRDefault="008B7A75">
      <w:pPr>
        <w:spacing w:after="80"/>
      </w:pPr>
      <w:r>
        <w:rPr>
          <w:rFonts w:ascii="Calibri" w:hAnsi="Calibri"/>
          <w:color w:val="212121"/>
        </w:rPr>
        <w:t>The model was evaluated on a randomly stratified 20% holdout set. Metric values below are indicative; run train_model.py for exact figures on the current dataset.</w:t>
      </w:r>
    </w:p>
    <w:tbl>
      <w:tblPr>
        <w:tblStyle w:val="TableGrid"/>
        <w:tblW w:w="0" w:type="auto"/>
        <w:jc w:val="center"/>
        <w:tblLook w:val="04A0" w:firstRow="1" w:lastRow="0" w:firstColumn="1" w:lastColumn="0" w:noHBand="0" w:noVBand="1"/>
      </w:tblPr>
      <w:tblGrid>
        <w:gridCol w:w="3117"/>
        <w:gridCol w:w="3116"/>
        <w:gridCol w:w="3117"/>
      </w:tblGrid>
      <w:tr w:rsidR="00BF0135" w14:paraId="1DD3E570" w14:textId="77777777">
        <w:trPr>
          <w:jc w:val="center"/>
        </w:trPr>
        <w:tc>
          <w:tcPr>
            <w:tcW w:w="3120" w:type="dxa"/>
            <w:shd w:val="clear" w:color="auto" w:fill="1A3A5C"/>
            <w:vAlign w:val="center"/>
          </w:tcPr>
          <w:p w14:paraId="25FFC4D7" w14:textId="77777777" w:rsidR="00BF0135" w:rsidRDefault="008B7A75">
            <w:pPr>
              <w:jc w:val="center"/>
            </w:pPr>
            <w:r>
              <w:rPr>
                <w:rFonts w:ascii="Arial" w:hAnsi="Arial"/>
                <w:b/>
                <w:color w:val="FFFFFF"/>
                <w:sz w:val="20"/>
              </w:rPr>
              <w:t>Metric</w:t>
            </w:r>
          </w:p>
        </w:tc>
        <w:tc>
          <w:tcPr>
            <w:tcW w:w="3120" w:type="dxa"/>
            <w:shd w:val="clear" w:color="auto" w:fill="1A3A5C"/>
            <w:vAlign w:val="center"/>
          </w:tcPr>
          <w:p w14:paraId="602F3310" w14:textId="77777777" w:rsidR="00BF0135" w:rsidRDefault="008B7A75">
            <w:pPr>
              <w:jc w:val="center"/>
            </w:pPr>
            <w:r>
              <w:rPr>
                <w:rFonts w:ascii="Arial" w:hAnsi="Arial"/>
                <w:b/>
                <w:color w:val="FFFFFF"/>
                <w:sz w:val="20"/>
              </w:rPr>
              <w:t>Value</w:t>
            </w:r>
          </w:p>
        </w:tc>
        <w:tc>
          <w:tcPr>
            <w:tcW w:w="3120" w:type="dxa"/>
            <w:shd w:val="clear" w:color="auto" w:fill="1A3A5C"/>
            <w:vAlign w:val="center"/>
          </w:tcPr>
          <w:p w14:paraId="0DC6C72E" w14:textId="77777777" w:rsidR="00BF0135" w:rsidRDefault="008B7A75">
            <w:pPr>
              <w:jc w:val="center"/>
            </w:pPr>
            <w:r>
              <w:rPr>
                <w:rFonts w:ascii="Arial" w:hAnsi="Arial"/>
                <w:b/>
                <w:color w:val="FFFFFF"/>
                <w:sz w:val="20"/>
              </w:rPr>
              <w:t>Interpretation</w:t>
            </w:r>
          </w:p>
        </w:tc>
      </w:tr>
      <w:tr w:rsidR="00BF0135" w14:paraId="7F9255F4" w14:textId="77777777">
        <w:trPr>
          <w:jc w:val="center"/>
        </w:trPr>
        <w:tc>
          <w:tcPr>
            <w:tcW w:w="3120" w:type="dxa"/>
            <w:vAlign w:val="center"/>
          </w:tcPr>
          <w:p w14:paraId="6515B63A" w14:textId="77777777" w:rsidR="00BF0135" w:rsidRDefault="008B7A75">
            <w:r>
              <w:rPr>
                <w:rFonts w:ascii="Calibri" w:hAnsi="Calibri"/>
                <w:color w:val="212121"/>
                <w:sz w:val="20"/>
              </w:rPr>
              <w:lastRenderedPageBreak/>
              <w:t>RMSE (mm)</w:t>
            </w:r>
          </w:p>
        </w:tc>
        <w:tc>
          <w:tcPr>
            <w:tcW w:w="3120" w:type="dxa"/>
            <w:vAlign w:val="center"/>
          </w:tcPr>
          <w:p w14:paraId="0CFCC649" w14:textId="77777777" w:rsidR="00BF0135" w:rsidRDefault="008B7A75">
            <w:r>
              <w:rPr>
                <w:rFonts w:ascii="Calibri" w:hAnsi="Calibri"/>
                <w:color w:val="212121"/>
                <w:sz w:val="20"/>
              </w:rPr>
              <w:t>~280–380 mm</w:t>
            </w:r>
          </w:p>
        </w:tc>
        <w:tc>
          <w:tcPr>
            <w:tcW w:w="3120" w:type="dxa"/>
            <w:vAlign w:val="center"/>
          </w:tcPr>
          <w:p w14:paraId="584F919F" w14:textId="77777777" w:rsidR="00BF0135" w:rsidRDefault="008B7A75">
            <w:r>
              <w:rPr>
                <w:rFonts w:ascii="Calibri" w:hAnsi="Calibri"/>
                <w:color w:val="212121"/>
                <w:sz w:val="20"/>
              </w:rPr>
              <w:t>Average absolute deviation in forecast rainfall</w:t>
            </w:r>
          </w:p>
        </w:tc>
      </w:tr>
      <w:tr w:rsidR="00BF0135" w14:paraId="1E9013B3" w14:textId="77777777">
        <w:trPr>
          <w:jc w:val="center"/>
        </w:trPr>
        <w:tc>
          <w:tcPr>
            <w:tcW w:w="3120" w:type="dxa"/>
            <w:vAlign w:val="center"/>
          </w:tcPr>
          <w:p w14:paraId="2BF85FA3" w14:textId="77777777" w:rsidR="00BF0135" w:rsidRDefault="008B7A75">
            <w:r>
              <w:rPr>
                <w:rFonts w:ascii="Calibri" w:hAnsi="Calibri"/>
                <w:color w:val="212121"/>
                <w:sz w:val="20"/>
              </w:rPr>
              <w:t>MAE (mm)</w:t>
            </w:r>
          </w:p>
        </w:tc>
        <w:tc>
          <w:tcPr>
            <w:tcW w:w="3120" w:type="dxa"/>
            <w:vAlign w:val="center"/>
          </w:tcPr>
          <w:p w14:paraId="7279BC90" w14:textId="77777777" w:rsidR="00BF0135" w:rsidRDefault="008B7A75">
            <w:r>
              <w:rPr>
                <w:rFonts w:ascii="Calibri" w:hAnsi="Calibri"/>
                <w:color w:val="212121"/>
                <w:sz w:val="20"/>
              </w:rPr>
              <w:t>~200–300 mm</w:t>
            </w:r>
          </w:p>
        </w:tc>
        <w:tc>
          <w:tcPr>
            <w:tcW w:w="3120" w:type="dxa"/>
            <w:vAlign w:val="center"/>
          </w:tcPr>
          <w:p w14:paraId="4343E409" w14:textId="77777777" w:rsidR="00BF0135" w:rsidRDefault="008B7A75">
            <w:r>
              <w:rPr>
                <w:rFonts w:ascii="Calibri" w:hAnsi="Calibri"/>
                <w:color w:val="212121"/>
                <w:sz w:val="20"/>
              </w:rPr>
              <w:t>Median error magnitude; robust to outliers</w:t>
            </w:r>
          </w:p>
        </w:tc>
      </w:tr>
      <w:tr w:rsidR="00BF0135" w14:paraId="71D3B68C" w14:textId="77777777">
        <w:trPr>
          <w:jc w:val="center"/>
        </w:trPr>
        <w:tc>
          <w:tcPr>
            <w:tcW w:w="3120" w:type="dxa"/>
            <w:vAlign w:val="center"/>
          </w:tcPr>
          <w:p w14:paraId="1850791F" w14:textId="77777777" w:rsidR="00BF0135" w:rsidRDefault="008B7A75">
            <w:r>
              <w:rPr>
                <w:rFonts w:ascii="Calibri" w:hAnsi="Calibri"/>
                <w:color w:val="212121"/>
                <w:sz w:val="20"/>
              </w:rPr>
              <w:t>R² Score</w:t>
            </w:r>
          </w:p>
        </w:tc>
        <w:tc>
          <w:tcPr>
            <w:tcW w:w="3120" w:type="dxa"/>
            <w:vAlign w:val="center"/>
          </w:tcPr>
          <w:p w14:paraId="62434B7D" w14:textId="77777777" w:rsidR="00BF0135" w:rsidRDefault="008B7A75">
            <w:r>
              <w:rPr>
                <w:rFonts w:ascii="Calibri" w:hAnsi="Calibri"/>
                <w:color w:val="212121"/>
                <w:sz w:val="20"/>
              </w:rPr>
              <w:t>~0.65–0.80</w:t>
            </w:r>
          </w:p>
        </w:tc>
        <w:tc>
          <w:tcPr>
            <w:tcW w:w="3120" w:type="dxa"/>
            <w:vAlign w:val="center"/>
          </w:tcPr>
          <w:p w14:paraId="4AB3E136" w14:textId="77777777" w:rsidR="00BF0135" w:rsidRDefault="008B7A75">
            <w:r>
              <w:rPr>
                <w:rFonts w:ascii="Calibri" w:hAnsi="Calibri"/>
                <w:color w:val="212121"/>
                <w:sz w:val="20"/>
              </w:rPr>
              <w:t>Proportion of rainfall variance explained by the model</w:t>
            </w:r>
          </w:p>
        </w:tc>
      </w:tr>
    </w:tbl>
    <w:p w14:paraId="620F0235" w14:textId="77777777" w:rsidR="00BF0135" w:rsidRDefault="00BF0135"/>
    <w:p w14:paraId="74D49413" w14:textId="77777777" w:rsidR="00BF0135" w:rsidRDefault="008B7A75">
      <w:pPr>
        <w:spacing w:before="320" w:after="120"/>
      </w:pPr>
      <w:r>
        <w:rPr>
          <w:rFonts w:ascii="Arial" w:hAnsi="Arial"/>
          <w:b/>
          <w:color w:val="0D47A1"/>
          <w:sz w:val="32"/>
        </w:rPr>
        <w:t>4. Production Dashboard Telemetry &amp; UI Snapshots</w:t>
      </w:r>
    </w:p>
    <w:p w14:paraId="1A41A187" w14:textId="77777777" w:rsidR="00BF0135" w:rsidRDefault="00BF0135">
      <w:pPr>
        <w:pBdr>
          <w:bottom w:val="single" w:sz="6" w:space="1" w:color="1A3A5C"/>
        </w:pBdr>
        <w:spacing w:before="40" w:after="160"/>
      </w:pPr>
    </w:p>
    <w:p w14:paraId="62DE7F00" w14:textId="77777777" w:rsidR="00BF0135" w:rsidRDefault="008B7A75">
      <w:pPr>
        <w:spacing w:after="80"/>
      </w:pPr>
      <w:r>
        <w:rPr>
          <w:rFonts w:ascii="Calibri" w:hAnsi="Calibri"/>
          <w:color w:val="212121"/>
        </w:rPr>
        <w:t>The interactive Streamlit dashboard (app.py) delivers a command-centre telemetry interface accessible at http://localhost:8501 after launching with `streamlit run app.py`. It comprises five primary panels:</w:t>
      </w:r>
    </w:p>
    <w:p w14:paraId="0CBAFD5E" w14:textId="77777777" w:rsidR="00BF0135" w:rsidRDefault="008B7A75">
      <w:pPr>
        <w:pStyle w:val="ListBullet"/>
      </w:pPr>
      <w:r>
        <w:rPr>
          <w:rFonts w:ascii="Calibri" w:hAnsi="Calibri"/>
          <w:color w:val="212121"/>
        </w:rPr>
        <w:t>Global KPI row: mean rainfall, drought nation count, stable nations, surplus nations.</w:t>
      </w:r>
    </w:p>
    <w:p w14:paraId="7C96B4DE" w14:textId="77777777" w:rsidR="00BF0135" w:rsidRDefault="008B7A75">
      <w:pPr>
        <w:pStyle w:val="ListBullet"/>
      </w:pPr>
      <w:r>
        <w:rPr>
          <w:rFonts w:ascii="Calibri" w:hAnsi="Calibri"/>
          <w:color w:val="212121"/>
        </w:rPr>
        <w:t>Full-width dark choropleth world map with year slider (2000–2030).</w:t>
      </w:r>
    </w:p>
    <w:p w14:paraId="3CA5B1EB" w14:textId="77777777" w:rsidR="00BF0135" w:rsidRDefault="008B7A75">
      <w:pPr>
        <w:pStyle w:val="ListBullet"/>
      </w:pPr>
      <w:r>
        <w:rPr>
          <w:rFonts w:ascii="Calibri" w:hAnsi="Calibri"/>
          <w:color w:val="212121"/>
        </w:rPr>
        <w:t>Sovereign Climate Intelligence Dossier with four telemetry cards per country.</w:t>
      </w:r>
    </w:p>
    <w:p w14:paraId="3BA75538" w14:textId="77777777" w:rsidR="00BF0135" w:rsidRDefault="008B7A75">
      <w:pPr>
        <w:pStyle w:val="ListBullet"/>
      </w:pPr>
      <w:r>
        <w:rPr>
          <w:rFonts w:ascii="Calibri" w:hAnsi="Calibri"/>
          <w:color w:val="212121"/>
        </w:rPr>
        <w:t>Dual analytical charts: Precipitation Trajectory and Temperature vs Extreme Events overlay.</w:t>
      </w:r>
    </w:p>
    <w:p w14:paraId="1D7D1ED0" w14:textId="77777777" w:rsidR="00BF0135" w:rsidRDefault="008B7A75">
      <w:pPr>
        <w:pStyle w:val="ListBullet"/>
      </w:pPr>
      <w:r>
        <w:rPr>
          <w:rFonts w:ascii="Calibri" w:hAnsi="Calibri"/>
          <w:color w:val="212121"/>
        </w:rPr>
        <w:t>Interactive Climate Shock Simulator with impact briefing and rainfall gauge.</w:t>
      </w:r>
    </w:p>
    <w:p w14:paraId="6413C064" w14:textId="77777777" w:rsidR="00BF0135" w:rsidRDefault="00BF0135"/>
    <w:p w14:paraId="64C8AA52" w14:textId="77777777" w:rsidR="00BF0135" w:rsidRDefault="008B7A75">
      <w:pPr>
        <w:spacing w:before="200" w:after="120"/>
      </w:pPr>
      <w:r>
        <w:rPr>
          <w:rFonts w:ascii="Arial" w:hAnsi="Arial"/>
          <w:b/>
          <w:color w:val="0D47A1"/>
          <w:sz w:val="26"/>
        </w:rPr>
        <w:t>Figure 1 — Global GPM Telemetry &amp; Choropleth Water Anomaly Matrix</w:t>
      </w:r>
    </w:p>
    <w:p w14:paraId="013AFE82" w14:textId="77777777" w:rsidR="00BF0135" w:rsidRDefault="008B7A75">
      <w:pPr>
        <w:spacing w:before="120" w:after="80"/>
        <w:jc w:val="center"/>
      </w:pPr>
      <w:r>
        <w:rPr>
          <w:rFonts w:ascii="Calibri" w:hAnsi="Calibri"/>
          <w:i/>
          <w:color w:val="808080"/>
          <w:sz w:val="20"/>
        </w:rPr>
        <w:t>[ Figure 1: Global GPM Telemetry &amp; Choropleth Water Anomaly Matrix (2026–2030 Horizon) — Insert dashboard screenshot here ]</w:t>
      </w:r>
    </w:p>
    <w:p w14:paraId="4F427839" w14:textId="77777777" w:rsidR="00BF0135" w:rsidRDefault="008B7A75">
      <w:pPr>
        <w:jc w:val="center"/>
      </w:pPr>
      <w:r>
        <w:rPr>
          <w:rFonts w:ascii="Calibri" w:hAnsi="Calibri"/>
          <w:i/>
          <w:color w:val="555555"/>
          <w:sz w:val="18"/>
        </w:rPr>
        <w:t>Figure 1: Global GPM Telemetry &amp; Choropleth Water Anomaly Matrix (2026–2030 Horizon)</w:t>
      </w:r>
    </w:p>
    <w:p w14:paraId="440B08FC" w14:textId="77777777" w:rsidR="00BF0135" w:rsidRDefault="008B7A75">
      <w:pPr>
        <w:spacing w:before="200" w:after="120"/>
      </w:pPr>
      <w:r>
        <w:rPr>
          <w:rFonts w:ascii="Arial" w:hAnsi="Arial"/>
          <w:b/>
          <w:color w:val="0D47A1"/>
          <w:sz w:val="26"/>
        </w:rPr>
        <w:t>Figure 2 — Sovereign Climate Intelligence Dossier &amp; Multi-Year Trajectory</w:t>
      </w:r>
    </w:p>
    <w:p w14:paraId="76648E86" w14:textId="77777777" w:rsidR="00BF0135" w:rsidRDefault="008B7A75">
      <w:pPr>
        <w:spacing w:before="120" w:after="80"/>
        <w:jc w:val="center"/>
      </w:pPr>
      <w:r>
        <w:rPr>
          <w:rFonts w:ascii="Calibri" w:hAnsi="Calibri"/>
          <w:i/>
          <w:color w:val="808080"/>
          <w:sz w:val="20"/>
        </w:rPr>
        <w:t>[ Figure 2: Sovereign Climate Intelligence Dossier &amp; Multi-Year Trajectory — Insert dashboard screenshot here ]</w:t>
      </w:r>
    </w:p>
    <w:p w14:paraId="0ABCA8DD" w14:textId="77777777" w:rsidR="00BF0135" w:rsidRDefault="008B7A75">
      <w:pPr>
        <w:jc w:val="center"/>
      </w:pPr>
      <w:r>
        <w:rPr>
          <w:rFonts w:ascii="Calibri" w:hAnsi="Calibri"/>
          <w:i/>
          <w:color w:val="555555"/>
          <w:sz w:val="18"/>
        </w:rPr>
        <w:t>Figure 2: Sovereign Climate Intelligence Dossier &amp; Multi-Year Trajectory</w:t>
      </w:r>
    </w:p>
    <w:p w14:paraId="02A6D545" w14:textId="77777777" w:rsidR="00BF0135" w:rsidRDefault="008B7A75">
      <w:pPr>
        <w:spacing w:before="200" w:after="120"/>
      </w:pPr>
      <w:r>
        <w:rPr>
          <w:rFonts w:ascii="Arial" w:hAnsi="Arial"/>
          <w:b/>
          <w:color w:val="0D47A1"/>
          <w:sz w:val="26"/>
        </w:rPr>
        <w:t>Figure 3 — Interactive Climate Shock Simulator &amp; Hydrological Stress Gauge</w:t>
      </w:r>
    </w:p>
    <w:p w14:paraId="55506745" w14:textId="77777777" w:rsidR="00BF0135" w:rsidRDefault="008B7A75">
      <w:pPr>
        <w:spacing w:before="120" w:after="80"/>
        <w:jc w:val="center"/>
      </w:pPr>
      <w:r>
        <w:rPr>
          <w:rFonts w:ascii="Calibri" w:hAnsi="Calibri"/>
          <w:i/>
          <w:color w:val="808080"/>
          <w:sz w:val="20"/>
        </w:rPr>
        <w:t>[ Figure 3: Interactive Climate Shock Simulator &amp; Hydrological Stress Gauge — Insert dashboard screenshot here ]</w:t>
      </w:r>
    </w:p>
    <w:p w14:paraId="0896AC8C" w14:textId="77777777" w:rsidR="00BF0135" w:rsidRDefault="008B7A75">
      <w:pPr>
        <w:jc w:val="center"/>
      </w:pPr>
      <w:r>
        <w:rPr>
          <w:rFonts w:ascii="Calibri" w:hAnsi="Calibri"/>
          <w:i/>
          <w:color w:val="555555"/>
          <w:sz w:val="18"/>
        </w:rPr>
        <w:t>Figure 3: Interactive Climate Shock Simulator &amp; Hydrological Stress Gauge</w:t>
      </w:r>
    </w:p>
    <w:p w14:paraId="17661F40" w14:textId="77777777" w:rsidR="00BF0135" w:rsidRDefault="008B7A75">
      <w:pPr>
        <w:spacing w:before="320" w:after="120"/>
      </w:pPr>
      <w:r>
        <w:rPr>
          <w:rFonts w:ascii="Arial" w:hAnsi="Arial"/>
          <w:b/>
          <w:color w:val="0D47A1"/>
          <w:sz w:val="32"/>
        </w:rPr>
        <w:t>5. Key Findings &amp; Strategic Recommendations</w:t>
      </w:r>
    </w:p>
    <w:p w14:paraId="43C98A0E" w14:textId="77777777" w:rsidR="00BF0135" w:rsidRDefault="00BF0135">
      <w:pPr>
        <w:pBdr>
          <w:bottom w:val="single" w:sz="6" w:space="1" w:color="1A3A5C"/>
        </w:pBdr>
        <w:spacing w:before="40" w:after="160"/>
      </w:pPr>
    </w:p>
    <w:p w14:paraId="25C21095" w14:textId="77777777" w:rsidR="00BF0135" w:rsidRDefault="008B7A75">
      <w:pPr>
        <w:spacing w:before="200" w:after="120"/>
      </w:pPr>
      <w:r>
        <w:rPr>
          <w:rFonts w:ascii="Arial" w:hAnsi="Arial"/>
          <w:b/>
          <w:color w:val="0D47A1"/>
          <w:sz w:val="26"/>
        </w:rPr>
        <w:t>5.1 Key Findings</w:t>
      </w:r>
    </w:p>
    <w:p w14:paraId="2102E146" w14:textId="77777777" w:rsidR="00BF0135" w:rsidRDefault="008B7A75">
      <w:pPr>
        <w:pStyle w:val="ListBullet"/>
      </w:pPr>
      <w:r>
        <w:rPr>
          <w:rFonts w:ascii="Calibri" w:hAnsi="Calibri"/>
          <w:color w:val="212121"/>
        </w:rPr>
        <w:lastRenderedPageBreak/>
        <w:t>Autoregressive lag features (Rainfall_lag1, Rainfall_roll3) consistently dominate the Gradient Boosting feature importance ranking, confirming strong temporal autocorrelation in national precipitation series.</w:t>
      </w:r>
    </w:p>
    <w:p w14:paraId="0688F64D" w14:textId="77777777" w:rsidR="00BF0135" w:rsidRDefault="008B7A75">
      <w:pPr>
        <w:pStyle w:val="ListBullet"/>
      </w:pPr>
      <w:r>
        <w:rPr>
          <w:rFonts w:ascii="Calibri" w:hAnsi="Calibri"/>
          <w:color w:val="212121"/>
        </w:rPr>
        <w:t>Average temperature is the second strongest predictor — every +1 °C of sustained warming corresponds to measurable shifts in the water status distribution across South Asian and Sub-Saharan African nations.</w:t>
      </w:r>
    </w:p>
    <w:p w14:paraId="4F5DA078" w14:textId="77777777" w:rsidR="00BF0135" w:rsidRDefault="008B7A75">
      <w:pPr>
        <w:pStyle w:val="ListBullet"/>
      </w:pPr>
      <w:r>
        <w:rPr>
          <w:rFonts w:ascii="Calibri" w:hAnsi="Calibri"/>
          <w:color w:val="212121"/>
        </w:rPr>
        <w:t>Nations with high extreme weather event frequency (&gt;8/year) exhibit significantly elevated rainfall variance, reducing model confidence and requiring wider prediction intervals.</w:t>
      </w:r>
    </w:p>
    <w:p w14:paraId="55E1F3C9" w14:textId="77777777" w:rsidR="00BF0135" w:rsidRDefault="008B7A75">
      <w:pPr>
        <w:pStyle w:val="ListBullet"/>
      </w:pPr>
      <w:r>
        <w:rPr>
          <w:rFonts w:ascii="Calibri" w:hAnsi="Calibri"/>
          <w:color w:val="212121"/>
        </w:rPr>
        <w:t>The Z-score country-normalised classification scheme produces more ecologically valid risk labels than global absolute thresholds, particularly for arid nations where low absolute rainfall is climatically normal.</w:t>
      </w:r>
    </w:p>
    <w:p w14:paraId="585237D7" w14:textId="77777777" w:rsidR="00BF0135" w:rsidRDefault="008B7A75">
      <w:pPr>
        <w:pStyle w:val="ListBullet"/>
      </w:pPr>
      <w:r>
        <w:rPr>
          <w:rFonts w:ascii="Calibri" w:hAnsi="Calibri"/>
          <w:color w:val="212121"/>
        </w:rPr>
        <w:t>AI-projected rainfall for 2025–2030 at the current warming trajectory suggests worsening deficit conditions for parts of Sub-Saharan Africa and increased surplus and flood risk for equatorial Asia.</w:t>
      </w:r>
    </w:p>
    <w:p w14:paraId="65351A6E" w14:textId="77777777" w:rsidR="00BF0135" w:rsidRDefault="00BF0135"/>
    <w:p w14:paraId="4143DA4F" w14:textId="77777777" w:rsidR="00BF0135" w:rsidRDefault="008B7A75">
      <w:pPr>
        <w:spacing w:before="200" w:after="120"/>
      </w:pPr>
      <w:r>
        <w:rPr>
          <w:rFonts w:ascii="Arial" w:hAnsi="Arial"/>
          <w:b/>
          <w:color w:val="0D47A1"/>
          <w:sz w:val="26"/>
        </w:rPr>
        <w:t>5.2 Strategic Recommendations</w:t>
      </w:r>
    </w:p>
    <w:p w14:paraId="631AD533" w14:textId="77777777" w:rsidR="00BF0135" w:rsidRDefault="008B7A75">
      <w:pPr>
        <w:pStyle w:val="ListBullet"/>
      </w:pPr>
      <w:r>
        <w:rPr>
          <w:rFonts w:ascii="Calibri" w:hAnsi="Calibri"/>
          <w:color w:val="212121"/>
        </w:rPr>
        <w:t>Monsoon Sensitivity Monitoring: Deploy real-time IoT sensor networks in monsoon-critical zones (South Asia, West Africa) to feed live data into the ML pipeline, replacing annual-aggregated historical records with sub-seasonal inputs.</w:t>
      </w:r>
    </w:p>
    <w:p w14:paraId="1771F0D4" w14:textId="77777777" w:rsidR="00BF0135" w:rsidRDefault="008B7A75">
      <w:pPr>
        <w:pStyle w:val="ListBullet"/>
      </w:pPr>
      <w:r>
        <w:rPr>
          <w:rFonts w:ascii="Calibri" w:hAnsi="Calibri"/>
          <w:color w:val="212121"/>
        </w:rPr>
        <w:t>Proactive Municipal Water Governance: Municipalities in Low (Water Difficulty) nations should pre-position reservoir storage capacity based on the model's 12-month forward projection, reducing reactive crisis spending.</w:t>
      </w:r>
    </w:p>
    <w:p w14:paraId="0930ACB1" w14:textId="77777777" w:rsidR="00BF0135" w:rsidRDefault="008B7A75">
      <w:pPr>
        <w:pStyle w:val="ListBullet"/>
      </w:pPr>
      <w:r>
        <w:rPr>
          <w:rFonts w:ascii="Calibri" w:hAnsi="Calibri"/>
          <w:color w:val="212121"/>
        </w:rPr>
        <w:t>Live Satellite Telemetry Integration: The dashboard architecture is designed to ingest new data rows annually. Connecting to NASA GPM satellite precipitation estimates or ECMWF ERA5 reanalysis data would eliminate the dataset refresh lag entirely.</w:t>
      </w:r>
    </w:p>
    <w:p w14:paraId="2B5DB434" w14:textId="77777777" w:rsidR="00BF0135" w:rsidRDefault="008B7A75">
      <w:pPr>
        <w:pStyle w:val="ListBullet"/>
      </w:pPr>
      <w:r>
        <w:rPr>
          <w:rFonts w:ascii="Calibri" w:hAnsi="Calibri"/>
          <w:color w:val="212121"/>
        </w:rPr>
        <w:t>Multi-Hazard Extension: Incorporate river discharge and groundwater depth columns to extend the hydrological vulnerability index beyond surface precipitation.</w:t>
      </w:r>
    </w:p>
    <w:p w14:paraId="44D707AE" w14:textId="77777777" w:rsidR="00BF0135" w:rsidRDefault="008B7A75">
      <w:pPr>
        <w:pStyle w:val="ListBullet"/>
      </w:pPr>
      <w:r>
        <w:rPr>
          <w:rFonts w:ascii="Calibri" w:hAnsi="Calibri"/>
          <w:color w:val="212121"/>
        </w:rPr>
        <w:t>Policy Dashboard Deployment: Host the Streamlit application on IBM Cloud or Streamlit Community Cloud to provide national water ministries with always-on access to the sovereign climate dossier for their jurisdiction.</w:t>
      </w:r>
    </w:p>
    <w:p w14:paraId="084E816B" w14:textId="77777777" w:rsidR="00BF0135" w:rsidRDefault="00BF0135"/>
    <w:p w14:paraId="46C7AC3B" w14:textId="77777777" w:rsidR="00BF0135" w:rsidRDefault="00BF0135">
      <w:pPr>
        <w:pBdr>
          <w:bottom w:val="single" w:sz="6" w:space="1" w:color="1A3A5C"/>
        </w:pBdr>
        <w:spacing w:before="40" w:after="160"/>
      </w:pPr>
    </w:p>
    <w:p w14:paraId="75271C69" w14:textId="2655670E" w:rsidR="00BF0135" w:rsidRDefault="00CA4647">
      <w:pPr>
        <w:jc w:val="center"/>
      </w:pPr>
      <w:r>
        <w:rPr>
          <w:rFonts w:ascii="Calibri" w:hAnsi="Calibri"/>
          <w:i/>
          <w:color w:val="808080"/>
          <w:sz w:val="18"/>
        </w:rPr>
        <w:t>Nikita Thakur</w:t>
      </w:r>
      <w:r w:rsidR="008B7A75">
        <w:rPr>
          <w:rFonts w:ascii="Calibri" w:hAnsi="Calibri"/>
          <w:i/>
          <w:color w:val="808080"/>
          <w:sz w:val="18"/>
        </w:rPr>
        <w:t>·  IBM SkillsBuild Data Analytics with AI Virtual Internship  ·  CSRBOX / BharatCares &amp; AICTE  ·  September 2026</w:t>
      </w:r>
    </w:p>
    <w:sectPr w:rsidR="00BF01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179639">
    <w:abstractNumId w:val="8"/>
  </w:num>
  <w:num w:numId="2" w16cid:durableId="1757900845">
    <w:abstractNumId w:val="6"/>
  </w:num>
  <w:num w:numId="3" w16cid:durableId="1024403773">
    <w:abstractNumId w:val="5"/>
  </w:num>
  <w:num w:numId="4" w16cid:durableId="394351419">
    <w:abstractNumId w:val="4"/>
  </w:num>
  <w:num w:numId="5" w16cid:durableId="1937470851">
    <w:abstractNumId w:val="7"/>
  </w:num>
  <w:num w:numId="6" w16cid:durableId="185599294">
    <w:abstractNumId w:val="3"/>
  </w:num>
  <w:num w:numId="7" w16cid:durableId="561597927">
    <w:abstractNumId w:val="2"/>
  </w:num>
  <w:num w:numId="8" w16cid:durableId="874392735">
    <w:abstractNumId w:val="1"/>
  </w:num>
  <w:num w:numId="9" w16cid:durableId="155492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4372"/>
    <w:rsid w:val="00AA1D8D"/>
    <w:rsid w:val="00B47730"/>
    <w:rsid w:val="00BF0135"/>
    <w:rsid w:val="00CA4647"/>
    <w:rsid w:val="00CB0664"/>
    <w:rsid w:val="00FC67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6E2BE"/>
  <w14:defaultImageDpi w14:val="300"/>
  <w15:docId w15:val="{D1C7EC48-F89C-4A77-838F-ED29CB303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Nikita Thakur</cp:lastModifiedBy>
  <cp:revision>3</cp:revision>
  <dcterms:created xsi:type="dcterms:W3CDTF">2026-09-24T19:12:00Z</dcterms:created>
  <dcterms:modified xsi:type="dcterms:W3CDTF">2026-09-24T19:13:00Z</dcterms:modified>
  <cp:category/>
</cp:coreProperties>
</file>