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B6" w:rsidRDefault="00144643" w:rsidP="001A63B6">
      <w:pPr>
        <w:spacing w:before="1"/>
      </w:pPr>
      <w:r>
        <w:t xml:space="preserve">Златински </w:t>
      </w:r>
      <w:r w:rsidR="001A63B6">
        <w:t>ПИ18-</w:t>
      </w:r>
      <w:r w:rsidR="00167973">
        <w:t>1</w:t>
      </w:r>
      <w:r w:rsidR="001A63B6">
        <w:t xml:space="preserve"> Вариант 1</w:t>
      </w:r>
      <w:r>
        <w:t>0</w:t>
      </w:r>
      <w:r w:rsidR="001A63B6">
        <w:t xml:space="preserve"> Альфа = 0,0</w:t>
      </w:r>
      <w:r w:rsidR="00167973">
        <w:t>5</w:t>
      </w:r>
      <w:r w:rsidR="001A63B6">
        <w:t xml:space="preserve">     </w:t>
      </w:r>
    </w:p>
    <w:p w:rsidR="001A63B6" w:rsidRDefault="00D105B4" w:rsidP="001A63B6">
      <w:pPr>
        <w:spacing w:before="1"/>
      </w:pPr>
      <w:r>
        <w:t>Н0:σ1=σ2</w:t>
      </w:r>
    </w:p>
    <w:p w:rsidR="000D33BF" w:rsidRPr="001A63B6" w:rsidRDefault="00D105B4" w:rsidP="001A63B6">
      <w:pPr>
        <w:spacing w:before="1"/>
      </w:pPr>
      <w:r w:rsidRPr="001A63B6">
        <w:t>H1:σ1≠σ2 – двухсторонняя альтернатива</w:t>
      </w:r>
    </w:p>
    <w:p w:rsidR="000D33BF" w:rsidRDefault="00D105B4">
      <w:pPr>
        <w:pStyle w:val="a4"/>
        <w:numPr>
          <w:ilvl w:val="1"/>
          <w:numId w:val="1"/>
        </w:numPr>
        <w:tabs>
          <w:tab w:val="left" w:pos="1224"/>
        </w:tabs>
        <w:spacing w:before="265"/>
        <w:ind w:hanging="283"/>
        <w:jc w:val="left"/>
      </w:pPr>
      <w:r>
        <w:t>Проверка через</w:t>
      </w:r>
      <w:r>
        <w:rPr>
          <w:spacing w:val="-6"/>
        </w:rPr>
        <w:t xml:space="preserve"> </w:t>
      </w:r>
      <w:r>
        <w:t>надстройку</w:t>
      </w:r>
    </w:p>
    <w:p w:rsidR="000D33BF" w:rsidRDefault="000D33BF">
      <w:pPr>
        <w:spacing w:before="10"/>
        <w:rPr>
          <w:sz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7"/>
        <w:gridCol w:w="1380"/>
        <w:gridCol w:w="1380"/>
        <w:gridCol w:w="940"/>
      </w:tblGrid>
      <w:tr w:rsidR="00144643" w:rsidRPr="00144643" w:rsidTr="00144643">
        <w:trPr>
          <w:trHeight w:val="288"/>
        </w:trPr>
        <w:tc>
          <w:tcPr>
            <w:tcW w:w="6321" w:type="dxa"/>
            <w:gridSpan w:val="4"/>
            <w:noWrap/>
            <w:hideMark/>
          </w:tcPr>
          <w:p w:rsidR="00144643" w:rsidRPr="00144643" w:rsidRDefault="00144643">
            <w:r w:rsidRPr="00144643">
              <w:t>Двухвыборочный F-тест для дисперсии</w:t>
            </w:r>
          </w:p>
        </w:tc>
      </w:tr>
      <w:tr w:rsidR="00144643" w:rsidRPr="00144643" w:rsidTr="00144643">
        <w:trPr>
          <w:trHeight w:val="300"/>
        </w:trPr>
        <w:tc>
          <w:tcPr>
            <w:tcW w:w="2857" w:type="dxa"/>
            <w:noWrap/>
            <w:hideMark/>
          </w:tcPr>
          <w:p w:rsidR="00144643" w:rsidRPr="00144643" w:rsidRDefault="00144643"/>
        </w:tc>
        <w:tc>
          <w:tcPr>
            <w:tcW w:w="1355" w:type="dxa"/>
            <w:noWrap/>
            <w:hideMark/>
          </w:tcPr>
          <w:p w:rsidR="00144643" w:rsidRPr="00144643" w:rsidRDefault="00144643"/>
        </w:tc>
        <w:tc>
          <w:tcPr>
            <w:tcW w:w="1355" w:type="dxa"/>
            <w:noWrap/>
            <w:hideMark/>
          </w:tcPr>
          <w:p w:rsidR="00144643" w:rsidRPr="00144643" w:rsidRDefault="00144643"/>
        </w:tc>
        <w:tc>
          <w:tcPr>
            <w:tcW w:w="754" w:type="dxa"/>
            <w:noWrap/>
            <w:hideMark/>
          </w:tcPr>
          <w:p w:rsidR="00144643" w:rsidRPr="00144643" w:rsidRDefault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 w:rsidP="00144643">
            <w:pPr>
              <w:rPr>
                <w:i/>
                <w:iCs/>
              </w:rPr>
            </w:pPr>
            <w:r w:rsidRPr="00144643">
              <w:rPr>
                <w:i/>
                <w:iCs/>
              </w:rPr>
              <w:t> 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pPr>
              <w:rPr>
                <w:i/>
                <w:iCs/>
              </w:rPr>
            </w:pPr>
            <w:r w:rsidRPr="00144643">
              <w:rPr>
                <w:i/>
                <w:iCs/>
              </w:rPr>
              <w:t>Переменная 1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pPr>
              <w:rPr>
                <w:i/>
                <w:iCs/>
              </w:rPr>
            </w:pPr>
            <w:r w:rsidRPr="00144643">
              <w:rPr>
                <w:i/>
                <w:iCs/>
              </w:rPr>
              <w:t>Переменная 2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>
            <w:pPr>
              <w:rPr>
                <w:i/>
                <w:iCs/>
              </w:rPr>
            </w:pPr>
          </w:p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Среднее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5,330138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5,389357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Дисперсия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0,014004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0,006035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Наблюдения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29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28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df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28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27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F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2,320545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/>
        </w:tc>
        <w:tc>
          <w:tcPr>
            <w:tcW w:w="754" w:type="dxa"/>
            <w:noWrap/>
            <w:hideMark/>
          </w:tcPr>
          <w:p w:rsidR="00144643" w:rsidRPr="00144643" w:rsidRDefault="00144643"/>
        </w:tc>
      </w:tr>
      <w:tr w:rsidR="00144643" w:rsidRPr="00144643" w:rsidTr="00144643">
        <w:trPr>
          <w:trHeight w:val="288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P(F&lt;=f) одностороннее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0,015835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0,03167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 w:rsidP="00144643">
            <w:r w:rsidRPr="00144643">
              <w:t>0,03167</w:t>
            </w:r>
          </w:p>
        </w:tc>
      </w:tr>
      <w:tr w:rsidR="00144643" w:rsidRPr="00144643" w:rsidTr="00144643">
        <w:trPr>
          <w:trHeight w:val="300"/>
        </w:trPr>
        <w:tc>
          <w:tcPr>
            <w:tcW w:w="2857" w:type="dxa"/>
            <w:noWrap/>
            <w:hideMark/>
          </w:tcPr>
          <w:p w:rsidR="00144643" w:rsidRPr="00144643" w:rsidRDefault="00144643">
            <w:r w:rsidRPr="00144643">
              <w:t>F критическое одностороннее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 w:rsidP="00144643">
            <w:r w:rsidRPr="00144643">
              <w:t>1,897523</w:t>
            </w:r>
          </w:p>
        </w:tc>
        <w:tc>
          <w:tcPr>
            <w:tcW w:w="1355" w:type="dxa"/>
            <w:noWrap/>
            <w:hideMark/>
          </w:tcPr>
          <w:p w:rsidR="00144643" w:rsidRPr="00144643" w:rsidRDefault="00144643">
            <w:r w:rsidRPr="00144643">
              <w:t> </w:t>
            </w:r>
          </w:p>
        </w:tc>
        <w:tc>
          <w:tcPr>
            <w:tcW w:w="754" w:type="dxa"/>
            <w:noWrap/>
            <w:hideMark/>
          </w:tcPr>
          <w:p w:rsidR="00144643" w:rsidRPr="00144643" w:rsidRDefault="00144643"/>
        </w:tc>
      </w:tr>
    </w:tbl>
    <w:p w:rsidR="000D33BF" w:rsidRDefault="000D33BF"/>
    <w:p w:rsidR="000D33BF" w:rsidRDefault="000D33BF">
      <w:pPr>
        <w:spacing w:before="7"/>
        <w:rPr>
          <w:sz w:val="21"/>
        </w:rPr>
      </w:pPr>
    </w:p>
    <w:p w:rsidR="000D33BF" w:rsidRDefault="00D105B4" w:rsidP="001A63B6">
      <w:r>
        <w:rPr>
          <w:b/>
        </w:rPr>
        <w:t>p-value</w:t>
      </w:r>
      <w:r w:rsidR="001A63B6">
        <w:rPr>
          <w:b/>
        </w:rPr>
        <w:t xml:space="preserve"> = </w:t>
      </w:r>
      <w:r w:rsidR="001A63B6" w:rsidRPr="001A63B6">
        <w:rPr>
          <w:rFonts w:eastAsia="Times New Roman"/>
          <w:color w:val="000000"/>
          <w:lang w:bidi="ar-SA"/>
        </w:rPr>
        <w:t>0,</w:t>
      </w:r>
      <w:r w:rsidR="00144643">
        <w:rPr>
          <w:rFonts w:eastAsia="Times New Roman"/>
          <w:color w:val="000000"/>
          <w:lang w:bidi="ar-SA"/>
        </w:rPr>
        <w:t>03167</w:t>
      </w:r>
      <w:r>
        <w:rPr>
          <w:b/>
        </w:rPr>
        <w:t xml:space="preserve"> </w:t>
      </w:r>
      <w:r w:rsidR="001A63B6">
        <w:rPr>
          <w:b/>
        </w:rPr>
        <w:t>(</w:t>
      </w:r>
      <w:r>
        <w:t>удвоил одностороннее значение (т.к. у нас двухсторонняя альтернатива)</w:t>
      </w:r>
      <w:r w:rsidR="001A63B6">
        <w:t>)</w:t>
      </w:r>
    </w:p>
    <w:p w:rsidR="000D33BF" w:rsidRPr="001A63B6" w:rsidRDefault="00D105B4" w:rsidP="001A63B6">
      <w:pPr>
        <w:rPr>
          <w:rFonts w:eastAsia="Times New Roman"/>
          <w:color w:val="000000"/>
          <w:lang w:bidi="ar-SA"/>
        </w:rPr>
      </w:pPr>
      <w:r>
        <w:rPr>
          <w:b/>
        </w:rPr>
        <w:t>p-value</w:t>
      </w:r>
      <w:r w:rsidR="00167973">
        <w:rPr>
          <w:b/>
        </w:rPr>
        <w:t xml:space="preserve"> </w:t>
      </w:r>
      <w:r>
        <w:rPr>
          <w:b/>
        </w:rPr>
        <w:t>=</w:t>
      </w:r>
      <w:r w:rsidR="00167973">
        <w:rPr>
          <w:b/>
        </w:rPr>
        <w:t xml:space="preserve"> </w:t>
      </w:r>
      <w:r w:rsidR="001A63B6" w:rsidRPr="001A63B6">
        <w:rPr>
          <w:rFonts w:eastAsia="Times New Roman"/>
          <w:color w:val="000000"/>
          <w:lang w:bidi="ar-SA"/>
        </w:rPr>
        <w:t>0,</w:t>
      </w:r>
      <w:r w:rsidR="00144643">
        <w:rPr>
          <w:rFonts w:eastAsia="Times New Roman"/>
          <w:color w:val="000000"/>
          <w:lang w:bidi="ar-SA"/>
        </w:rPr>
        <w:t>03167</w:t>
      </w:r>
      <w:r w:rsidR="00167973">
        <w:rPr>
          <w:rFonts w:eastAsia="Times New Roman"/>
          <w:color w:val="000000"/>
          <w:lang w:bidi="ar-SA"/>
        </w:rPr>
        <w:t xml:space="preserve"> </w:t>
      </w:r>
      <w:r w:rsidR="00144643" w:rsidRPr="00144643">
        <w:t>&lt;</w:t>
      </w:r>
      <w:r w:rsidR="00167973">
        <w:t xml:space="preserve"> </w:t>
      </w:r>
      <w:r>
        <w:t>0,0</w:t>
      </w:r>
      <w:r w:rsidR="00167973">
        <w:t>5,</w:t>
      </w:r>
      <w:r>
        <w:t xml:space="preserve"> принимаем гипотезу H</w:t>
      </w:r>
      <w:r w:rsidR="00144643" w:rsidRPr="00144643">
        <w:t>1</w:t>
      </w:r>
      <w:r>
        <w:t xml:space="preserve"> о том</w:t>
      </w:r>
      <w:r w:rsidR="00144643" w:rsidRPr="00144643">
        <w:t>,</w:t>
      </w:r>
      <w:r>
        <w:t xml:space="preserve"> что дисперсии</w:t>
      </w:r>
      <w:r w:rsidR="00144643" w:rsidRPr="00144643">
        <w:t xml:space="preserve"> </w:t>
      </w:r>
      <w:r w:rsidR="00144643">
        <w:t>не</w:t>
      </w:r>
      <w:r>
        <w:t xml:space="preserve"> равны на уровне 0,0</w:t>
      </w:r>
      <w:r w:rsidR="00167973">
        <w:t>5</w:t>
      </w:r>
      <w:r w:rsidR="001A63B6">
        <w:t>.</w:t>
      </w:r>
    </w:p>
    <w:p w:rsidR="000D33BF" w:rsidRDefault="000D33BF">
      <w:pPr>
        <w:spacing w:before="10"/>
        <w:rPr>
          <w:sz w:val="21"/>
        </w:rPr>
      </w:pPr>
    </w:p>
    <w:p w:rsidR="000D33BF" w:rsidRDefault="00D105B4">
      <w:pPr>
        <w:pStyle w:val="a4"/>
        <w:numPr>
          <w:ilvl w:val="1"/>
          <w:numId w:val="1"/>
        </w:numPr>
        <w:tabs>
          <w:tab w:val="left" w:pos="582"/>
        </w:tabs>
        <w:ind w:left="582" w:hanging="360"/>
        <w:jc w:val="left"/>
      </w:pPr>
      <w:r>
        <w:t>Через</w:t>
      </w:r>
      <w:r>
        <w:rPr>
          <w:spacing w:val="-3"/>
        </w:rPr>
        <w:t xml:space="preserve"> </w:t>
      </w:r>
      <w:r>
        <w:t>F-тест</w:t>
      </w:r>
    </w:p>
    <w:p w:rsidR="000D33BF" w:rsidRDefault="000D33BF"/>
    <w:p w:rsidR="000D33BF" w:rsidRPr="001A63B6" w:rsidRDefault="00167973">
      <w:pPr>
        <w:rPr>
          <w:rFonts w:eastAsia="Times New Roman"/>
          <w:color w:val="000000"/>
          <w:lang w:bidi="ar-SA"/>
        </w:rPr>
      </w:pPr>
      <w:r w:rsidRPr="00167973">
        <w:t>=ФТЕСТ(A2:A3</w:t>
      </w:r>
      <w:r w:rsidR="00144643" w:rsidRPr="00144643">
        <w:t>0</w:t>
      </w:r>
      <w:r w:rsidRPr="00167973">
        <w:t>;B2:B2</w:t>
      </w:r>
      <w:r w:rsidR="00144643" w:rsidRPr="00144643">
        <w:t>9</w:t>
      </w:r>
      <w:r w:rsidRPr="00167973">
        <w:t>)</w:t>
      </w:r>
      <w:r>
        <w:t xml:space="preserve"> </w:t>
      </w:r>
      <w:r w:rsidR="00D105B4">
        <w:t xml:space="preserve">= </w:t>
      </w:r>
      <w:r w:rsidR="001A63B6" w:rsidRPr="001A63B6">
        <w:rPr>
          <w:rFonts w:eastAsia="Times New Roman"/>
          <w:color w:val="000000"/>
          <w:lang w:bidi="ar-SA"/>
        </w:rPr>
        <w:t>0,</w:t>
      </w:r>
      <w:r w:rsidR="00144643" w:rsidRPr="00144643">
        <w:rPr>
          <w:rFonts w:eastAsia="Times New Roman"/>
          <w:color w:val="000000"/>
          <w:lang w:bidi="ar-SA"/>
        </w:rPr>
        <w:t>03167,</w:t>
      </w:r>
      <w:r w:rsidR="001A63B6">
        <w:rPr>
          <w:rFonts w:eastAsia="Times New Roman"/>
          <w:color w:val="000000"/>
          <w:lang w:bidi="ar-SA"/>
        </w:rPr>
        <w:t xml:space="preserve"> </w:t>
      </w:r>
      <w:r w:rsidR="00D105B4">
        <w:t>вывод тот же самый</w:t>
      </w:r>
      <w:r w:rsidR="001A63B6">
        <w:t>.</w:t>
      </w:r>
    </w:p>
    <w:p w:rsidR="000D33BF" w:rsidRDefault="000D33BF">
      <w:pPr>
        <w:spacing w:before="1"/>
        <w:rPr>
          <w:b/>
          <w:sz w:val="18"/>
        </w:rPr>
      </w:pPr>
    </w:p>
    <w:p w:rsidR="000D33BF" w:rsidRDefault="00D105B4" w:rsidP="001A63B6">
      <w:pPr>
        <w:pStyle w:val="a3"/>
        <w:spacing w:before="1"/>
        <w:ind w:left="581"/>
      </w:pPr>
      <w:r>
        <w:t>2. И</w:t>
      </w:r>
      <w:r w:rsidRPr="001A63B6">
        <w:t>сходя из рез</w:t>
      </w:r>
      <w:r w:rsidR="001A63B6">
        <w:t>ульта</w:t>
      </w:r>
      <w:r w:rsidRPr="001A63B6">
        <w:t>тов пункта 1 , для проверки рав</w:t>
      </w:r>
      <w:r w:rsidR="001A63B6">
        <w:t>енст</w:t>
      </w:r>
      <w:r w:rsidRPr="001A63B6">
        <w:t>ва средних выбираем t-тес</w:t>
      </w:r>
      <w:r w:rsidR="001A63B6">
        <w:t xml:space="preserve">т с </w:t>
      </w:r>
      <w:r w:rsidR="00144643">
        <w:t>различными</w:t>
      </w:r>
      <w:r w:rsidR="001A63B6">
        <w:t xml:space="preserve"> дисперсиями.</w:t>
      </w:r>
    </w:p>
    <w:p w:rsidR="000D33BF" w:rsidRDefault="000D33BF">
      <w:pPr>
        <w:spacing w:before="8"/>
        <w:rPr>
          <w:b/>
          <w:sz w:val="19"/>
        </w:rPr>
      </w:pPr>
    </w:p>
    <w:p w:rsidR="000D33BF" w:rsidRDefault="00D105B4">
      <w:pPr>
        <w:pStyle w:val="a3"/>
        <w:ind w:left="572"/>
      </w:pPr>
      <w:r>
        <w:t>Н0: µ1=µ2 – средние равны</w:t>
      </w:r>
    </w:p>
    <w:p w:rsidR="000D33BF" w:rsidRDefault="000D33BF">
      <w:pPr>
        <w:spacing w:before="8"/>
        <w:rPr>
          <w:b/>
          <w:sz w:val="19"/>
        </w:rPr>
      </w:pPr>
    </w:p>
    <w:p w:rsidR="000D33BF" w:rsidRDefault="00D105B4">
      <w:pPr>
        <w:pStyle w:val="a3"/>
        <w:spacing w:before="1"/>
        <w:ind w:left="572"/>
      </w:pPr>
      <w:r>
        <w:t>H1:</w:t>
      </w:r>
      <w:r w:rsidR="00144643">
        <w:t xml:space="preserve"> </w:t>
      </w:r>
      <w:r>
        <w:t>µ1≠µ2 – средние не равны (двусторонняя альтернатива)</w:t>
      </w:r>
    </w:p>
    <w:p w:rsidR="000D33BF" w:rsidRDefault="000D33BF">
      <w:pPr>
        <w:spacing w:before="8"/>
        <w:rPr>
          <w:b/>
          <w:sz w:val="19"/>
        </w:rPr>
      </w:pPr>
    </w:p>
    <w:p w:rsidR="000D33BF" w:rsidRDefault="00D105B4">
      <w:pPr>
        <w:pStyle w:val="a3"/>
        <w:ind w:left="222"/>
      </w:pPr>
      <w:r>
        <w:t>2.1 С пом</w:t>
      </w:r>
      <w:r w:rsidR="00050FE8">
        <w:t>ощью</w:t>
      </w:r>
      <w:r>
        <w:t xml:space="preserve"> надстройки – Анализ данных</w:t>
      </w:r>
    </w:p>
    <w:p w:rsidR="001A63B6" w:rsidRDefault="001A63B6">
      <w:pPr>
        <w:pStyle w:val="a3"/>
        <w:ind w:left="222"/>
      </w:pPr>
    </w:p>
    <w:p w:rsidR="00144643" w:rsidRDefault="00144643">
      <w:pPr>
        <w:spacing w:before="57" w:line="276" w:lineRule="auto"/>
        <w:ind w:left="222" w:right="113"/>
      </w:pPr>
      <w:r w:rsidRPr="00144643">
        <w:drawing>
          <wp:inline distT="0" distB="0" distL="0" distR="0">
            <wp:extent cx="183642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BF" w:rsidRPr="00050FE8" w:rsidRDefault="00D105B4">
      <w:pPr>
        <w:spacing w:before="57" w:line="276" w:lineRule="auto"/>
        <w:ind w:left="222" w:right="113"/>
        <w:rPr>
          <w:b/>
        </w:rPr>
      </w:pPr>
      <w:r>
        <w:t xml:space="preserve">p-value </w:t>
      </w:r>
      <w:r w:rsidR="00050FE8">
        <w:t>=</w:t>
      </w:r>
      <w:r w:rsidR="00167973">
        <w:t xml:space="preserve"> </w:t>
      </w:r>
      <w:r w:rsidR="00050FE8">
        <w:t>0,</w:t>
      </w:r>
      <w:r w:rsidR="00167973">
        <w:t>0</w:t>
      </w:r>
      <w:r w:rsidR="00144643">
        <w:t>29606</w:t>
      </w:r>
      <w:r w:rsidR="00050FE8" w:rsidRPr="00050FE8">
        <w:t xml:space="preserve"> </w:t>
      </w:r>
      <w:r w:rsidR="00167973" w:rsidRPr="00167973">
        <w:t>&lt;</w:t>
      </w:r>
      <w:r w:rsidR="00050FE8" w:rsidRPr="00050FE8">
        <w:t xml:space="preserve"> </w:t>
      </w:r>
      <w:r>
        <w:t>0,0</w:t>
      </w:r>
      <w:r w:rsidR="00167973">
        <w:t>5</w:t>
      </w:r>
      <w:r w:rsidR="00050FE8" w:rsidRPr="00050FE8">
        <w:t>,</w:t>
      </w:r>
      <w:r>
        <w:t xml:space="preserve"> </w:t>
      </w:r>
      <w:r>
        <w:rPr>
          <w:b/>
        </w:rPr>
        <w:t>принимаем гипотезу Н</w:t>
      </w:r>
      <w:r w:rsidR="00167973" w:rsidRPr="00167973">
        <w:rPr>
          <w:b/>
        </w:rPr>
        <w:t>1</w:t>
      </w:r>
      <w:r>
        <w:rPr>
          <w:b/>
        </w:rPr>
        <w:t xml:space="preserve"> о том, что средние в генеральной совокупности</w:t>
      </w:r>
      <w:r w:rsidR="00050FE8" w:rsidRPr="00050FE8">
        <w:rPr>
          <w:b/>
        </w:rPr>
        <w:t xml:space="preserve"> </w:t>
      </w:r>
      <w:r w:rsidR="00167973">
        <w:rPr>
          <w:b/>
        </w:rPr>
        <w:t xml:space="preserve">не </w:t>
      </w:r>
      <w:r>
        <w:rPr>
          <w:b/>
        </w:rPr>
        <w:t>равны</w:t>
      </w:r>
      <w:r w:rsidR="00050FE8" w:rsidRPr="00050FE8">
        <w:rPr>
          <w:b/>
        </w:rPr>
        <w:t>.</w:t>
      </w:r>
    </w:p>
    <w:p w:rsidR="000D33BF" w:rsidRDefault="000D33BF">
      <w:pPr>
        <w:spacing w:before="5"/>
        <w:rPr>
          <w:b/>
          <w:sz w:val="16"/>
        </w:rPr>
      </w:pPr>
    </w:p>
    <w:p w:rsidR="00167973" w:rsidRDefault="00167973">
      <w:pPr>
        <w:ind w:left="222"/>
      </w:pPr>
    </w:p>
    <w:p w:rsidR="00144643" w:rsidRDefault="00144643">
      <w:pPr>
        <w:ind w:left="222"/>
      </w:pPr>
    </w:p>
    <w:p w:rsidR="00144643" w:rsidRDefault="00144643">
      <w:pPr>
        <w:ind w:left="222"/>
      </w:pPr>
    </w:p>
    <w:p w:rsidR="000D33BF" w:rsidRDefault="00D105B4">
      <w:pPr>
        <w:ind w:left="222"/>
      </w:pPr>
      <w:r>
        <w:lastRenderedPageBreak/>
        <w:t>Через ТТЕСТ</w:t>
      </w:r>
    </w:p>
    <w:p w:rsidR="000D33BF" w:rsidRDefault="00144643">
      <w:pPr>
        <w:spacing w:before="5"/>
        <w:rPr>
          <w:sz w:val="16"/>
        </w:rPr>
      </w:pPr>
      <w:r>
        <w:rPr>
          <w:noProof/>
        </w:rPr>
        <w:drawing>
          <wp:inline distT="0" distB="0" distL="0" distR="0" wp14:anchorId="0BF75B97" wp14:editId="280B6BD2">
            <wp:extent cx="6153150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BF" w:rsidRDefault="000D33BF">
      <w:pPr>
        <w:rPr>
          <w:sz w:val="17"/>
        </w:rPr>
      </w:pPr>
    </w:p>
    <w:p w:rsidR="00144643" w:rsidRDefault="00144643">
      <w:pPr>
        <w:ind w:left="222"/>
      </w:pPr>
      <w:r>
        <w:t>Тип 3, так как дисперсии не равны.</w:t>
      </w:r>
    </w:p>
    <w:p w:rsidR="000D33BF" w:rsidRDefault="00D105B4">
      <w:pPr>
        <w:ind w:left="222"/>
      </w:pPr>
      <w:r>
        <w:t>p-value совпадает с первым способом, – вывод тот же самый.</w:t>
      </w:r>
    </w:p>
    <w:p w:rsidR="000D33BF" w:rsidRDefault="000D33BF">
      <w:pPr>
        <w:rPr>
          <w:sz w:val="25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194"/>
        <w:gridCol w:w="1194"/>
      </w:tblGrid>
      <w:tr w:rsidR="00144643" w:rsidRPr="00144643" w:rsidTr="00144643">
        <w:trPr>
          <w:trHeight w:val="288"/>
        </w:trPr>
        <w:tc>
          <w:tcPr>
            <w:tcW w:w="960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i/>
                <w:iCs/>
                <w:sz w:val="17"/>
              </w:rPr>
            </w:pPr>
            <w:r w:rsidRPr="00144643">
              <w:rPr>
                <w:i/>
                <w:iCs/>
                <w:sz w:val="17"/>
              </w:rPr>
              <w:t> </w:t>
            </w:r>
          </w:p>
        </w:tc>
        <w:tc>
          <w:tcPr>
            <w:tcW w:w="1194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i/>
                <w:iCs/>
                <w:sz w:val="17"/>
              </w:rPr>
            </w:pPr>
            <w:r w:rsidRPr="00144643">
              <w:rPr>
                <w:i/>
                <w:iCs/>
                <w:sz w:val="17"/>
              </w:rPr>
              <w:t>Переменная 1</w:t>
            </w:r>
          </w:p>
        </w:tc>
        <w:tc>
          <w:tcPr>
            <w:tcW w:w="1194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i/>
                <w:iCs/>
                <w:sz w:val="17"/>
              </w:rPr>
            </w:pPr>
            <w:r w:rsidRPr="00144643">
              <w:rPr>
                <w:i/>
                <w:iCs/>
                <w:sz w:val="17"/>
              </w:rPr>
              <w:t>Переменная 2</w:t>
            </w:r>
          </w:p>
        </w:tc>
      </w:tr>
      <w:tr w:rsidR="00144643" w:rsidRPr="00144643" w:rsidTr="00144643">
        <w:trPr>
          <w:trHeight w:val="288"/>
        </w:trPr>
        <w:tc>
          <w:tcPr>
            <w:tcW w:w="960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sz w:val="17"/>
              </w:rPr>
            </w:pPr>
            <w:r w:rsidRPr="00144643">
              <w:rPr>
                <w:sz w:val="17"/>
              </w:rPr>
              <w:t>Среднее</w:t>
            </w:r>
          </w:p>
        </w:tc>
        <w:tc>
          <w:tcPr>
            <w:tcW w:w="1194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sz w:val="17"/>
              </w:rPr>
            </w:pPr>
            <w:r w:rsidRPr="00144643">
              <w:rPr>
                <w:sz w:val="17"/>
              </w:rPr>
              <w:t>5,330138</w:t>
            </w:r>
          </w:p>
        </w:tc>
        <w:tc>
          <w:tcPr>
            <w:tcW w:w="1194" w:type="dxa"/>
            <w:noWrap/>
            <w:hideMark/>
          </w:tcPr>
          <w:p w:rsidR="00144643" w:rsidRPr="00144643" w:rsidRDefault="00144643" w:rsidP="00144643">
            <w:pPr>
              <w:spacing w:before="5"/>
              <w:rPr>
                <w:sz w:val="17"/>
              </w:rPr>
            </w:pPr>
            <w:r w:rsidRPr="00144643">
              <w:rPr>
                <w:sz w:val="17"/>
              </w:rPr>
              <w:t>5,389357</w:t>
            </w:r>
          </w:p>
        </w:tc>
      </w:tr>
    </w:tbl>
    <w:p w:rsidR="000D33BF" w:rsidRDefault="000D33BF">
      <w:pPr>
        <w:spacing w:before="5"/>
        <w:rPr>
          <w:sz w:val="17"/>
        </w:rPr>
      </w:pPr>
    </w:p>
    <w:p w:rsidR="00D105B4" w:rsidRDefault="00D105B4" w:rsidP="00D105B4">
      <w:pPr>
        <w:spacing w:before="56" w:line="276" w:lineRule="auto"/>
        <w:ind w:left="222" w:right="499"/>
      </w:pPr>
      <w:r>
        <w:t>Исходя из полученных средних, можем предположить, что среднее в первой ген совокупности меньше, чем во второй.</w:t>
      </w:r>
    </w:p>
    <w:p w:rsidR="000D33BF" w:rsidRDefault="00D105B4" w:rsidP="00D105B4">
      <w:pPr>
        <w:spacing w:before="56" w:line="276" w:lineRule="auto"/>
        <w:ind w:left="222" w:right="499"/>
      </w:pPr>
      <w:r>
        <w:t>Н0 : µ1=µ2</w:t>
      </w:r>
    </w:p>
    <w:p w:rsidR="000D33BF" w:rsidRDefault="000D33BF">
      <w:pPr>
        <w:spacing w:before="11"/>
        <w:rPr>
          <w:sz w:val="19"/>
        </w:rPr>
      </w:pPr>
    </w:p>
    <w:p w:rsidR="000D33BF" w:rsidRDefault="00D105B4">
      <w:pPr>
        <w:spacing w:before="1" w:line="453" w:lineRule="auto"/>
        <w:ind w:left="222" w:right="5496"/>
      </w:pPr>
      <w:r>
        <w:t xml:space="preserve">Н1 : µ1&lt;µ2 – односторонняя альтернатива </w:t>
      </w:r>
    </w:p>
    <w:p w:rsidR="00144643" w:rsidRDefault="00144643">
      <w:pPr>
        <w:spacing w:before="1" w:line="453" w:lineRule="auto"/>
        <w:ind w:left="222" w:right="5496"/>
      </w:pPr>
      <w:r w:rsidRPr="00144643">
        <w:drawing>
          <wp:inline distT="0" distB="0" distL="0" distR="0">
            <wp:extent cx="28194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BF" w:rsidRDefault="000D33BF">
      <w:pPr>
        <w:spacing w:before="4"/>
        <w:rPr>
          <w:sz w:val="6"/>
        </w:rPr>
      </w:pPr>
    </w:p>
    <w:p w:rsidR="00144643" w:rsidRDefault="00144643">
      <w:pPr>
        <w:spacing w:before="4"/>
        <w:rPr>
          <w:sz w:val="6"/>
        </w:rPr>
      </w:pPr>
    </w:p>
    <w:tbl>
      <w:tblPr>
        <w:tblStyle w:val="a5"/>
        <w:tblW w:w="4572" w:type="dxa"/>
        <w:tblLook w:val="04A0" w:firstRow="1" w:lastRow="0" w:firstColumn="1" w:lastColumn="0" w:noHBand="0" w:noVBand="1"/>
      </w:tblPr>
      <w:tblGrid>
        <w:gridCol w:w="3192"/>
        <w:gridCol w:w="1380"/>
      </w:tblGrid>
      <w:tr w:rsidR="00D105B4" w:rsidRPr="001A63B6" w:rsidTr="00144643">
        <w:trPr>
          <w:trHeight w:val="288"/>
        </w:trPr>
        <w:tc>
          <w:tcPr>
            <w:tcW w:w="3192" w:type="dxa"/>
            <w:noWrap/>
            <w:hideMark/>
          </w:tcPr>
          <w:p w:rsidR="00D105B4" w:rsidRPr="001A63B6" w:rsidRDefault="00D105B4" w:rsidP="00837F42">
            <w:pPr>
              <w:rPr>
                <w:b/>
                <w:sz w:val="20"/>
              </w:rPr>
            </w:pPr>
            <w:r w:rsidRPr="001A63B6">
              <w:rPr>
                <w:b/>
                <w:sz w:val="20"/>
              </w:rPr>
              <w:t>P(T&lt;=t) одностороннее</w:t>
            </w:r>
          </w:p>
        </w:tc>
        <w:tc>
          <w:tcPr>
            <w:tcW w:w="1380" w:type="dxa"/>
            <w:noWrap/>
            <w:hideMark/>
          </w:tcPr>
          <w:p w:rsidR="00D105B4" w:rsidRPr="001A63B6" w:rsidRDefault="00D105B4" w:rsidP="00837F42">
            <w:pPr>
              <w:rPr>
                <w:b/>
                <w:sz w:val="20"/>
              </w:rPr>
            </w:pPr>
            <w:r w:rsidRPr="001A63B6">
              <w:rPr>
                <w:b/>
                <w:sz w:val="20"/>
              </w:rPr>
              <w:t>0,0</w:t>
            </w:r>
            <w:r w:rsidR="00144643">
              <w:rPr>
                <w:b/>
                <w:sz w:val="20"/>
              </w:rPr>
              <w:t>14803</w:t>
            </w:r>
          </w:p>
        </w:tc>
      </w:tr>
    </w:tbl>
    <w:p w:rsidR="000D33BF" w:rsidRDefault="000D33BF">
      <w:pPr>
        <w:spacing w:before="3"/>
        <w:rPr>
          <w:sz w:val="20"/>
        </w:rPr>
      </w:pPr>
    </w:p>
    <w:p w:rsidR="000D33BF" w:rsidRDefault="00D105B4">
      <w:pPr>
        <w:pStyle w:val="a3"/>
        <w:spacing w:line="273" w:lineRule="auto"/>
        <w:ind w:left="4081" w:right="103" w:hanging="3853"/>
      </w:pPr>
      <w:r>
        <w:t>0,0</w:t>
      </w:r>
      <w:r w:rsidR="00144643">
        <w:t>14803</w:t>
      </w:r>
      <w:bookmarkStart w:id="0" w:name="_GoBack"/>
      <w:bookmarkEnd w:id="0"/>
      <w:r w:rsidRPr="00D105B4">
        <w:t xml:space="preserve"> </w:t>
      </w:r>
      <w:r w:rsidR="00167973" w:rsidRPr="00167973">
        <w:t>&lt;</w:t>
      </w:r>
      <w:r w:rsidRPr="00D105B4">
        <w:t xml:space="preserve"> </w:t>
      </w:r>
      <w:r>
        <w:t>0,0</w:t>
      </w:r>
      <w:r w:rsidR="00167973">
        <w:t>5</w:t>
      </w:r>
      <w:r w:rsidRPr="00D105B4">
        <w:t>,</w:t>
      </w:r>
      <w:r>
        <w:t xml:space="preserve"> </w:t>
      </w:r>
      <w:r w:rsidR="00167973">
        <w:t>принимаем гипотезу Н1- среднее в первой ген. Совокупности меньше среднего во второй с вер 95%</w:t>
      </w:r>
    </w:p>
    <w:sectPr w:rsidR="000D33BF">
      <w:pgSz w:w="11910" w:h="16840"/>
      <w:pgMar w:top="108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A18D5"/>
    <w:multiLevelType w:val="multilevel"/>
    <w:tmpl w:val="BBC02B0E"/>
    <w:lvl w:ilvl="0">
      <w:start w:val="1"/>
      <w:numFmt w:val="decimal"/>
      <w:lvlText w:val="%1"/>
      <w:lvlJc w:val="left"/>
      <w:pPr>
        <w:ind w:left="1223" w:hanging="28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23" w:hanging="282"/>
        <w:jc w:val="right"/>
      </w:pPr>
      <w:rPr>
        <w:rFonts w:ascii="Calibri" w:eastAsia="Calibri" w:hAnsi="Calibri" w:cs="Calibri" w:hint="default"/>
        <w:spacing w:val="-4"/>
        <w:w w:val="100"/>
        <w:sz w:val="20"/>
        <w:szCs w:val="20"/>
        <w:lang w:val="ru-RU" w:eastAsia="ru-RU" w:bidi="ru-RU"/>
      </w:rPr>
    </w:lvl>
    <w:lvl w:ilvl="2">
      <w:numFmt w:val="bullet"/>
      <w:lvlText w:val="•"/>
      <w:lvlJc w:val="left"/>
      <w:pPr>
        <w:ind w:left="2160" w:hanging="28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01" w:hanging="28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42" w:hanging="28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82" w:hanging="28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23" w:hanging="28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64" w:hanging="28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04" w:hanging="282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3BF"/>
    <w:rsid w:val="00050FE8"/>
    <w:rsid w:val="000D33BF"/>
    <w:rsid w:val="00144643"/>
    <w:rsid w:val="00167973"/>
    <w:rsid w:val="001A63B6"/>
    <w:rsid w:val="00286F12"/>
    <w:rsid w:val="00D1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8486"/>
  <w15:docId w15:val="{D8C11678-3B38-4A6D-867E-75E0FC00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05B4"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2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  <w:pPr>
      <w:spacing w:before="1"/>
      <w:ind w:left="582" w:hanging="360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</w:pPr>
  </w:style>
  <w:style w:type="table" w:styleId="a5">
    <w:name w:val="Table Grid"/>
    <w:basedOn w:val="a1"/>
    <w:uiPriority w:val="39"/>
    <w:rsid w:val="001A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Никитин Роман Андреевич</cp:lastModifiedBy>
  <cp:revision>4</cp:revision>
  <dcterms:created xsi:type="dcterms:W3CDTF">2020-05-21T07:18:00Z</dcterms:created>
  <dcterms:modified xsi:type="dcterms:W3CDTF">2020-05-21T08:29:00Z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2020-05-21T00:00:00Z</vt:filetime>
  </property>
</Properties>
</file>