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Дополнение к техническому отчёту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8"/>
        </w:rPr>
        <w:t>1. Краткое описание архитектуры проекта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 w:val="0"/>
          <w:sz w:val="24"/>
        </w:rPr>
        <w:t>Проект построен как воспроизводимая система сравнения средств преобразования PDF. Исходные документы и эталонная разметка Ground Truth образуют неизменяемый тестовый корпус. Для каждого из десяти инструментов реализован адаптер с единым интерфейсом: он получает PDF и приводит ответ локальной библиотеки или облачного сервиса к общей структуре StandardizedDocument. В этой структуре хранятся текст, таблицы, математические и химические формулы, изображения, диаграммы и координаты объектов на страницах.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 w:val="0"/>
          <w:sz w:val="24"/>
        </w:rPr>
        <w:t>Модуль benchmark сопоставляет стандартизированные результаты с Ground Truth и рассчитывает оценки по шести категориям. Версионированный кэш хранит результаты обработки и позволяет повторять анализ без повторного запуска тяжёлых моделей и облачных API. Отдельный модуль формирует таблицы, графики, error analysis и итоговый отчёт. Web-приложение на FastAPI повторно использует те же адаптеры: пользователь загружает PDF, выбирает converter, получает статус задания и может скачать TXT или JSON.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8"/>
        </w:rPr>
        <w:t>2. Что и как делается в проекте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 w:val="0"/>
          <w:sz w:val="24"/>
        </w:rPr>
        <w:t>В исследовании используются пять технических PDF объёмом 98 страниц. В них заранее выделены 40 эталонных объектов: фрагменты обычного текста, таблицы, математические и химические формулы, изображения и диаграммы. Каждый PDF обрабатывается каждым из десяти инструментов: пятью локальными библиотеками и пятью облачными сервисами.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 w:val="0"/>
          <w:sz w:val="24"/>
        </w:rPr>
        <w:t>После обработки ответы приводятся к общему формату и автоматически сопоставляются с эталонными объектами по категории, содержимому и расположению на странице. На этой основе рассчитываются количественные показатели качества, а затем строятся сравнения по инструментам, типам контента и документам. В отчёте анализируются не только сводные баллы, но и специализация каждого инструмента, характерные ошибки, скорость, стоимость и требования к ресурсам. Для повторяемости все результаты, промежуточные данные и сформированные TXT-файлы сохраняются в проекте.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Дополнение: архитектура и процесс работы PDF Converter Benchmark</dc:title>
  <dc:subject/>
  <dc:creator>PDF Converter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