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7F1D10" w:rsidRDefault="002A7B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</w:t>
      </w:r>
    </w:p>
    <w:p w:rsidR="007F1D10" w:rsidRDefault="002A7B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приказу управления инвестиций и инноваций </w:t>
      </w:r>
    </w:p>
    <w:p w:rsidR="007F1D10" w:rsidRDefault="002A7B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Липецкой области «Об утверждении Регламента сопровождения инвестиционных проектов,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реализуемых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(или) планируемых к реализации</w:t>
      </w:r>
    </w:p>
    <w:p w:rsidR="007F1D10" w:rsidRDefault="002A7B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территории Липецкой области по принципу</w:t>
      </w:r>
    </w:p>
    <w:p w:rsidR="007F1D10" w:rsidRDefault="002A7B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«одного окна»»</w:t>
      </w:r>
    </w:p>
    <w:p w:rsidR="007F1D10" w:rsidRDefault="007F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РЕГЛАМЕНТ</w:t>
      </w: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СОПРОВОЖДЕНИЯ ИНВЕСТИЦИОННЫХ ПРОЕКТОВ, РЕАЛИЗУЕМЫХ И (ИЛИ)</w:t>
      </w: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ПЛАНИРУЕМЫХ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 РЕАЛИЗАЦИИ НА ТЕРРИТОРИИ ЛИПЕЦКОЙ ОБЛАСТИ</w:t>
      </w: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ПРИНЦИПУ "ОДНОГО ОКНА"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Общие положения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Регламент сопровождения инвестиционных проектов, реализуемых и (или) планируемых к реализации на территории Липецкой области по принципу </w:t>
      </w:r>
      <w:r>
        <w:rPr>
          <w:rFonts w:ascii="Times New Roman" w:eastAsia="Times New Roman" w:hAnsi="Times New Roman" w:cs="Times New Roman"/>
          <w:sz w:val="24"/>
          <w:szCs w:val="24"/>
        </w:rPr>
        <w:t>"одного окна", далее Регламент, устанавливает процедуру взаимодействия между инвестором и администрацией Липецкой области по принципу "одного окна" от стадии поступления инвестиционного предложения до окончания реализации инвестиционного проекта, сроки и п</w:t>
      </w:r>
      <w:r>
        <w:rPr>
          <w:rFonts w:ascii="Times New Roman" w:eastAsia="Times New Roman" w:hAnsi="Times New Roman" w:cs="Times New Roman"/>
          <w:sz w:val="24"/>
          <w:szCs w:val="24"/>
        </w:rPr>
        <w:t>оследовательность действий уполномоченного органа по оказанию консультационного, информационного, юридического, административного и организационного содействия субъектам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предпринимательской и инвестиционной деятельности,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реализующим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(или) планирующим реа</w:t>
      </w:r>
      <w:r>
        <w:rPr>
          <w:rFonts w:ascii="Times New Roman" w:eastAsia="Times New Roman" w:hAnsi="Times New Roman" w:cs="Times New Roman"/>
          <w:sz w:val="24"/>
          <w:szCs w:val="24"/>
        </w:rPr>
        <w:t>лизацию инвестиционных проектов на территории Липецкой области (далее - сопровождение инвестиционных проектов).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Регламент разработан в соответствии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Федеральным 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законом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  25   февраля   1999   года   N   39-ФЗ  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   инвестиционной   деятельности в Российской Федерации, осуществляемой в форме капитальных вложений";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Законом Липецкой области от 25.12.2006 N 10-ОЗ  "Стратегия социально-экономического развития Липецкой области на период до 2024 года";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Положением об управлении инвестиций и инноваций Липецкой области, утвержденным распоряжением администрации Липецкой области от 08.08.2019 N 499-р.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Для целей настоящего Регламента применяются следующие термины и понятия: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инвестиции - денежные средства,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ценные бумаги, иное имущество, в том числе имущественные права,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права, имеющие денежную оценку, вкладываемые в объекты предпринимательской и (или) иной деятельности в целях получения прибыли и (или) достижения иного полезного эффекта;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инвестиционная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деятельность - вложение инвестиций и осуществление практических действий в целях получения прибыли и (или) достижения иного полезного эффекта;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капитальные вложения - инвестиции в основной капитал (основные средства), в том числе затраты на новое строительс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тво, реконструкцию и техническое перевооружение действующих предприятий, приобретение машин, оборудования, инструмента, инвентаря, проектно-изыскательские работы и другие затраты;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инвестор - хозяйствующий субъект, осуществляющий капитальные вложения на 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ритории Липецкой  области  с  использованием  собственных  и (или)  привлеченных  сре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дств  в 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оответствии       с законодательством Российской Федерации;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заявка инвестора на сопровождение (далее – заявка) - письменное обращение (обращение по электронной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очте) инвестора в специализированную организацию, выражающее намерение инвестора по реализации инвестиционного проекта на территории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инвестиционный проект (далее - проект) - комплекс мероприятий, осуществляемых инвестором, включающий,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ограничивая, проектирование, строительство, приобретение технологий и оборудования, подготовку кадров, направленных на создание нового или модернизацию, реконструкцию существующего производства товаров (работ, услуг) с целью получения им экономической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ыгоды;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уполномоченный орган – управление инвестиций и инноваций Липецкой области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специализированная организация - агентство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инвестиционного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развития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сопровождение инвестиционного проекта (далее - сопровождение) - оказание специализированн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организацией помощи инвестору в виде информационно-консультационного содействия, подбора инвестиционной площадки при реализации инвестором проекта на территории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инвестиционная площадка - часть территории Липецкой области (свободные зем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ельные участки, свободные производственные площади предприятий Липецкой области, имущественные комплексы, территории индустриальных парков и технопарков), обеспеченная полным или частичным объемом необходимой инфраструктуры (газ, водоснабжение, электроэнер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гия, очистные сооружения и т.п.), предназначенная для целевого освоения и перспективного развития, на которой реализуются или планируются к реализации проекты;</w:t>
      </w:r>
      <w:proofErr w:type="gramEnd"/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соглашение о сопровождении инвестиционного проекта (далее - соглашение) – соглашение, между инве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стором и специализированной организацией, определяющее права, обязанности и ответственность сторон по процессу сопровождения, а также порядок и условия сопровождения, заключаемое в письменной форме;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инвестиционный портал - специализированный интернет-порта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 об инвестиционной деятельности Липецкой области (http://investinlipetsk.ru/).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Регламент направлен на решение следующих задач: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1.4.1. Унификацию порядка взаимодействия инвесторов, реализующих и (или) планирующих реализацию проектов на территории Липе</w:t>
      </w:r>
      <w:r>
        <w:rPr>
          <w:rFonts w:ascii="Times New Roman" w:eastAsia="Times New Roman" w:hAnsi="Times New Roman" w:cs="Times New Roman"/>
          <w:sz w:val="24"/>
          <w:szCs w:val="24"/>
        </w:rPr>
        <w:t>цкой области с органами государственной власти Липецкой области.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1.4.2. Снижение административных барьеров при реализации проектов на территории Липецкой области, прозрачность процедуры взаимодействия по сопровождению проектов.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 Сопровождение инвестици</w:t>
      </w:r>
      <w:r>
        <w:rPr>
          <w:rFonts w:ascii="Times New Roman" w:eastAsia="Times New Roman" w:hAnsi="Times New Roman" w:cs="Times New Roman"/>
          <w:sz w:val="24"/>
          <w:szCs w:val="24"/>
        </w:rPr>
        <w:t>онного проекта осуществляется на безвозмездной основе.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Не подлежат сопровождению в рамках настоящего Регламента следующие инвестиционные проекты: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порядок разработки, рассмотрения, согласования, утверждения и сопровождения которых установлен федеральными и региональными нормативными правовыми актами;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финансируемые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 за счет бюджетных средств;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связанные с вложением инвестиций в банки, иные кредитные, а также страховые организации;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связанные с привлечением денежных сре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дств гр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аждан и юридических лиц для долевого строительства многоквартирных домов и (или) иных объектов недвижимости.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Информ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ация о специализированном органе</w:t>
      </w:r>
    </w:p>
    <w:p w:rsidR="007F1D10" w:rsidRDefault="007F1D1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Место нахождения (почтовый адрес):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399071, Липецкая область,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Грязинский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район, село Казинка, территория ОЭЗ ППТ Липецк, здание 2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Контактная  информация: 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p://investinlipetsk.ru/square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http://www.instagram.com/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invest_in_lipetsk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телефон: +7 4742 (51-53-68).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 Официальный интернет-сайт администрации района -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http://i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nvestinlipetsk.ru/</w:t>
        </w:r>
      </w:hyperlink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tabs>
          <w:tab w:val="left" w:pos="3324"/>
        </w:tabs>
        <w:spacing w:after="0" w:line="240" w:lineRule="auto"/>
        <w:ind w:right="305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1D10" w:rsidRDefault="002A7B29">
      <w:pPr>
        <w:widowControl w:val="0"/>
        <w:tabs>
          <w:tab w:val="left" w:pos="332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Порядок рассмотрения заявки. Заключение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оглашения</w:t>
      </w:r>
      <w:proofErr w:type="spellEnd"/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3.1. Заявка регистрируется в специализированной организации в день ее поступления по установленной форме (приложение №1). К заявке прилагается </w:t>
      </w:r>
      <w:hyperlink w:anchor="1fob9te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резюме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проекта по форме (приложение № 2).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 Рассмотрение заявки осуществляется не позднее 10 (десяти) рабочих дней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 даты регистрации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1D10" w:rsidRDefault="002A7B2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Специализированная организация осуществляет следующие действия: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уведомляет инвестора о получении заявки;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сообщает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ополнительные контактные данные;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запрашивает информацию о контактном лице со стороны инвестора в случае её отсутствия;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необходимости запрашивает недостающую информацию о проекте;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определяет дату личной встречи с представителем инвестора.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3.4.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итогам рассмотрения заявки специализированная организация в течение 5 (пяти) рабочих дней заключает соглашение с инвестором.</w:t>
      </w: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F1D10" w:rsidRDefault="002A7B2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1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Порядок сопровождения</w:t>
      </w: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2A7B2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Информационно-консультационное содействие инвестору</w:t>
      </w: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3"/>
        </w:tabs>
        <w:spacing w:before="1" w:after="0" w:line="240" w:lineRule="auto"/>
        <w:ind w:right="119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Специализированная организация в рамках компетенции предоставляет инвестору по его запросу следующую информацию, которая имеет значение для реализации проекта: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160" w:right="118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о размерах тарифов, ставок платежей и порядке определения платы по регулируемым тарифам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стественных монополий, утвержденные нормативными правовыми актами федеральных органов исполнительной власти, органами исполнительной власти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4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данные, полученные от органов местного самоуправления муниципальных образований Липецкой области в целях реализации проекта;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160" w:right="122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положения документов, регулирующих порядок получения технических условий и порядок заключения договоров на технологическое присоеди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нение;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4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 о мерах государственной и региональной поддержки, предусмотренных федеральным законодательством, законодательством Липецкой области, нормативными правовыми актами органов местного самоуправления муниципальных образований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5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 о ставках налогов и сборов, акцизов, режимах налогообложения, предусмотренных федеральным законодательством, законодательством Липецкой области, нормативными правовыми актами органов местного самоуправления муниципальных образований Липецкой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3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 об особых режимах деятельности юридических лиц, установленных действующим законодательством на территории Липецкой области и ее отдельных административно-территориальных образованиях;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8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об уровне  кадрового  потенциала Липецкой области и ее муниципальных  образований, о наличии в Липецкой области свободных трудовых ресурсов и динамике их развития;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6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об уровне обеспеченности Липецкой области и отдельных ее территорий инженерн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транспортной и социальной инфраструктурой;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15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о перечне документов, сроках, порядке и месте получения необходимых для реализации проекта согласований и разрешений в соответствии с федеральным законодательством, законодательством Липецкой области, нормативными правовыми актами органов местного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амоуправления муниципальных образований Липецкой области;</w:t>
      </w:r>
    </w:p>
    <w:p w:rsidR="007F1D10" w:rsidRDefault="002A7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" w:right="121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сведения, содержащиеся в открытых источниках информации, доступные неограниченному кругу лиц и относящиеся к реализации проектов на территории Липецкой области.</w:t>
      </w: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Информация предоставляется путем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направления инвестору официального ответа в течение 3 (трех) рабочих дней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даты поступления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соответствующего запроса.</w:t>
      </w: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5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возникновения вопросов, не входящих в компетенцию специализированной организации, специализированная организация обращается в 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полномоченный орган с соответствующим запросом. При этом срок направления ответа инвестору может быть увеличен до 10 рабочих дней.</w:t>
      </w:r>
    </w:p>
    <w:p w:rsidR="007F1D10" w:rsidRDefault="002A7B2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Подбор инвестиционной площадки</w:t>
      </w: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118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Специализированная организация осуществляет подбор инвестиционной площадки по запросу Инвестора  на основании данных, представленных в заявке на сопровождение.</w:t>
      </w: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118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Специализированная   организация   предоставляет   инвестору   сведения об   инвестиционных   пл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ощадках   в течение 3 (трех) рабочих дней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даты поступления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соответствующего запроса.</w:t>
      </w:r>
    </w:p>
    <w:p w:rsidR="007F1D10" w:rsidRDefault="002A7B29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right="118" w:firstLine="5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рассмотрения инвестором вариантов инвестиционных площадок специализированная организация согласовывает с собственниками/арендаторами указанных площадок посещение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инвестором.</w:t>
      </w: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1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Регламенту сопровождения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инвестиционных проектов,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реализуемых и (или)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планируемых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 реализации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территории Липецкой области по принципу "одного окна"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Заявка на сопровождение инвестиционного проекта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4592"/>
        <w:gridCol w:w="1560"/>
      </w:tblGrid>
      <w:tr w:rsidR="007F1D10">
        <w:tc>
          <w:tcPr>
            <w:tcW w:w="9068" w:type="dxa"/>
            <w:gridSpan w:val="3"/>
          </w:tcPr>
          <w:p w:rsidR="007F1D10" w:rsidRDefault="002A7B2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обращения:</w:t>
            </w:r>
          </w:p>
        </w:tc>
      </w:tr>
      <w:tr w:rsidR="007F1D10">
        <w:tc>
          <w:tcPr>
            <w:tcW w:w="2916" w:type="dxa"/>
            <w:vMerge w:val="restart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Иинвестор</w:t>
            </w:r>
            <w:proofErr w:type="spellEnd"/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юридического лица (индивидуального предпринимателя)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государственной регистрации в качестве юридического лица (индивидуального предпринимателя)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вид деятельности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Почтовый адрес, телефон, факс, 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юридического лица (должность, фамилия, имя, отчество полностью)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опыта в реализации инвестиционных проектов (да/нет), если да, то какой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просроченной (неурегулированной) задолженности по денежным обязательствам в бюджеты бюджетной системы Российской Федерации (да/нет)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формы получаемой государственной поддержки инвестиционной деятельности (при наличии)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просроченной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задолженности по ранее предоставленным видам государственной поддержки инвестиционной деятельности (да/нет)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и краткое описание инвестиционного проекта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проекта (планируемый к реализации инвестиционный проект, реализуемый инвестиционный проект)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Степень готовности инвестиционного проекта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 w:val="restart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Прединвестиционная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фаза</w:t>
            </w: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Завершение маркетинговых исследований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технологии и поставщиков технологического и вспомогательного оборудования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подрядчиков для строительства и монтажа оборудования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заказчиков и поставщиков сырья и материалов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места производственной площадки/земельного участка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утвержденного бизнес-плана (технико-экономического обоснования)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нет/да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документально подтвержденных источников финансирования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нет/да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проектной документации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положительного заключения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экспертизы проектной документации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/процент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выполнения</w:t>
            </w:r>
          </w:p>
        </w:tc>
      </w:tr>
      <w:tr w:rsidR="007F1D10">
        <w:tc>
          <w:tcPr>
            <w:tcW w:w="2916" w:type="dxa"/>
            <w:vMerge w:val="restart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Инвестиционная фаза</w:t>
            </w: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Землеустроительные, кадастровые работы, регистрация или перерегистрация прав на земельные участки и объекты недвижимости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разрешения на строительство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нет/да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Производство ландшафтных работ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Прокладка инфраструктурных коммуникаций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Производство строительно-монтажных работ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технологического и вспомогательного оборудования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к объектам транспортно-энергетической инфраструктуры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Пусконаладочные работы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разрешения на ввод объекта в эксплуатацию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нет/да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и обучение персонала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Финансирование инвестиционного проекта</w:t>
            </w: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/процент выполнения</w:t>
            </w:r>
          </w:p>
        </w:tc>
      </w:tr>
      <w:tr w:rsidR="007F1D10">
        <w:tc>
          <w:tcPr>
            <w:tcW w:w="7508" w:type="dxa"/>
            <w:gridSpan w:val="2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Согласие на обработку данных и передачу сведений в органы исполнительной власти администрации Липецкой области</w:t>
            </w:r>
          </w:p>
        </w:tc>
        <w:tc>
          <w:tcPr>
            <w:tcW w:w="4592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да/нет</w:t>
            </w:r>
          </w:p>
        </w:tc>
      </w:tr>
      <w:tr w:rsidR="007F1D10">
        <w:tc>
          <w:tcPr>
            <w:tcW w:w="2916" w:type="dxa"/>
            <w:vMerge w:val="restart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данные ответственного лица от инициатора инвестиционного проекта (инвестора) для оперативного взаимодействия</w:t>
            </w: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(полностью)</w:t>
            </w:r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1D10">
        <w:tc>
          <w:tcPr>
            <w:tcW w:w="2916" w:type="dxa"/>
            <w:vMerge/>
          </w:tcPr>
          <w:p w:rsidR="007F1D10" w:rsidRDefault="007F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</w:tcPr>
          <w:p w:rsidR="007F1D10" w:rsidRDefault="002A7B2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Телефон, факс, 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skype</w:t>
            </w:r>
            <w:proofErr w:type="spellEnd"/>
          </w:p>
        </w:tc>
        <w:tc>
          <w:tcPr>
            <w:tcW w:w="1560" w:type="dxa"/>
          </w:tcPr>
          <w:p w:rsidR="007F1D10" w:rsidRDefault="007F1D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Дата составления заявки _______________________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Подтверждаю достоверность и полноту представленных сведений.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Руководитель ___________________  _____________________________________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(подпись)              (расшифровка подписи)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М.П.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2et92p0" w:colFirst="0" w:colLast="0"/>
      <w:bookmarkEnd w:id="3"/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2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Регламенту сопровождения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инвестиционных проектов,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реализуемых и (или)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планируемых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 реализации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территории Липецкой области</w:t>
      </w:r>
    </w:p>
    <w:p w:rsidR="007F1D10" w:rsidRDefault="002A7B2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принципу "одного окна"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1fob9te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РЕЗЮМЕ</w:t>
      </w:r>
    </w:p>
    <w:p w:rsidR="007F1D10" w:rsidRDefault="002A7B2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ИНВЕСТИЦИОННОГО ПРОЕКТА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Резюме инвестиционного проекта содержит следующие разделы: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Информация об инвесторе: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наименование, организационно-правовая форма, местоположение, краткая история претендента;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основные направления деятельности претендента;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опыт работы претендента в </w:t>
      </w:r>
      <w:r>
        <w:rPr>
          <w:rFonts w:ascii="Times New Roman" w:eastAsia="Times New Roman" w:hAnsi="Times New Roman" w:cs="Times New Roman"/>
          <w:sz w:val="24"/>
          <w:szCs w:val="24"/>
        </w:rPr>
        <w:t>отрасли, в которой планируется реализация инвестиционного проекта.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инвестиционного проекта: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краткое описание инвестиционного проекта;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общая стоимость инвестиционного проекта;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 планируемой к производству (предоставлению) заявит</w:t>
      </w:r>
      <w:r>
        <w:rPr>
          <w:rFonts w:ascii="Times New Roman" w:eastAsia="Times New Roman" w:hAnsi="Times New Roman" w:cs="Times New Roman"/>
          <w:sz w:val="24"/>
          <w:szCs w:val="24"/>
        </w:rPr>
        <w:t>елем продукции (работ, услуг);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необходимая площадь земельного участка для реализации инвестиционного проекта, способы его получения в пользование;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предполагаемые даты начала и окончания реализации инвестиционного проекта (дата выхода на проектную мощность);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этапы реализации инвестиционного проекта;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предполагаемая дата ввода объекта в эксплуатацию;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информация о предполагаемом рынке сбыта проду</w:t>
      </w:r>
      <w:r>
        <w:rPr>
          <w:rFonts w:ascii="Times New Roman" w:eastAsia="Times New Roman" w:hAnsi="Times New Roman" w:cs="Times New Roman"/>
          <w:sz w:val="24"/>
          <w:szCs w:val="24"/>
        </w:rPr>
        <w:t>кции (работ, услуг);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планируемое количество рабочих мест;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прогноз объемов производства в стоимостных и натуральных показателях до выхода на проектную мощность производства, но не менее срока окупаемости инвестиционного проекта;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информация об экологич</w:t>
      </w:r>
      <w:r>
        <w:rPr>
          <w:rFonts w:ascii="Times New Roman" w:eastAsia="Times New Roman" w:hAnsi="Times New Roman" w:cs="Times New Roman"/>
          <w:sz w:val="24"/>
          <w:szCs w:val="24"/>
        </w:rPr>
        <w:t>еской безопасности производства;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необходимость получения лицензий на планируемый вид деятельности, услуги, продукции (при необходимости).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Оценка и описание возможных рисков.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Экономическая и бюджетная эффективность проекта: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срок окупаемости проект</w:t>
      </w:r>
      <w:r>
        <w:rPr>
          <w:rFonts w:ascii="Times New Roman" w:eastAsia="Times New Roman" w:hAnsi="Times New Roman" w:cs="Times New Roman"/>
          <w:sz w:val="24"/>
          <w:szCs w:val="24"/>
        </w:rPr>
        <w:t>а, период окупаемости инвестиций;</w:t>
      </w:r>
    </w:p>
    <w:p w:rsidR="007F1D10" w:rsidRDefault="002A7B2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прогнозируемый объем ежегодных налоговых платежей в бюджеты всех уровней, млн. руб.</w:t>
      </w: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pBdr>
          <w:top w:val="single" w:sz="6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D10" w:rsidRDefault="007F1D1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7F1D10">
      <w:pgSz w:w="11906" w:h="16838"/>
      <w:pgMar w:top="425" w:right="1134" w:bottom="45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C1F"/>
    <w:multiLevelType w:val="multilevel"/>
    <w:tmpl w:val="43FA491E"/>
    <w:lvl w:ilvl="0">
      <w:start w:val="4"/>
      <w:numFmt w:val="decimal"/>
      <w:lvlText w:val="%1"/>
      <w:lvlJc w:val="left"/>
      <w:pPr>
        <w:ind w:left="1086" w:hanging="387"/>
      </w:pPr>
    </w:lvl>
    <w:lvl w:ilvl="1">
      <w:start w:val="1"/>
      <w:numFmt w:val="decimal"/>
      <w:lvlText w:val="%1.%2."/>
      <w:lvlJc w:val="left"/>
      <w:pPr>
        <w:ind w:left="1086" w:hanging="387"/>
      </w:pPr>
    </w:lvl>
    <w:lvl w:ilvl="2">
      <w:start w:val="1"/>
      <w:numFmt w:val="decimal"/>
      <w:lvlText w:val="%1.%2.%3."/>
      <w:lvlJc w:val="left"/>
      <w:pPr>
        <w:ind w:left="160" w:hanging="603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3228" w:hanging="603"/>
      </w:pPr>
    </w:lvl>
    <w:lvl w:ilvl="4">
      <w:start w:val="1"/>
      <w:numFmt w:val="bullet"/>
      <w:lvlText w:val="•"/>
      <w:lvlJc w:val="left"/>
      <w:pPr>
        <w:ind w:left="4302" w:hanging="603"/>
      </w:pPr>
    </w:lvl>
    <w:lvl w:ilvl="5">
      <w:start w:val="1"/>
      <w:numFmt w:val="bullet"/>
      <w:lvlText w:val="•"/>
      <w:lvlJc w:val="left"/>
      <w:pPr>
        <w:ind w:left="5376" w:hanging="603"/>
      </w:pPr>
    </w:lvl>
    <w:lvl w:ilvl="6">
      <w:start w:val="1"/>
      <w:numFmt w:val="bullet"/>
      <w:lvlText w:val="•"/>
      <w:lvlJc w:val="left"/>
      <w:pPr>
        <w:ind w:left="6450" w:hanging="603"/>
      </w:pPr>
    </w:lvl>
    <w:lvl w:ilvl="7">
      <w:start w:val="1"/>
      <w:numFmt w:val="bullet"/>
      <w:lvlText w:val="•"/>
      <w:lvlJc w:val="left"/>
      <w:pPr>
        <w:ind w:left="7524" w:hanging="603"/>
      </w:pPr>
    </w:lvl>
    <w:lvl w:ilvl="8">
      <w:start w:val="1"/>
      <w:numFmt w:val="bullet"/>
      <w:lvlText w:val="•"/>
      <w:lvlJc w:val="left"/>
      <w:pPr>
        <w:ind w:left="8598" w:hanging="603"/>
      </w:pPr>
    </w:lvl>
  </w:abstractNum>
  <w:abstractNum w:abstractNumId="1">
    <w:nsid w:val="28E47B6B"/>
    <w:multiLevelType w:val="multilevel"/>
    <w:tmpl w:val="19A060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1D10"/>
    <w:rsid w:val="002A7B29"/>
    <w:rsid w:val="007D4CAA"/>
    <w:rsid w:val="007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D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2" w:type="dxa"/>
        <w:left w:w="62" w:type="dxa"/>
        <w:bottom w:w="102" w:type="dxa"/>
        <w:right w:w="62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D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4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vestinlipetsk.ru/squ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vestinlipets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15600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Кызым Ирина Владимировна</dc:creator>
  <cp:lastModifiedBy>Управление инвестиций</cp:lastModifiedBy>
  <cp:revision>3</cp:revision>
  <dcterms:created xsi:type="dcterms:W3CDTF">2021-03-15T11:06:00Z</dcterms:created>
  <dcterms:modified xsi:type="dcterms:W3CDTF">2021-03-15T11:07:00Z</dcterms:modified>
</cp:coreProperties>
</file>