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55" w:rsidRDefault="0093565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935655" w:rsidRDefault="00935655">
      <w:pPr>
        <w:pStyle w:val="ConsPlusNormal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3565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35655" w:rsidRDefault="00935655">
            <w:pPr>
              <w:pStyle w:val="ConsPlusNormal"/>
            </w:pPr>
            <w:r>
              <w:t>9 декабря 2010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35655" w:rsidRDefault="00935655">
            <w:pPr>
              <w:pStyle w:val="ConsPlusNormal"/>
              <w:jc w:val="right"/>
            </w:pPr>
            <w:r>
              <w:t>N 451-ОЗ</w:t>
            </w:r>
          </w:p>
        </w:tc>
      </w:tr>
    </w:tbl>
    <w:p w:rsidR="00935655" w:rsidRDefault="0093565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35655" w:rsidRDefault="00935655">
      <w:pPr>
        <w:pStyle w:val="ConsPlusNormal"/>
        <w:jc w:val="both"/>
      </w:pPr>
    </w:p>
    <w:p w:rsidR="00935655" w:rsidRDefault="00935655">
      <w:pPr>
        <w:pStyle w:val="ConsPlusTitle"/>
        <w:jc w:val="center"/>
      </w:pPr>
      <w:r>
        <w:t>ЗАКОН</w:t>
      </w:r>
    </w:p>
    <w:p w:rsidR="00935655" w:rsidRDefault="00935655">
      <w:pPr>
        <w:pStyle w:val="ConsPlusTitle"/>
        <w:jc w:val="center"/>
      </w:pPr>
      <w:r>
        <w:t>ЛИПЕЦКОЙ ОБЛАСТИ</w:t>
      </w:r>
    </w:p>
    <w:p w:rsidR="00935655" w:rsidRDefault="00935655">
      <w:pPr>
        <w:pStyle w:val="ConsPlusTitle"/>
        <w:jc w:val="center"/>
      </w:pPr>
    </w:p>
    <w:p w:rsidR="00935655" w:rsidRDefault="00935655">
      <w:pPr>
        <w:pStyle w:val="ConsPlusTitle"/>
        <w:jc w:val="center"/>
      </w:pPr>
      <w:r>
        <w:t>О ВЗАИМОДЕЙСТВИИ ОРГАНОВ ГОСУДАРСТВЕННОЙ ВЛАСТИ</w:t>
      </w:r>
    </w:p>
    <w:p w:rsidR="00935655" w:rsidRDefault="00935655">
      <w:pPr>
        <w:pStyle w:val="ConsPlusTitle"/>
        <w:jc w:val="center"/>
      </w:pPr>
      <w:r>
        <w:t>ЛИПЕЦКОЙ ОБЛАСТИ С НЕКОММЕРЧЕСКИМИ ОРГАНИЗАЦИЯМИ</w:t>
      </w:r>
    </w:p>
    <w:p w:rsidR="00935655" w:rsidRDefault="00935655">
      <w:pPr>
        <w:pStyle w:val="ConsPlusNormal"/>
        <w:jc w:val="center"/>
      </w:pPr>
    </w:p>
    <w:p w:rsidR="00935655" w:rsidRDefault="00935655">
      <w:pPr>
        <w:pStyle w:val="ConsPlusNormal"/>
        <w:jc w:val="right"/>
      </w:pPr>
      <w:proofErr w:type="gramStart"/>
      <w:r>
        <w:t>Принят</w:t>
      </w:r>
      <w:proofErr w:type="gramEnd"/>
    </w:p>
    <w:p w:rsidR="00935655" w:rsidRDefault="00935655">
      <w:pPr>
        <w:pStyle w:val="ConsPlusNormal"/>
        <w:jc w:val="right"/>
      </w:pPr>
      <w:r>
        <w:t>Липецким областным</w:t>
      </w:r>
    </w:p>
    <w:p w:rsidR="00935655" w:rsidRDefault="00935655">
      <w:pPr>
        <w:pStyle w:val="ConsPlusNormal"/>
        <w:jc w:val="right"/>
      </w:pPr>
      <w:r>
        <w:t>Советом депутатов</w:t>
      </w:r>
    </w:p>
    <w:p w:rsidR="00935655" w:rsidRDefault="00935655">
      <w:pPr>
        <w:pStyle w:val="ConsPlusNormal"/>
        <w:jc w:val="right"/>
      </w:pPr>
      <w:r>
        <w:t>25 ноября 2010 года</w:t>
      </w:r>
    </w:p>
    <w:p w:rsidR="00935655" w:rsidRDefault="00935655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935655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935655" w:rsidRDefault="0093565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935655" w:rsidRDefault="00935655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Законов Липецкой области</w:t>
            </w:r>
            <w:proofErr w:type="gramEnd"/>
          </w:p>
          <w:p w:rsidR="00935655" w:rsidRDefault="00935655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27.05.2011 </w:t>
            </w:r>
            <w:hyperlink r:id="rId5" w:history="1">
              <w:r>
                <w:rPr>
                  <w:color w:val="0000FF"/>
                </w:rPr>
                <w:t>N 491-ОЗ</w:t>
              </w:r>
            </w:hyperlink>
            <w:r>
              <w:rPr>
                <w:color w:val="392C69"/>
              </w:rPr>
              <w:t xml:space="preserve">, от 18.06.2014 </w:t>
            </w:r>
            <w:hyperlink r:id="rId6" w:history="1">
              <w:r>
                <w:rPr>
                  <w:color w:val="0000FF"/>
                </w:rPr>
                <w:t>N 300-ОЗ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935655" w:rsidRDefault="00935655">
      <w:pPr>
        <w:pStyle w:val="ConsPlusNormal"/>
        <w:jc w:val="center"/>
      </w:pPr>
    </w:p>
    <w:p w:rsidR="00935655" w:rsidRDefault="00935655">
      <w:pPr>
        <w:pStyle w:val="ConsPlusTitle"/>
        <w:jc w:val="center"/>
        <w:outlineLvl w:val="0"/>
      </w:pPr>
      <w:r>
        <w:t>Глава 1. ОБЩИЕ ПОЛОЖЕНИЯ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1. Предмет регулирования настоящего Закона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Настоящий Закон определяет основные формы взаимодействия органов государственной власти Липецкой области (далее - область) с некоммерческими организациями, зарегистрированными на территории области в установленном законом порядке.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Действие настоящего Закона не распространяется на отношения, участниками которых являются политические партии.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2. Законодательство области о взаимодействии органов государственной власти области с некоммерческими организациями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 xml:space="preserve">Законодательство области о взаимодействии органов государственной власти области с некоммерческими организациями области основывается на </w:t>
      </w:r>
      <w:hyperlink r:id="rId7" w:history="1">
        <w:r>
          <w:rPr>
            <w:color w:val="0000FF"/>
          </w:rPr>
          <w:t>Конституции</w:t>
        </w:r>
      </w:hyperlink>
      <w:r>
        <w:t xml:space="preserve"> Российской Федерации, федеральных законах и состоит из настоящего Закона и иных нормативных правовых актов области.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3. Организация взаимодействия с некоммерческими организациями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Организацию взаимодействия с некоммерческими организациями области осуществляет уполномоченный администрацией области исполнительный орган государственной власти области (далее - уполномоченный орган) и подведомственные ему государственные (областные) учреждения.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jc w:val="center"/>
        <w:outlineLvl w:val="0"/>
      </w:pPr>
      <w:r>
        <w:t>Глава 2. ОСНОВНЫЕ ФОРМЫ И НАПРАВЛЕНИЯ ВЗАИМОДЕЙСТВИЯ</w:t>
      </w:r>
    </w:p>
    <w:p w:rsidR="00935655" w:rsidRDefault="00935655">
      <w:pPr>
        <w:pStyle w:val="ConsPlusTitle"/>
        <w:jc w:val="center"/>
      </w:pPr>
      <w:r>
        <w:t>С НЕКОММЕРЧЕСКИМИ ОРГАНИЗАЦИЯМИ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4. Липецкий региональный гражданский форум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 xml:space="preserve">В целях развития конструктивного взаимодействия некоммерческих организаций области и </w:t>
      </w:r>
      <w:r>
        <w:lastRenderedPageBreak/>
        <w:t>органов государственной власти области по реализации стратегии социально-экономического развития области, совершенствования институтов гражданского общества один раз в два года проводится Липецкий региональный гражданский форум (далее - форум).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Участниками форума являются представители органов государственной власти области, некоммерческих организаций, зарегистрированных на территории области.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На форуме могут присутствовать в качестве приглашенных лиц представители федеральных органов государственной власти, органов местного самоуправления и иных некоммерческих организаций.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Порядок проведения, нормы представительства делегатов форума устанавливаются уполномоченным органом по согласованию с Общественной палатой Липецкой области.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Заявки на участие в форуме направляются участниками форума в уполномоченный орган до 15 ноября текущего года.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Уполномоченный орган совместно с Общественной палатой Липецкой области определяет тему для обсуждения на форуме.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 xml:space="preserve">Участниками форума принимается резолюция форума, которая </w:t>
      </w:r>
      <w:proofErr w:type="gramStart"/>
      <w:r>
        <w:t>имеет рекомендательный характер и направляется</w:t>
      </w:r>
      <w:proofErr w:type="gramEnd"/>
      <w:r>
        <w:t xml:space="preserve"> для обязательного рассмотрения органам государственной власти области.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5. Совещательные, консультативные, экспертные органы по взаимодействию с некоммерческими организациями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Для повышения эффективности взаимодействия с некоммерческими организациями области органы государственной власти области имеют право создавать совещательные, консультативные и экспертные органы по взаимодействию с некоммерческими организациями области из числа представителей некоммерческих организаций области, научных и образовательных учреждений, иных организаций и лиц, специализирующихся на проблеме становления и развития институтов гражданского общества.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Полномочия, порядок образования, персональный состав совещательных, консультативных, экспертных органов по взаимодействию с некоммерческими организациями области устанавливаются правовыми актами органов государственной власти области, при которых они создаются, а также могут устанавливаться критерии оценки деятельности по результатам работы вышеуказанных органов.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6. Основные направления взаимодействия с некоммерческими организациями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Основными направлениями взаимодействия, в том числе через государственные программы, с некоммерческими организациями области являются:</w:t>
      </w:r>
    </w:p>
    <w:p w:rsidR="00935655" w:rsidRDefault="00935655">
      <w:pPr>
        <w:pStyle w:val="ConsPlusNormal"/>
        <w:jc w:val="both"/>
      </w:pPr>
      <w:r>
        <w:t xml:space="preserve">(в ред. </w:t>
      </w:r>
      <w:hyperlink r:id="rId8" w:history="1">
        <w:r>
          <w:rPr>
            <w:color w:val="0000FF"/>
          </w:rPr>
          <w:t>Закона</w:t>
        </w:r>
      </w:hyperlink>
      <w:r>
        <w:t xml:space="preserve"> Липецкой области от 18.06.2014 N 300-ОЗ)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духовно-нравственное и патриотическое воспитание жителей области;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развитие массового спорта и физкультуры, улучшение здоровья населения области, в том числе с ограниченными возможностями;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профилактика правонарушений, наркомании, токсикомании, табакокурения, алкоголизма, иных негативных проявлений;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формирование межнационального и межрелигиозного толерантного сознания и поведения;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поддержка и развитие творческих дарований разных возрастных и социальных категорий граждан, в том числе людей с ограниченными возможностями в сфере образования, инноваций, культуры и искусства;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социальная поддержка инвалидов, ветеранов, престарелых, малоимущих жителей области, вовлечение их в активную гражданскую и общественную деятельность;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содействие по защите прав и свобод человека;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сохранение и приумножение культурного исторического наследия;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охрана окружающей среды.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7. Духовно-нравственное и патриотическое воспитание жителей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Духовно-нравственное и патриотическое воспитание жителей области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разработки и реализации с участием некоммерческих организаций области проектов, посвященных знаменательным датам отечественной истории, истории и культуры области, других мероприятий гражданской, духовно-нравственной и патриотической направленности;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пропаганды уважения к государственной символике, истории Отечества и родного края, распространения информации о знаменитых земляках;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участия некоммерческих организаций области в подготовке молодых граждан к службе в Вооруженных Силах Российской Федерации, допризывной подготовке молодежи, проведении военно-полевых сборов, соревнований по военно-прикладным видам спорта и других военно-патриотических мероприятий;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увековечивания памяти защитников Отечества, сотрудников правоохранительных органов, погибших при исполнении служебных обязанностей.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8. Развитие массового спорта и физкультуры, улучшение здоровья населения области, в том числе с ограниченными возможностями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Развитие массового спорта и физкультуры, улучшение здоровья населения области, в том числе с ограниченными возможностями,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популяризации доступных и массовых видов спорта и отдыха, развития практики проведения всероссийских, межрегиональных и областных спортивных соревнований, турниров среди разных возрастных категорий по массовым видам спорта.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9. Профилактика правонарушений, наркомании, токсикомании, табакокурения, алкоголизма, иных негативных проявлений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Профилактика правонарушений, наркомании, токсикомании, табакокурения, алкоголизма, иных негативных проявлений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организации воспитательных и разъяснительных мероприятий, направленных на профилактику правонарушений, наркомании, токсикомании, алкоголизма, иных негативных проявлений;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содействия развитию организаций, осуществляющих психологическую и иную помощь по социальной адаптации людей, оказавшихся в трудной жизненной ситуации;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обеспечения распространения в средствах массовой информации материалов, информирующих граждан о тяжких последствиях табакокурения, употребления наркотиков, алкоголя, показывающих положительные примеры исправления негативных проявлений.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10. Формирование межнационального и межрелигиозного толерантного сознания и поведения, нетерпимого отношения к проявлениям экстремизма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Формирование межнационального и межрелигиозного толерантного сознания и поведения, нетерпимого отношения к проявлениям экстремизма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проведения областных мероприятий с целью информирования граждан о национальной культуре, основах религии;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проведения научно-просветительных и образовательных мероприятий по профилактике и предупреждению социальной, национальной и религиозной нетерпимости.</w:t>
      </w:r>
    </w:p>
    <w:p w:rsidR="00935655" w:rsidRDefault="00935655">
      <w:pPr>
        <w:pStyle w:val="ConsPlusNormal"/>
        <w:jc w:val="both"/>
      </w:pPr>
      <w:r>
        <w:t xml:space="preserve">(п. 2 в ред. </w:t>
      </w:r>
      <w:hyperlink r:id="rId9" w:history="1">
        <w:r>
          <w:rPr>
            <w:color w:val="0000FF"/>
          </w:rPr>
          <w:t>Закона</w:t>
        </w:r>
      </w:hyperlink>
      <w:r>
        <w:t xml:space="preserve"> Липецкой области от 27.05.2011 N 491-ОЗ)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11. Поддержка и развитие творческих дарований разных возрастных и социальных категорий граждан, в том числе людей с ограниченными возможностями, в сфере образования, инноваций, культуры и искусства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Поддержка и развитие творческих дарований разных возрастных и социальных категорий граждан, в том числе людей с ограниченными возможностями, в сфере образования, инноваций, культуры и искусства реализуются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организации и проведения творческих мастерских, школ, студий с участием известных деятелей науки, культуры и искусства;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проведения областных массовых мероприятий с целью выявления и распространения творческих достижений разных категорий граждан;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обеспечения участия представителей талантливых граждан области в межрегиональных, всероссийских и международных творческих конкурсах;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5) проведения научно-просветительных и образовательных мероприятий.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12. Социальная поддержка инвалидов, ветеранов, престарелых, малоимущих жителей области, вовлечение их в активную гражданскую и общественную деятельность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Социальная поддержка инвалидов, ветеранов, престарелых, малоимущих жителей области, вовлечение их в активную гражданскую и общественную деятельность реализуются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ведения социологических мониторингов по проблемам социально незащищенных слоев населения области;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осуществления мероприятий, направленных на вовлечение инвалидов, ветеранов, престарелых, малоимущих жителей области в активную гражданскую и общественную деятельность, в том числе организация клубов по интересам, центров досуга и творчества;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содействия созданию и развитию учреждений по оказанию психологической, правовой, консультационной и иной помощи больным, инвалидам, ветеранам, престарелым, малоимущим жителям области.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13. Содействие по защите прав и свобод человека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Содействие по защите прав и свобод человека в области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организации деятельности общественных правовых приемных для оказания бесплатных юридических консультаций;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проведения просветительских мероприятий по разъяснению прав, социальных гарантий и законных интересов граждан;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создания и издания правовой просветительской литературы.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14. Сохранение и приумножение культурного наследия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Сохранение и приумножение культурного наследия реализуются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организации проведения научно-исследовательских работ по изучению культурно-исторического наследия области;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создания и издания научно-просветительской литературы по вопросам краеведения, истории и культуры;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охраны и в соответствии с установленными требованиями содержания объектов (в том числе зданий, сооружений) и территорий, имеющих историческое, культовое, культурное значение, и мест захоронений;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5) создания культурно-исторических клубов и центров;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6) содействия в проведении археологических и этнографических экспедиций;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7) создания в соответствии с установленными требованиями музеев и комнат боевой славы.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15. Охрана окружающей среды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Охрана окружающей среды реализуется посредством: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развития добровольчества;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2) организации и проведения экологических акций;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создания экологических кружков, клубов, центров, проведения экологических экспедиций, слетов, профильных лагерных смен;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создания и издания книг по природоохранной деятельности;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5) осуществления иных мероприятий, направленных на защиту окружающей среды.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jc w:val="center"/>
        <w:outlineLvl w:val="0"/>
      </w:pPr>
      <w:r>
        <w:t>Глава 3. РЕЕСТР НЕКОММЕРЧЕСКИХ ОРГАНИЗАЦИЙ - УЧАСТНИКОВ</w:t>
      </w:r>
    </w:p>
    <w:p w:rsidR="00935655" w:rsidRDefault="00935655">
      <w:pPr>
        <w:pStyle w:val="ConsPlusTitle"/>
        <w:jc w:val="center"/>
      </w:pPr>
      <w:r>
        <w:t>ОБЛАСТНЫХ ЦЕЛЕВЫХ ПРОГРАММ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 xml:space="preserve">Утратила силу. - </w:t>
      </w:r>
      <w:hyperlink r:id="rId10" w:history="1">
        <w:r>
          <w:rPr>
            <w:color w:val="0000FF"/>
          </w:rPr>
          <w:t>Закон</w:t>
        </w:r>
      </w:hyperlink>
      <w:r>
        <w:t xml:space="preserve"> Липецкой области от 18.06.2014 N 300-ОЗ.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jc w:val="center"/>
        <w:outlineLvl w:val="0"/>
      </w:pPr>
      <w:r>
        <w:t xml:space="preserve">Глава 4. ГОСУДАРСТВЕННАЯ ПОДДЕРЖКА </w:t>
      </w:r>
      <w:proofErr w:type="gramStart"/>
      <w:r>
        <w:t>НЕКОММЕРЧЕСКИХ</w:t>
      </w:r>
      <w:proofErr w:type="gramEnd"/>
    </w:p>
    <w:p w:rsidR="00935655" w:rsidRDefault="00935655">
      <w:pPr>
        <w:pStyle w:val="ConsPlusTitle"/>
        <w:jc w:val="center"/>
      </w:pPr>
      <w:r>
        <w:t>ОРГАНИЗАЦИЙ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17. Государственная поддержка некоммерческих организаций области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Государственная поддержка оказывается некоммерческим организациям, зарегистрированным и действующим на территории области.</w:t>
      </w:r>
    </w:p>
    <w:p w:rsidR="00935655" w:rsidRDefault="00935655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Закона</w:t>
        </w:r>
      </w:hyperlink>
      <w:r>
        <w:t xml:space="preserve"> Липецкой области от 18.06.2014 N 300-ОЗ)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Государственная поддержка некоммерческих организаций оказывается в следующих формах: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1) предоставления субсидий в соответствии с законом об областном бюджете на соответствующий финансовый год и плановый период;</w:t>
      </w:r>
    </w:p>
    <w:p w:rsidR="00935655" w:rsidRDefault="00935655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Закона</w:t>
        </w:r>
      </w:hyperlink>
      <w:r>
        <w:t xml:space="preserve"> Липецкой области от 18.06.2014 N 300-ОЗ)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 xml:space="preserve">2) размещения государственного заказа на оказание услуг для государственных и муниципальных нужд в порядке, предусмотренном Федеральным </w:t>
      </w:r>
      <w:hyperlink r:id="rId13" w:history="1">
        <w:r>
          <w:rPr>
            <w:color w:val="0000FF"/>
          </w:rPr>
          <w:t>законом</w:t>
        </w:r>
      </w:hyperlink>
      <w:r>
        <w:t xml:space="preserve"> от 5 апреля 2013 года N 44-ФЗ "О контрактной системе в сфере закупок товаров, работ, услуг для обеспечения государственных и муниципальных нужд";</w:t>
      </w:r>
    </w:p>
    <w:p w:rsidR="00935655" w:rsidRDefault="00935655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Закона</w:t>
        </w:r>
      </w:hyperlink>
      <w:r>
        <w:t xml:space="preserve"> Липецкой области от 18.06.2014 N 300-ОЗ)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3) организации подготовки и повышения квалификации представителей некоммерческих организаций области и добровольцев;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>4) оказания информационной поддержки.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18. Финансовое обеспечение государственной поддержки некоммерческих организаций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Финансовое обеспечение государственной поддержки некоммерческих организаций осуществляется за счет средств областного бюджета.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jc w:val="center"/>
        <w:outlineLvl w:val="0"/>
      </w:pPr>
      <w:r>
        <w:t>Глава 5. ВСТУПЛЕНИЕ В СИЛУ НАСТОЯЩЕГО ЗАКОНА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Title"/>
        <w:ind w:firstLine="540"/>
        <w:jc w:val="both"/>
        <w:outlineLvl w:val="1"/>
      </w:pPr>
      <w:r>
        <w:t>Статья 19. Вступление в силу настоящего Закона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  <w:r>
        <w:t>1. Настоящий Закон вступает в силу со дня его официального опубликования.</w:t>
      </w:r>
    </w:p>
    <w:p w:rsidR="00935655" w:rsidRDefault="00935655">
      <w:pPr>
        <w:pStyle w:val="ConsPlusNormal"/>
        <w:spacing w:before="220"/>
        <w:ind w:firstLine="540"/>
        <w:jc w:val="both"/>
      </w:pPr>
      <w:r>
        <w:t xml:space="preserve">2. </w:t>
      </w:r>
      <w:hyperlink r:id="rId15" w:history="1">
        <w:r>
          <w:rPr>
            <w:color w:val="0000FF"/>
          </w:rPr>
          <w:t>Закон</w:t>
        </w:r>
      </w:hyperlink>
      <w:r>
        <w:t xml:space="preserve"> Липецкой области от 26 марта 2004 г. N 98-ОЗ "О взаимодействии органов государственной власти Липецкой области с некоммерческими организациями" ("Липецкая газета", 2004, 7 апреля) признать утратившим силу.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jc w:val="right"/>
      </w:pPr>
      <w:r>
        <w:t>Глава администрации</w:t>
      </w:r>
    </w:p>
    <w:p w:rsidR="00935655" w:rsidRDefault="00935655">
      <w:pPr>
        <w:pStyle w:val="ConsPlusNormal"/>
        <w:jc w:val="right"/>
      </w:pPr>
      <w:r>
        <w:t>Липецкой области</w:t>
      </w:r>
    </w:p>
    <w:p w:rsidR="00935655" w:rsidRDefault="00935655">
      <w:pPr>
        <w:pStyle w:val="ConsPlusNormal"/>
        <w:jc w:val="right"/>
      </w:pPr>
      <w:r>
        <w:t>О.П.КОРОЛЕВ</w:t>
      </w:r>
    </w:p>
    <w:p w:rsidR="00935655" w:rsidRDefault="00935655">
      <w:pPr>
        <w:pStyle w:val="ConsPlusNormal"/>
      </w:pPr>
      <w:r>
        <w:t>г. Липецк</w:t>
      </w:r>
    </w:p>
    <w:p w:rsidR="00935655" w:rsidRDefault="00935655">
      <w:pPr>
        <w:pStyle w:val="ConsPlusNormal"/>
        <w:spacing w:before="220"/>
      </w:pPr>
      <w:r>
        <w:t>09.12.2010</w:t>
      </w:r>
    </w:p>
    <w:p w:rsidR="00935655" w:rsidRDefault="00935655">
      <w:pPr>
        <w:pStyle w:val="ConsPlusNormal"/>
        <w:spacing w:before="220"/>
      </w:pPr>
      <w:r>
        <w:t>N 451-ОЗ</w:t>
      </w: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ind w:firstLine="540"/>
        <w:jc w:val="both"/>
      </w:pPr>
    </w:p>
    <w:p w:rsidR="00935655" w:rsidRDefault="0093565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935655">
      <w:bookmarkStart w:id="0" w:name="_GoBack"/>
      <w:bookmarkEnd w:id="0"/>
    </w:p>
    <w:sectPr w:rsidR="002A16D5" w:rsidSect="0022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655"/>
    <w:rsid w:val="0007693B"/>
    <w:rsid w:val="00204CE5"/>
    <w:rsid w:val="002835DD"/>
    <w:rsid w:val="003170EC"/>
    <w:rsid w:val="00371B9C"/>
    <w:rsid w:val="004C58A6"/>
    <w:rsid w:val="00935655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35655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935655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935655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CEFB073993D6B726FA3E8FB24195A47236472A7CA411FACCE6447ABF6D44416C01C02ADC78D0B1342789D1CB7F4A6E5EB2174661D272A8347DB3EUFc5H" TargetMode="External"/><Relationship Id="rId13" Type="http://schemas.openxmlformats.org/officeDocument/2006/relationships/hyperlink" Target="consultantplus://offline/ref=ECEFB073993D6B726FA3F6F63275064820672FAEC94315F9943B1CF6A1DD4E41955303E38180141347669F14BEUAc1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CEFB073993D6B726FA3F6F63275064821672BAFC71242FBC56E12F3A98D1451911A54EE9D800F0D40789FU1c5H" TargetMode="External"/><Relationship Id="rId12" Type="http://schemas.openxmlformats.org/officeDocument/2006/relationships/hyperlink" Target="consultantplus://offline/ref=ECEFB073993D6B726FA3E8FB24195A47236472A7CA411FACCE6447ABF6D44416C01C02ADC78D0B1342789C17B7F4A6E5EB2174661D272A8347DB3EUFc5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CEFB073993D6B726FA3E8FB24195A47236472A7CA411FACCE6447ABF6D44416C01C02ADC78D0B1342789D13B7F4A6E5EB2174661D272A8347DB3EUFc5H" TargetMode="External"/><Relationship Id="rId11" Type="http://schemas.openxmlformats.org/officeDocument/2006/relationships/hyperlink" Target="consultantplus://offline/ref=ECEFB073993D6B726FA3E8FB24195A47236472A7CA411FACCE6447ABF6D44416C01C02ADC78D0B1342789C15B7F4A6E5EB2174661D272A8347DB3EUFc5H" TargetMode="External"/><Relationship Id="rId5" Type="http://schemas.openxmlformats.org/officeDocument/2006/relationships/hyperlink" Target="consultantplus://offline/ref=ECEFB073993D6B726FA3E8FB24195A47236472A7CF4C16A8CC6447ABF6D44416C01C02ADC78D0B1342789D13B7F4A6E5EB2174661D272A8347DB3EUFc5H" TargetMode="External"/><Relationship Id="rId15" Type="http://schemas.openxmlformats.org/officeDocument/2006/relationships/hyperlink" Target="consultantplus://offline/ref=ECEFB073993D6B726FA3E8FB24195A47236472A7CB4217A7C3394DA3AFD84611CF4307AAD68D08135C78980ABEA0F5UAc0H" TargetMode="External"/><Relationship Id="rId10" Type="http://schemas.openxmlformats.org/officeDocument/2006/relationships/hyperlink" Target="consultantplus://offline/ref=ECEFB073993D6B726FA3E8FB24195A47236472A7CA411FACCE6447ABF6D44416C01C02ADC78D0B1342789D1DB7F4A6E5EB2174661D272A8347DB3EUFc5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ECEFB073993D6B726FA3E8FB24195A47236472A7CF4C16A8CC6447ABF6D44416C01C02ADC78D0B1342789D13B7F4A6E5EB2174661D272A8347DB3EUFc5H" TargetMode="External"/><Relationship Id="rId14" Type="http://schemas.openxmlformats.org/officeDocument/2006/relationships/hyperlink" Target="consultantplus://offline/ref=ECEFB073993D6B726FA3E8FB24195A47236472A7CA411FACCE6447ABF6D44416C01C02ADC78D0B1342789C10B7F4A6E5EB2174661D272A8347DB3EUFc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2260</Words>
  <Characters>12888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/>
      <vt:lpstr>Глава 1. ОБЩИЕ ПОЛОЖЕНИЯ</vt:lpstr>
      <vt:lpstr>    Статья 1. Предмет регулирования настоящего Закона</vt:lpstr>
      <vt:lpstr>    Статья 2. Законодательство области о взаимодействии органов государственной влас</vt:lpstr>
      <vt:lpstr>    Статья 3. Организация взаимодействия с некоммерческими организациями области</vt:lpstr>
      <vt:lpstr>Глава 2. ОСНОВНЫЕ ФОРМЫ И НАПРАВЛЕНИЯ ВЗАИМОДЕЙСТВИЯ</vt:lpstr>
      <vt:lpstr>    Статья 4. Липецкий региональный гражданский форум</vt:lpstr>
      <vt:lpstr>    Статья 5. Совещательные, консультативные, экспертные органы по взаимодействию с </vt:lpstr>
      <vt:lpstr>    Статья 6. Основные направления взаимодействия с некоммерческими организациями об</vt:lpstr>
      <vt:lpstr>    Статья 7. Духовно-нравственное и патриотическое воспитание жителей области</vt:lpstr>
      <vt:lpstr>    Статья 8. Развитие массового спорта и физкультуры, улучшение здоровья населения </vt:lpstr>
      <vt:lpstr>    Статья 9. Профилактика правонарушений, наркомании, токсикомании, табакокурения, </vt:lpstr>
      <vt:lpstr>    Статья 10. Формирование межнационального и межрелигиозного толерантного сознания</vt:lpstr>
      <vt:lpstr>    Статья 11. Поддержка и развитие творческих дарований разных возрастных и социаль</vt:lpstr>
      <vt:lpstr>    Статья 12. Социальная поддержка инвалидов, ветеранов, престарелых, малоимущих жи</vt:lpstr>
      <vt:lpstr>    Статья 13. Содействие по защите прав и свобод человека</vt:lpstr>
      <vt:lpstr>    Статья 14. Сохранение и приумножение культурного наследия</vt:lpstr>
      <vt:lpstr>    Статья 15. Охрана окружающей среды</vt:lpstr>
      <vt:lpstr>Глава 3. РЕЕСТР НЕКОММЕРЧЕСКИХ ОРГАНИЗАЦИЙ - УЧАСТНИКОВ</vt:lpstr>
      <vt:lpstr>Глава 4. ГОСУДАРСТВЕННАЯ ПОДДЕРЖКА НЕКОММЕРЧЕСКИХ</vt:lpstr>
      <vt:lpstr>    Статья 17. Государственная поддержка некоммерческих организаций области</vt:lpstr>
      <vt:lpstr>    Статья 18. Финансовое обеспечение государственной поддержки некоммерческих орган</vt:lpstr>
      <vt:lpstr>Глава 5. ВСТУПЛЕНИЕ В СИЛУ НАСТОЯЩЕГО ЗАКОНА</vt:lpstr>
      <vt:lpstr>    Статья 19. Вступление в силу настоящего Закона</vt:lpstr>
    </vt:vector>
  </TitlesOfParts>
  <Company>Администрация Липецкой области</Company>
  <LinksUpToDate>false</LinksUpToDate>
  <CharactersWithSpaces>15118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2021-05-20T07:28:00Z</dcterms:created>
  <dcterms:modified xsi:type="dcterms:W3CDTF">2021-05-20T07:29:00Z</dcterms:modified>
</cp:coreProperties>
</file>