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Poppins" w:cs="Poppins" w:eastAsia="Poppins" w:hAnsi="Poppins"/>
          <w:b w:val="1"/>
        </w:rPr>
      </w:pPr>
      <w:bookmarkStart w:colFirst="0" w:colLast="0" w:name="_heading=h.x0szto7a5hcq" w:id="0"/>
      <w:bookmarkEnd w:id="0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Phase 1 Scope Document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Poppins Medium" w:cs="Poppins Medium" w:eastAsia="Poppins Medium" w:hAnsi="Poppins Medium"/>
          <w:sz w:val="52"/>
          <w:szCs w:val="52"/>
        </w:rPr>
      </w:pPr>
      <w:r w:rsidDel="00000000" w:rsidR="00000000" w:rsidRPr="00000000">
        <w:rPr>
          <w:rFonts w:ascii="Poppins Medium" w:cs="Poppins Medium" w:eastAsia="Poppins Medium" w:hAnsi="Poppins Medium"/>
          <w:color w:val="223479"/>
          <w:sz w:val="54"/>
          <w:szCs w:val="54"/>
          <w:rtl w:val="0"/>
        </w:rPr>
        <w:t xml:space="preserve">[VIP Doctor 247]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0" w:line="360" w:lineRule="auto"/>
        <w:jc w:val="both"/>
        <w:rPr>
          <w:rFonts w:ascii="Poppins" w:cs="Poppins" w:eastAsia="Poppins" w:hAnsi="Poppins"/>
          <w:b w:val="1"/>
          <w:color w:val="000000"/>
          <w:sz w:val="36"/>
          <w:szCs w:val="36"/>
        </w:rPr>
      </w:pPr>
      <w:bookmarkStart w:colFirst="0" w:colLast="0" w:name="_heading=h.p77r3dx10o8l" w:id="1"/>
      <w:bookmarkEnd w:id="1"/>
      <w:r w:rsidDel="00000000" w:rsidR="00000000" w:rsidRPr="00000000">
        <w:rPr>
          <w:rFonts w:ascii="Poppins" w:cs="Poppins" w:eastAsia="Poppins" w:hAnsi="Poppins"/>
          <w:b w:val="1"/>
          <w:color w:val="000000"/>
          <w:sz w:val="36"/>
          <w:szCs w:val="36"/>
          <w:rtl w:val="0"/>
        </w:rPr>
        <w:t xml:space="preserve">Author: Nitin Kumar</w:t>
      </w:r>
    </w:p>
    <w:p w:rsidR="00000000" w:rsidDel="00000000" w:rsidP="00000000" w:rsidRDefault="00000000" w:rsidRPr="00000000" w14:paraId="00000004">
      <w:pPr>
        <w:pStyle w:val="Subtitle"/>
        <w:spacing w:after="0" w:line="360" w:lineRule="auto"/>
        <w:jc w:val="both"/>
        <w:rPr>
          <w:rFonts w:ascii="Poppins" w:cs="Poppins" w:eastAsia="Poppins" w:hAnsi="Poppins"/>
          <w:b w:val="1"/>
          <w:color w:val="000000"/>
          <w:sz w:val="36"/>
          <w:szCs w:val="36"/>
        </w:rPr>
      </w:pPr>
      <w:bookmarkStart w:colFirst="0" w:colLast="0" w:name="_heading=h.s3l9qz4rcmhd" w:id="2"/>
      <w:bookmarkEnd w:id="2"/>
      <w:r w:rsidDel="00000000" w:rsidR="00000000" w:rsidRPr="00000000">
        <w:rPr>
          <w:rFonts w:ascii="Poppins" w:cs="Poppins" w:eastAsia="Poppins" w:hAnsi="Poppins"/>
          <w:b w:val="1"/>
          <w:color w:val="000000"/>
          <w:sz w:val="36"/>
          <w:szCs w:val="36"/>
          <w:rtl w:val="0"/>
        </w:rPr>
        <w:t xml:space="preserve">Version: 1.0</w:t>
      </w:r>
    </w:p>
    <w:p w:rsidR="00000000" w:rsidDel="00000000" w:rsidP="00000000" w:rsidRDefault="00000000" w:rsidRPr="00000000" w14:paraId="00000005">
      <w:pPr>
        <w:pStyle w:val="Subtitle"/>
        <w:spacing w:after="0" w:line="360" w:lineRule="auto"/>
        <w:jc w:val="both"/>
        <w:rPr>
          <w:rFonts w:ascii="Poppins" w:cs="Poppins" w:eastAsia="Poppins" w:hAnsi="Poppins"/>
          <w:b w:val="1"/>
          <w:color w:val="000000"/>
          <w:sz w:val="36"/>
          <w:szCs w:val="36"/>
        </w:rPr>
      </w:pPr>
      <w:bookmarkStart w:colFirst="0" w:colLast="0" w:name="_heading=h.y0sxa0fcaw71" w:id="3"/>
      <w:bookmarkEnd w:id="3"/>
      <w:r w:rsidDel="00000000" w:rsidR="00000000" w:rsidRPr="00000000">
        <w:rPr>
          <w:rFonts w:ascii="Poppins" w:cs="Poppins" w:eastAsia="Poppins" w:hAnsi="Poppins"/>
          <w:b w:val="1"/>
          <w:color w:val="000000"/>
          <w:sz w:val="36"/>
          <w:szCs w:val="36"/>
          <w:rtl w:val="0"/>
        </w:rPr>
        <w:t xml:space="preserve">Last Updated: </w:t>
      </w:r>
    </w:p>
    <w:p w:rsidR="00000000" w:rsidDel="00000000" w:rsidP="00000000" w:rsidRDefault="00000000" w:rsidRPr="00000000" w14:paraId="00000006">
      <w:pPr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Fonts w:ascii="Poppins Medium" w:cs="Poppins Medium" w:eastAsia="Poppins Medium" w:hAnsi="Poppins Medium"/>
          <w:sz w:val="52"/>
          <w:szCs w:val="52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-2390765</wp:posOffset>
            </wp:positionH>
            <wp:positionV relativeFrom="margin">
              <wp:posOffset>-1276339</wp:posOffset>
            </wp:positionV>
            <wp:extent cx="2166938" cy="11325225"/>
            <wp:effectExtent b="0" l="0" r="0" t="0"/>
            <wp:wrapNone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6805" l="0" r="0" t="16809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132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jc w:val="center"/>
        <w:rPr>
          <w:rFonts w:ascii="Poppins" w:cs="Poppins" w:eastAsia="Poppins" w:hAnsi="Poppins"/>
          <w:b w:val="1"/>
        </w:rPr>
      </w:pPr>
      <w:bookmarkStart w:colFirst="0" w:colLast="0" w:name="_heading=h.4c07npq726u7" w:id="4"/>
      <w:bookmarkEnd w:id="4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Version Control</w:t>
      </w:r>
    </w:p>
    <w:tbl>
      <w:tblPr>
        <w:tblStyle w:val="Table1"/>
        <w:tblW w:w="9525.0" w:type="dxa"/>
        <w:jc w:val="left"/>
        <w:tblInd w:w="-16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45"/>
        <w:gridCol w:w="1050"/>
        <w:gridCol w:w="1530"/>
        <w:gridCol w:w="3060"/>
        <w:gridCol w:w="2640"/>
        <w:tblGridChange w:id="0">
          <w:tblGrid>
            <w:gridCol w:w="1245"/>
            <w:gridCol w:w="1050"/>
            <w:gridCol w:w="1530"/>
            <w:gridCol w:w="3060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Version 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Author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Rationale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Reviewed By &amp; 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Fonts w:ascii="Poppins" w:cs="Poppins" w:eastAsia="Poppins" w:hAnsi="Poppins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Poppins" w:cs="Poppins" w:eastAsia="Poppins" w:hAnsi="Poppi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spacing w:line="276" w:lineRule="auto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Title"/>
        <w:rPr>
          <w:rFonts w:ascii="Poppins" w:cs="Poppins" w:eastAsia="Poppins" w:hAnsi="Poppins"/>
          <w:b w:val="1"/>
        </w:rPr>
      </w:pPr>
      <w:bookmarkStart w:colFirst="0" w:colLast="0" w:name="_heading=h.1xk8nmaziwua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>
          <w:rFonts w:ascii="Poppins" w:cs="Poppins" w:eastAsia="Poppins" w:hAnsi="Poppins"/>
          <w:b w:val="1"/>
        </w:rPr>
      </w:pPr>
      <w:bookmarkStart w:colFirst="0" w:colLast="0" w:name="_heading=h.30j0zll" w:id="6"/>
      <w:bookmarkEnd w:id="6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Table of Contents</w:t>
      </w:r>
    </w:p>
    <w:sdt>
      <w:sdtPr>
        <w:id w:val="195139328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vcva5kt871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zyhwsd86gi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Project Requirement Scope for ERPNext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fep9gfuo0z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“Accounting Module”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67qjllpa4z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Company Setup &amp; Finance Book Management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kajrt7y5mk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Accounting Charts and Setting Configuration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q3xv3vzoa0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Sales Taxes &amp; Charges Template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nfs46xo0m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Fiscal Year &amp; According to Period Management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jiso1wbt26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Payment Term Configuration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rhnjs3n8qh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Cost Center and Budgeting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9qbsddh5ad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→Financial Reporting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2gikc8nni5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→Receivables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75wogis2h8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“E-invoicing (July 2026)”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xam3dserhl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”Assumptions”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no5u4cpsjndd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rjtpmzowha4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mxh1mvk8lp1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d2qb0a6s5fb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fpjkyws8zo2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1psxgkjtl5p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pdcp5bld2jxt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5zib02di53t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9q5jhshtngcg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jve9n13rpcqh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zez6nxhcm7g7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dseuaw91e9rs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spacing w:after="0" w:before="0" w:line="360" w:lineRule="auto"/>
        <w:rPr>
          <w:b w:val="1"/>
        </w:rPr>
      </w:pPr>
      <w:bookmarkStart w:colFirst="0" w:colLast="0" w:name="_heading=h.vcva5kt871km" w:id="19"/>
      <w:bookmarkEnd w:id="19"/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3B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VIP Doctor Healthcare is a comprehensive home-based medical service provider committed to delivering accessible, high-quality healthcare right at the doorstep. Designed for individuals who prioritize convenience without compromising on care, VIP Doctor offers a wide range of medical, emergency, and wellness services tailored to meet modern-day healthcare demands.</w:t>
      </w:r>
    </w:p>
    <w:p w:rsidR="00000000" w:rsidDel="00000000" w:rsidP="00000000" w:rsidRDefault="00000000" w:rsidRPr="00000000" w14:paraId="0000003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>
          <w:b w:val="1"/>
        </w:rPr>
      </w:pPr>
      <w:bookmarkStart w:colFirst="0" w:colLast="0" w:name="_heading=h.mssprxd3yidb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rPr>
          <w:b w:val="1"/>
        </w:rPr>
      </w:pPr>
      <w:bookmarkStart w:colFirst="0" w:colLast="0" w:name="_heading=h.79aazxxxl1fo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b w:val="1"/>
        </w:rPr>
      </w:pPr>
      <w:bookmarkStart w:colFirst="0" w:colLast="0" w:name="_heading=h.xdcc0cpfo1b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>
          <w:b w:val="1"/>
        </w:rPr>
      </w:pPr>
      <w:bookmarkStart w:colFirst="0" w:colLast="0" w:name="_heading=h.hxakjleez71z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b w:val="1"/>
        </w:rPr>
      </w:pPr>
      <w:bookmarkStart w:colFirst="0" w:colLast="0" w:name="_heading=h.rl3ow74e48w1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>
          <w:b w:val="1"/>
        </w:rPr>
      </w:pPr>
      <w:bookmarkStart w:colFirst="0" w:colLast="0" w:name="_heading=h.ot94i5u4x49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b w:val="1"/>
        </w:rPr>
      </w:pPr>
      <w:bookmarkStart w:colFirst="0" w:colLast="0" w:name="_heading=h.5zyhwsd86git" w:id="26"/>
      <w:bookmarkEnd w:id="26"/>
      <w:r w:rsidDel="00000000" w:rsidR="00000000" w:rsidRPr="00000000">
        <w:rPr>
          <w:b w:val="1"/>
          <w:rtl w:val="0"/>
        </w:rPr>
        <w:t xml:space="preserve">Project Requirement Scope for ERPNext</w:t>
      </w:r>
    </w:p>
    <w:p w:rsidR="00000000" w:rsidDel="00000000" w:rsidP="00000000" w:rsidRDefault="00000000" w:rsidRPr="00000000" w14:paraId="00000049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sz w:val="24"/>
          <w:szCs w:val="24"/>
        </w:rPr>
      </w:pPr>
      <w:bookmarkStart w:colFirst="0" w:colLast="0" w:name="_heading=h.ufep9gfuo0zf" w:id="27"/>
      <w:bookmarkEnd w:id="27"/>
      <w:r w:rsidDel="00000000" w:rsidR="00000000" w:rsidRPr="00000000">
        <w:rPr>
          <w:color w:val="ff0000"/>
          <w:sz w:val="44"/>
          <w:szCs w:val="44"/>
          <w:rtl w:val="0"/>
        </w:rPr>
        <w:t xml:space="preserve">“Accounting Module”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numPr>
          <w:ilvl w:val="0"/>
          <w:numId w:val="2"/>
        </w:numPr>
        <w:ind w:left="1440" w:hanging="360"/>
        <w:rPr>
          <w:rFonts w:ascii="Poppins" w:cs="Poppins" w:eastAsia="Poppins" w:hAnsi="Poppins"/>
          <w:b w:val="1"/>
          <w:sz w:val="26"/>
          <w:szCs w:val="26"/>
        </w:rPr>
      </w:pPr>
      <w:bookmarkStart w:colFirst="0" w:colLast="0" w:name="_heading=h.y67qjllpa4zk" w:id="28"/>
      <w:bookmarkEnd w:id="28"/>
      <w:r w:rsidDel="00000000" w:rsidR="00000000" w:rsidRPr="00000000">
        <w:rPr>
          <w:rtl w:val="0"/>
        </w:rPr>
        <w:t xml:space="preserve">Company Setup &amp; Finance Book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Define the legal entity responsible for all transactions.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Maintain financial records under designated Finance Books.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compliance and financial clarity across operations.</w:t>
      </w:r>
    </w:p>
    <w:p w:rsidR="00000000" w:rsidDel="00000000" w:rsidP="00000000" w:rsidRDefault="00000000" w:rsidRPr="00000000" w14:paraId="0000004F">
      <w:pPr>
        <w:pStyle w:val="Heading3"/>
        <w:numPr>
          <w:ilvl w:val="0"/>
          <w:numId w:val="2"/>
        </w:numPr>
        <w:ind w:left="1440" w:hanging="360"/>
        <w:rPr>
          <w:rFonts w:ascii="Poppins" w:cs="Poppins" w:eastAsia="Poppins" w:hAnsi="Poppins"/>
          <w:b w:val="1"/>
          <w:sz w:val="26"/>
          <w:szCs w:val="26"/>
        </w:rPr>
      </w:pPr>
      <w:bookmarkStart w:colFirst="0" w:colLast="0" w:name="_heading=h.jkajrt7y5mkw" w:id="29"/>
      <w:bookmarkEnd w:id="29"/>
      <w:r w:rsidDel="00000000" w:rsidR="00000000" w:rsidRPr="00000000">
        <w:rPr>
          <w:rtl w:val="0"/>
        </w:rPr>
        <w:t xml:space="preserve">Accounting Charts and Setting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Maintain a hierarchical chart of accounts covering revenue,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procurement</w:t>
      </w:r>
      <w:r w:rsidDel="00000000" w:rsidR="00000000" w:rsidRPr="00000000">
        <w:rPr>
          <w:sz w:val="24"/>
          <w:szCs w:val="24"/>
          <w:rtl w:val="0"/>
        </w:rPr>
        <w:t xml:space="preserve">, deposits, and expenses.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Centralized financial control and reporting structure.</w:t>
      </w:r>
    </w:p>
    <w:p w:rsidR="00000000" w:rsidDel="00000000" w:rsidP="00000000" w:rsidRDefault="00000000" w:rsidRPr="00000000" w14:paraId="00000052">
      <w:pPr>
        <w:pStyle w:val="Heading3"/>
        <w:numPr>
          <w:ilvl w:val="0"/>
          <w:numId w:val="2"/>
        </w:numPr>
        <w:rPr>
          <w:rFonts w:ascii="Poppins" w:cs="Poppins" w:eastAsia="Poppins" w:hAnsi="Poppins"/>
          <w:b w:val="1"/>
          <w:sz w:val="26"/>
          <w:szCs w:val="26"/>
        </w:rPr>
      </w:pPr>
      <w:bookmarkStart w:colFirst="0" w:colLast="0" w:name="_heading=h.qq3xv3vzoa0j" w:id="30"/>
      <w:bookmarkEnd w:id="30"/>
      <w:r w:rsidDel="00000000" w:rsidR="00000000" w:rsidRPr="00000000">
        <w:rPr>
          <w:rtl w:val="0"/>
        </w:rPr>
        <w:t xml:space="preserve">Sales Taxes &amp; Charges Template 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Standard template for all sales transactions, especially for the UAE VAT report.</w:t>
      </w:r>
    </w:p>
    <w:p w:rsidR="00000000" w:rsidDel="00000000" w:rsidP="00000000" w:rsidRDefault="00000000" w:rsidRPr="00000000" w14:paraId="00000054">
      <w:pPr>
        <w:pStyle w:val="Heading3"/>
        <w:numPr>
          <w:ilvl w:val="0"/>
          <w:numId w:val="2"/>
        </w:numPr>
        <w:ind w:left="1440" w:hanging="360"/>
        <w:rPr>
          <w:rFonts w:ascii="Poppins" w:cs="Poppins" w:eastAsia="Poppins" w:hAnsi="Poppins"/>
          <w:b w:val="1"/>
          <w:sz w:val="26"/>
          <w:szCs w:val="26"/>
        </w:rPr>
      </w:pPr>
      <w:bookmarkStart w:colFirst="0" w:colLast="0" w:name="_heading=h.unfs46xo0mup" w:id="31"/>
      <w:bookmarkEnd w:id="31"/>
      <w:r w:rsidDel="00000000" w:rsidR="00000000" w:rsidRPr="00000000">
        <w:rPr>
          <w:rtl w:val="0"/>
        </w:rPr>
        <w:t xml:space="preserve">Fiscal Year &amp; According to Period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Organize fiscal structure into yearly and periodic segments and support monthly closings, quarterly reviews, and annual audits.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Simplify reporting across time-based accounting periods.</w:t>
      </w:r>
    </w:p>
    <w:p w:rsidR="00000000" w:rsidDel="00000000" w:rsidP="00000000" w:rsidRDefault="00000000" w:rsidRPr="00000000" w14:paraId="00000057">
      <w:pPr>
        <w:pStyle w:val="Heading3"/>
        <w:numPr>
          <w:ilvl w:val="0"/>
          <w:numId w:val="2"/>
        </w:numPr>
        <w:ind w:left="1440" w:hanging="360"/>
        <w:rPr>
          <w:rFonts w:ascii="Poppins" w:cs="Poppins" w:eastAsia="Poppins" w:hAnsi="Poppins"/>
          <w:b w:val="1"/>
          <w:sz w:val="26"/>
          <w:szCs w:val="26"/>
        </w:rPr>
      </w:pPr>
      <w:bookmarkStart w:colFirst="0" w:colLast="0" w:name="_heading=h.xjiso1wbt26m" w:id="32"/>
      <w:bookmarkEnd w:id="32"/>
      <w:r w:rsidDel="00000000" w:rsidR="00000000" w:rsidRPr="00000000">
        <w:rPr>
          <w:rtl w:val="0"/>
        </w:rPr>
        <w:t xml:space="preserve">Payment Term 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Record payments received from customers.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consistent and timely invoicing across all customers.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 clear and predictable billing workflows.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Attach all accepted payment channels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numPr>
          <w:ilvl w:val="0"/>
          <w:numId w:val="2"/>
        </w:numPr>
        <w:ind w:left="1440" w:hanging="360"/>
        <w:rPr>
          <w:rFonts w:ascii="Poppins" w:cs="Poppins" w:eastAsia="Poppins" w:hAnsi="Poppins"/>
          <w:b w:val="1"/>
          <w:sz w:val="26"/>
          <w:szCs w:val="26"/>
        </w:rPr>
      </w:pPr>
      <w:bookmarkStart w:colFirst="0" w:colLast="0" w:name="_heading=h.8rhnjs3n8qh1" w:id="33"/>
      <w:bookmarkEnd w:id="33"/>
      <w:r w:rsidDel="00000000" w:rsidR="00000000" w:rsidRPr="00000000">
        <w:rPr>
          <w:rtl w:val="0"/>
        </w:rPr>
        <w:t xml:space="preserve">Cost Center and Budgeting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structured hierarchy of branches or departments and allocate transactions to relevant cost centers for clear tracking of income and expenses.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 actual spending against planned budgets across cost centers to identify overexpenditure and control financial leakage.</w:t>
      </w:r>
    </w:p>
    <w:p w:rsidR="00000000" w:rsidDel="00000000" w:rsidP="00000000" w:rsidRDefault="00000000" w:rsidRPr="00000000" w14:paraId="0000005F">
      <w:pPr>
        <w:pStyle w:val="Heading3"/>
        <w:numPr>
          <w:ilvl w:val="0"/>
          <w:numId w:val="2"/>
        </w:numPr>
        <w:ind w:left="1440" w:hanging="360"/>
        <w:rPr>
          <w:rFonts w:ascii="Poppins" w:cs="Poppins" w:eastAsia="Poppins" w:hAnsi="Poppins"/>
          <w:b w:val="1"/>
          <w:sz w:val="26"/>
          <w:szCs w:val="26"/>
        </w:rPr>
      </w:pPr>
      <w:bookmarkStart w:colFirst="0" w:colLast="0" w:name="_heading=h.c9qbsddh5adb" w:id="34"/>
      <w:bookmarkEnd w:id="34"/>
      <w:r w:rsidDel="00000000" w:rsidR="00000000" w:rsidRPr="00000000">
        <w:rPr>
          <w:rtl w:val="0"/>
        </w:rPr>
        <w:t xml:space="preserve">→Financial Reporting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Track all transactions and outstanding balances in a structured manner.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Enables generation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standard financial statements or FTA reports </w:t>
      </w:r>
      <w:r w:rsidDel="00000000" w:rsidR="00000000" w:rsidRPr="00000000">
        <w:rPr>
          <w:sz w:val="24"/>
          <w:szCs w:val="24"/>
          <w:rtl w:val="0"/>
        </w:rPr>
        <w:t xml:space="preserve">like Trial Balance, Profit &amp; Loss, Balance Sheet, and Cash Flow to support monthly or annual financial reviews.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Includes </w:t>
      </w:r>
      <w:r w:rsidDel="00000000" w:rsidR="00000000" w:rsidRPr="00000000">
        <w:rPr>
          <w:b w:val="1"/>
          <w:sz w:val="24"/>
          <w:szCs w:val="24"/>
          <w:rtl w:val="0"/>
        </w:rPr>
        <w:t xml:space="preserve">aging and settlement reports</w:t>
      </w:r>
      <w:r w:rsidDel="00000000" w:rsidR="00000000" w:rsidRPr="00000000">
        <w:rPr>
          <w:sz w:val="24"/>
          <w:szCs w:val="24"/>
          <w:rtl w:val="0"/>
        </w:rPr>
        <w:t xml:space="preserve"> such as customer credit status, payment period summaries.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spacing w:after="240" w:before="0" w:lineRule="auto"/>
        <w:ind w:left="216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Supports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consolidated and party-specific trial balances</w:t>
      </w:r>
      <w:r w:rsidDel="00000000" w:rsidR="00000000" w:rsidRPr="00000000">
        <w:rPr>
          <w:sz w:val="24"/>
          <w:szCs w:val="24"/>
          <w:rtl w:val="0"/>
        </w:rPr>
        <w:t xml:space="preserve"> for multi-branch or segmented accounting views</w:t>
      </w:r>
    </w:p>
    <w:p w:rsidR="00000000" w:rsidDel="00000000" w:rsidP="00000000" w:rsidRDefault="00000000" w:rsidRPr="00000000" w14:paraId="00000064">
      <w:pPr>
        <w:pStyle w:val="Heading3"/>
        <w:numPr>
          <w:ilvl w:val="0"/>
          <w:numId w:val="2"/>
        </w:numPr>
        <w:rPr>
          <w:rFonts w:ascii="Poppins" w:cs="Poppins" w:eastAsia="Poppins" w:hAnsi="Poppins"/>
          <w:b w:val="1"/>
          <w:sz w:val="26"/>
          <w:szCs w:val="26"/>
        </w:rPr>
      </w:pPr>
      <w:bookmarkStart w:colFirst="0" w:colLast="0" w:name="_heading=h.e2gikc8nni55" w:id="35"/>
      <w:bookmarkEnd w:id="35"/>
      <w:r w:rsidDel="00000000" w:rsidR="00000000" w:rsidRPr="00000000">
        <w:rPr>
          <w:rtl w:val="0"/>
        </w:rPr>
        <w:t xml:space="preserve">→Receivables</w:t>
      </w:r>
    </w:p>
    <w:p w:rsidR="00000000" w:rsidDel="00000000" w:rsidP="00000000" w:rsidRDefault="00000000" w:rsidRPr="00000000" w14:paraId="00000065">
      <w:pPr>
        <w:ind w:left="1440" w:firstLine="0"/>
        <w:rPr>
          <w:rFonts w:ascii="Poppins SemiBold" w:cs="Poppins SemiBold" w:eastAsia="Poppins SemiBold" w:hAnsi="Poppins SemiBold"/>
          <w:sz w:val="24"/>
          <w:szCs w:val="24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Poppins SemiBold" w:cs="Poppins SemiBold" w:eastAsia="Poppins SemiBold" w:hAnsi="Poppins SemiBold"/>
          <w:sz w:val="24"/>
          <w:szCs w:val="24"/>
          <w:rtl w:val="0"/>
        </w:rPr>
        <w:t xml:space="preserve">Invoicing &amp;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Sales invoice to generate an invoice for the customer for the service.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Store Customer details like customer name, ID/TRN, invoice number, etc.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Link with all sales, invoices, and even payment transactions.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Can be filtered by category or type.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Item-wise sales register and sales order analysis with payment entry.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Multiple types of invoicing are supported, like monthly, occasional, b2b,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>
          <w:color w:val="ff0000"/>
          <w:sz w:val="44"/>
          <w:szCs w:val="44"/>
        </w:rPr>
      </w:pPr>
      <w:bookmarkStart w:colFirst="0" w:colLast="0" w:name="_heading=h.c75wogis2h8c" w:id="36"/>
      <w:bookmarkEnd w:id="36"/>
      <w:r w:rsidDel="00000000" w:rsidR="00000000" w:rsidRPr="00000000">
        <w:rPr>
          <w:color w:val="ff0000"/>
          <w:sz w:val="44"/>
          <w:szCs w:val="44"/>
          <w:rtl w:val="0"/>
        </w:rPr>
        <w:t xml:space="preserve">“E-invoicing (July 2026)”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ERPNext will be configured to generate invoices in the required structured electronic format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feature will be integrated within ERPNext’s Sales Invoice module.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will support real-time integration with the API once it is made available.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feature will be directly integrated with ERPNext, mainly within the Sales Invoice doctype.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 submission: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ERPNext will send invoice data to the FTA(UAE Federal Tax Authority ) portal in the required format.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system will store the response: UUID, Timestamp, QR Code, etc.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QR Code and FTA details will be auto-inserted in the Sales Invoice and will be visible in the PDF print format.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required fields, like TRN, Customer Info, and VAT breakdown, will be validated before submission.</w:t>
      </w:r>
    </w:p>
    <w:p w:rsidR="00000000" w:rsidDel="00000000" w:rsidP="00000000" w:rsidRDefault="00000000" w:rsidRPr="00000000" w14:paraId="00000076">
      <w:pPr>
        <w:ind w:left="1440" w:firstLine="0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after="160" w:line="259" w:lineRule="auto"/>
        <w:rPr>
          <w:color w:val="ff0000"/>
          <w:sz w:val="44"/>
          <w:szCs w:val="44"/>
        </w:rPr>
      </w:pPr>
      <w:bookmarkStart w:colFirst="0" w:colLast="0" w:name="_heading=h.wxam3dserhlq" w:id="37"/>
      <w:bookmarkEnd w:id="37"/>
      <w:r w:rsidDel="00000000" w:rsidR="00000000" w:rsidRPr="00000000">
        <w:rPr>
          <w:color w:val="ff0000"/>
          <w:sz w:val="44"/>
          <w:szCs w:val="44"/>
          <w:rtl w:val="0"/>
        </w:rPr>
        <w:t xml:space="preserve">”Assumptions”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third-party API will be provided by the client for the implementation of the e-invoicing feature.</w:t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jc w:val="right"/>
      <w:rPr>
        <w:color w:val="999999"/>
      </w:rPr>
    </w:pPr>
    <w:r w:rsidDel="00000000" w:rsidR="00000000" w:rsidRPr="00000000">
      <w:rPr>
        <w:color w:val="999999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9">
    <w:pPr>
      <w:rPr/>
    </w:pPr>
    <w:r w:rsidDel="00000000" w:rsidR="00000000" w:rsidRPr="00000000">
      <w:rPr>
        <w:rFonts w:ascii="Poppins" w:cs="Poppins" w:eastAsia="Poppins" w:hAnsi="Poppins"/>
        <w:color w:val="999999"/>
        <w:sz w:val="24"/>
        <w:szCs w:val="24"/>
        <w:rtl w:val="0"/>
      </w:rPr>
      <w:t xml:space="preserve">VIP Doctor</w:t>
      <w:tab/>
    </w:r>
    <w:r w:rsidDel="00000000" w:rsidR="00000000" w:rsidRPr="00000000">
      <w:rPr>
        <w:rFonts w:ascii="Poppins" w:cs="Poppins" w:eastAsia="Poppins" w:hAnsi="Poppins"/>
        <w:sz w:val="24"/>
        <w:szCs w:val="24"/>
        <w:rtl w:val="0"/>
      </w:rPr>
      <w:tab/>
      <w:tab/>
      <w:tab/>
      <w:tab/>
      <w:tab/>
      <w:tab/>
      <w:tab/>
      <w:t xml:space="preserve">           </w:t>
      <w:tab/>
    </w:r>
    <w:r w:rsidDel="00000000" w:rsidR="00000000" w:rsidRPr="00000000">
      <w:rPr>
        <w:rFonts w:ascii="Poppins" w:cs="Poppins" w:eastAsia="Poppins" w:hAnsi="Poppins"/>
        <w:sz w:val="24"/>
        <w:szCs w:val="24"/>
      </w:rPr>
      <w:drawing>
        <wp:inline distB="114300" distT="114300" distL="114300" distR="114300">
          <wp:extent cx="1097692" cy="195263"/>
          <wp:effectExtent b="0" l="0" r="0" t="0"/>
          <wp:docPr id="2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7692" cy="1952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00" w:lineRule="auto"/>
    </w:pPr>
    <w:rPr>
      <w:rFonts w:ascii="Poppins Medium" w:cs="Poppins Medium" w:eastAsia="Poppins Medium" w:hAnsi="Poppins Medium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ind w:left="1440" w:hanging="360"/>
    </w:pPr>
    <w:rPr>
      <w:rFonts w:ascii="Poppins" w:cs="Poppins" w:eastAsia="Poppins" w:hAnsi="Poppins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1" Type="http://schemas.openxmlformats.org/officeDocument/2006/relationships/font" Target="fonts/PoppinsSemiBold-italic.ttf"/><Relationship Id="rId10" Type="http://schemas.openxmlformats.org/officeDocument/2006/relationships/font" Target="fonts/PoppinsSemiBold-bold.ttf"/><Relationship Id="rId12" Type="http://schemas.openxmlformats.org/officeDocument/2006/relationships/font" Target="fonts/PoppinsSemiBold-boldItalic.ttf"/><Relationship Id="rId9" Type="http://schemas.openxmlformats.org/officeDocument/2006/relationships/font" Target="fonts/PoppinsSemiBold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JCFTSVgQDJI+3lpwPum7DkZ6Nw==">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